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rPr>
          <w:rFonts w:hint="eastAsia"/>
          <w:lang w:val="en-US" w:eastAsia="zh-CN"/>
        </w:rPr>
      </w:pPr>
      <w:bookmarkStart w:id="0" w:name="_Toc17226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临夏回族自治州中医医院“智慧银医”项目-实施方案</w:t>
      </w:r>
      <w:bookmarkEnd w:id="0"/>
    </w:p>
    <w:p>
      <w:pPr>
        <w:bidi w:val="0"/>
      </w:pPr>
    </w:p>
    <w:p>
      <w:pPr>
        <w:pStyle w:val="a0"/>
        <w:bidi w:val="0"/>
      </w:pPr>
      <w:bookmarkStart w:id="1" w:name="_Toc28678"/>
      <w:r>
        <w:t>江苏云储智能科技有限公司</w:t>
      </w:r>
      <w:bookmarkEnd w:id="1"/>
    </w:p>
    <w:p>
      <w:pPr>
        <w:spacing w:before="275"/>
        <w:ind w:left="3285"/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-01-04</w:t>
      </w:r>
    </w:p>
    <w:p>
      <w:pPr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br w:type="page"/>
      </w:r>
    </w:p>
    <w:p>
      <w:pPr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2" w:name="_Toc7401"/>
      <w:bookmarkStart w:id="3" w:name="_Toc19880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2"/>
      <w:bookmarkEnd w:id="3"/>
    </w:p>
    <w:p>
      <w:pPr>
        <w:spacing w:line="16" w:lineRule="exact"/>
      </w:pPr>
    </w:p>
    <w:tbl>
      <w:tblPr>
        <w:tblStyle w:val="TableNormal0"/>
        <w:tblW w:w="824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>
        <w:tblPrEx>
          <w:tblW w:w="8249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>
            <w:pPr>
              <w:pStyle w:val="TableText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项目实施方案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XMSSFA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>
            <w:pPr>
              <w:pStyle w:val="TableText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eastAsia="宋体"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>
            <w:pPr>
              <w:pStyle w:val="TableText"/>
              <w:spacing w:before="134" w:line="220" w:lineRule="auto"/>
              <w:ind w:left="480"/>
              <w:rPr>
                <w:rFonts w:eastAsia="宋体" w:hint="eastAsia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王朋</w:t>
            </w:r>
          </w:p>
        </w:tc>
        <w:tc>
          <w:tcPr>
            <w:tcW w:w="1608" w:type="dxa"/>
          </w:tcPr>
          <w:p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4"/>
              <w:ind w:left="361"/>
            </w:pPr>
          </w:p>
        </w:tc>
        <w:tc>
          <w:tcPr>
            <w:tcW w:w="1906" w:type="dxa"/>
          </w:tcPr>
          <w:p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>
            <w:pPr>
              <w:pStyle w:val="TableText"/>
              <w:spacing w:before="134" w:line="220" w:lineRule="auto"/>
              <w:ind w:left="672"/>
            </w:pP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5"/>
              <w:ind w:left="361"/>
            </w:pPr>
          </w:p>
        </w:tc>
        <w:tc>
          <w:tcPr>
            <w:tcW w:w="1906" w:type="dxa"/>
          </w:tcPr>
          <w:p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>
            <w:pPr>
              <w:pStyle w:val="TableText"/>
              <w:spacing w:before="135" w:line="220" w:lineRule="auto"/>
              <w:ind w:left="672"/>
            </w:pP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6"/>
              <w:ind w:left="361"/>
            </w:pPr>
          </w:p>
        </w:tc>
        <w:tc>
          <w:tcPr>
            <w:tcW w:w="1906" w:type="dxa"/>
          </w:tcPr>
          <w:p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>
            <w:pPr>
              <w:pStyle w:val="TableText"/>
              <w:spacing w:before="136" w:line="220" w:lineRule="auto"/>
              <w:ind w:left="672"/>
            </w:pP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275"/>
        <w:ind w:left="3285"/>
        <w:rPr>
          <w:rFonts w:ascii="宋体" w:eastAsia="宋体" w:hAnsi="宋体" w:cs="宋体"/>
          <w:spacing w:val="-2"/>
          <w:sz w:val="36"/>
          <w:szCs w:val="36"/>
        </w:rPr>
      </w:pPr>
    </w:p>
    <w:p>
      <w:pPr>
        <w:pStyle w:val="BodyText"/>
        <w:spacing w:line="244" w:lineRule="auto"/>
      </w:pPr>
    </w:p>
    <w:p>
      <w:p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/>
          <w:sz w:val="28"/>
          <w:szCs w:val="28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 w:val="20"/>
              <w:szCs w:val="20"/>
            </w:rPr>
            <w:fldChar w:fldCharType="begin"/>
          </w:r>
          <w:r>
            <w:rPr>
              <w:rFonts w:ascii="Calibri" w:eastAsia="Calibri" w:hAnsi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separate"/>
          </w: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_Toc17226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临夏回族自治州中医医院“智慧银医”项目-实施方案</w:t>
          </w:r>
          <w:r>
            <w:tab/>
          </w:r>
          <w:r>
            <w:fldChar w:fldCharType="begin"/>
          </w:r>
          <w:r>
            <w:instrText xml:space="preserve"> PAGEREF _Toc17226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_Toc28678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_Toc28678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_Toc19880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_Toc19880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_Toc16880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_Toc16880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_Toc21377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_Toc21377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_Toc20927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_Toc20927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_Toc925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实施原则</w:t>
          </w:r>
          <w:r>
            <w:tab/>
          </w:r>
          <w:r>
            <w:fldChar w:fldCharType="begin"/>
          </w:r>
          <w:r>
            <w:instrText xml:space="preserve"> PAGEREF _Toc925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_Toc22507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实施范围与内容</w:t>
          </w:r>
          <w:r>
            <w:tab/>
          </w:r>
          <w:r>
            <w:fldChar w:fldCharType="begin"/>
          </w:r>
          <w:r>
            <w:instrText xml:space="preserve"> PAGEREF _Toc22507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_Toc3644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实施阶段与计划</w:t>
          </w:r>
          <w:r>
            <w:tab/>
          </w:r>
          <w:r>
            <w:fldChar w:fldCharType="begin"/>
          </w:r>
          <w:r>
            <w:instrText xml:space="preserve"> PAGEREF _Toc3644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_Toc16076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第一阶段：项目启动与规划（第1-2周）</w:t>
          </w:r>
          <w:r>
            <w:tab/>
          </w:r>
          <w:r>
            <w:fldChar w:fldCharType="begin"/>
          </w:r>
          <w:r>
            <w:instrText xml:space="preserve"> PAGEREF _Toc16076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_Toc11009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第二阶段：系统设计与开发（第3-8周）</w:t>
          </w:r>
          <w:r>
            <w:tab/>
          </w:r>
          <w:r>
            <w:fldChar w:fldCharType="begin"/>
          </w:r>
          <w:r>
            <w:instrText xml:space="preserve"> PAGEREF _Toc11009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_Toc17250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第三阶段：部署与集成（第9-12周）</w:t>
          </w:r>
          <w:r>
            <w:tab/>
          </w:r>
          <w:r>
            <w:fldChar w:fldCharType="begin"/>
          </w:r>
          <w:r>
            <w:instrText xml:space="preserve"> PAGEREF _Toc17250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_Toc7988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第四阶段：测试与培训（第13-14周）</w:t>
          </w:r>
          <w:r>
            <w:tab/>
          </w:r>
          <w:r>
            <w:fldChar w:fldCharType="begin"/>
          </w:r>
          <w:r>
            <w:instrText xml:space="preserve"> PAGEREF _Toc7988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_Toc10511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第五阶段：上线与运维支持（第15周起）</w:t>
          </w:r>
          <w:r>
            <w:tab/>
          </w:r>
          <w:r>
            <w:fldChar w:fldCharType="begin"/>
          </w:r>
          <w:r>
            <w:instrText xml:space="preserve"> PAGEREF _Toc10511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_Toc20220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技术实施方案</w:t>
          </w:r>
          <w:r>
            <w:tab/>
          </w:r>
          <w:r>
            <w:fldChar w:fldCharType="begin"/>
          </w:r>
          <w:r>
            <w:instrText xml:space="preserve"> PAGEREF _Toc20220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_Toc103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_Toc31108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接口对接方案</w:t>
          </w:r>
          <w:r>
            <w:tab/>
          </w:r>
          <w:r>
            <w:fldChar w:fldCharType="begin"/>
          </w:r>
          <w:r>
            <w:instrText xml:space="preserve"> PAGEREF _Toc31108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_Toc16710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安全实施方案</w:t>
          </w:r>
          <w:r>
            <w:tab/>
          </w:r>
          <w:r>
            <w:fldChar w:fldCharType="begin"/>
          </w:r>
          <w:r>
            <w:instrText xml:space="preserve"> PAGEREF _Toc16710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_Toc32548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性能保障措施</w:t>
          </w:r>
          <w:r>
            <w:tab/>
          </w:r>
          <w:r>
            <w:fldChar w:fldCharType="begin"/>
          </w:r>
          <w:r>
            <w:instrText xml:space="preserve"> PAGEREF _Toc32548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_Toc15049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项目管理与组织架构</w:t>
          </w:r>
          <w:r>
            <w:tab/>
          </w:r>
          <w:r>
            <w:fldChar w:fldCharType="begin"/>
          </w:r>
          <w:r>
            <w:instrText xml:space="preserve"> PAGEREF _Toc15049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_Toc18956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项目组织架构</w:t>
          </w:r>
          <w:r>
            <w:tab/>
          </w:r>
          <w:r>
            <w:fldChar w:fldCharType="begin"/>
          </w:r>
          <w:r>
            <w:instrText xml:space="preserve"> PAGEREF _Toc18956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_Toc12255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质量控制措施</w:t>
          </w:r>
          <w:r>
            <w:tab/>
          </w:r>
          <w:r>
            <w:fldChar w:fldCharType="begin"/>
          </w:r>
          <w:r>
            <w:instrText xml:space="preserve"> PAGEREF _Toc12255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_Toc29951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</w:rPr>
            <w:t>风险管理</w:t>
          </w:r>
          <w:r>
            <w:tab/>
          </w:r>
          <w:r>
            <w:fldChar w:fldCharType="begin"/>
          </w:r>
          <w:r>
            <w:instrText xml:space="preserve"> PAGEREF _Toc29951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_Toc28042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培训与支持计划</w:t>
          </w:r>
          <w:r>
            <w:tab/>
          </w:r>
          <w:r>
            <w:fldChar w:fldCharType="begin"/>
          </w:r>
          <w:r>
            <w:instrText xml:space="preserve"> PAGEREF _Toc28042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_Toc26904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培训内容</w:t>
          </w:r>
          <w:r>
            <w:tab/>
          </w:r>
          <w:r>
            <w:fldChar w:fldCharType="begin"/>
          </w:r>
          <w:r>
            <w:instrText xml:space="preserve"> PAGEREF _Toc26904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_Toc20493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培训方式</w:t>
          </w:r>
          <w:r>
            <w:tab/>
          </w:r>
          <w:r>
            <w:fldChar w:fldCharType="begin"/>
          </w:r>
          <w:r>
            <w:instrText xml:space="preserve"> PAGEREF _Toc20493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_Toc12994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rPr>
              <w:rFonts w:hint="eastAsia"/>
            </w:rPr>
            <w:t>运维支持</w:t>
          </w:r>
          <w:r>
            <w:tab/>
          </w:r>
          <w:r>
            <w:fldChar w:fldCharType="begin"/>
          </w:r>
          <w:r>
            <w:instrText xml:space="preserve"> PAGEREF _Toc12994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_Toc5779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验收标准与交付物</w:t>
          </w:r>
          <w:r>
            <w:tab/>
          </w:r>
          <w:r>
            <w:fldChar w:fldCharType="begin"/>
          </w:r>
          <w:r>
            <w:instrText xml:space="preserve"> PAGEREF _Toc5779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_Toc3901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_Toc3901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_Toc8475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交付物清单</w:t>
          </w:r>
          <w:r>
            <w:tab/>
          </w:r>
          <w:r>
            <w:fldChar w:fldCharType="begin"/>
          </w:r>
          <w:r>
            <w:instrText xml:space="preserve"> PAGEREF _Toc8475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spacing w:line="228" w:lineRule="auto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eastAsia="Calibri" w:hAnsi="Calibri" w:cs="Calibri"/>
              <w:szCs w:val="20"/>
            </w:rPr>
            <w:fldChar w:fldCharType="end"/>
          </w:r>
        </w:p>
      </w:sdtContent>
    </w:sdt>
    <w:p>
      <w:pPr>
        <w:spacing w:line="228" w:lineRule="auto"/>
        <w:rPr>
          <w:rFonts w:ascii="Calibri" w:eastAsia="Calibri" w:hAnsi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num="1" w:space="720"/>
        </w:sectPr>
      </w:pPr>
    </w:p>
    <w:p>
      <w:pPr>
        <w:pStyle w:val="1"/>
        <w:bidi w:val="0"/>
        <w:rPr>
          <w:rFonts w:hint="eastAsia"/>
        </w:rPr>
      </w:pPr>
      <w:bookmarkStart w:id="4" w:name="bookmark11"/>
      <w:bookmarkEnd w:id="4"/>
      <w:bookmarkStart w:id="5" w:name="_Toc16880"/>
      <w:r>
        <w:rPr>
          <w:rFonts w:hint="eastAsia"/>
        </w:rPr>
        <w:t>项目概述</w:t>
      </w:r>
      <w:bookmarkEnd w:id="5"/>
    </w:p>
    <w:p>
      <w:pPr>
        <w:pStyle w:val="2"/>
        <w:bidi w:val="0"/>
        <w:rPr>
          <w:rFonts w:hint="eastAsia"/>
        </w:rPr>
      </w:pPr>
      <w:bookmarkStart w:id="6" w:name="_Toc21377"/>
      <w:r>
        <w:rPr>
          <w:rFonts w:hint="eastAsia"/>
        </w:rPr>
        <w:t>项目背景</w:t>
      </w:r>
      <w:bookmarkEnd w:id="6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为响应国家“互联网+医疗健康”战略部署，提升医院服务效率与患者就医体验，临夏回族自治州中医医院启动“智慧银医”项目建设。项目旨在通过建设门诊/住院自助终端系统、统一支付结算平台等，实现全流程自助化服务，减少排队等待时间，优化医疗资源配置。</w:t>
      </w:r>
    </w:p>
    <w:p>
      <w:pPr>
        <w:pStyle w:val="2"/>
        <w:bidi w:val="0"/>
        <w:rPr>
          <w:rFonts w:hint="eastAsia"/>
        </w:rPr>
      </w:pPr>
      <w:bookmarkStart w:id="7" w:name="_Toc20927"/>
      <w:r>
        <w:rPr>
          <w:rFonts w:hint="eastAsia"/>
        </w:rPr>
        <w:t>项目目标</w:t>
      </w:r>
      <w:bookmarkEnd w:id="7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实现门诊与住院全流程自助服务覆盖；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支持医保、微信、支付宝、银联等多渠道支付；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与院内HIS、医保系统无缝对接；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构建统一支付对账与财务管理体系；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提升系统安全性、稳定性与用户体验；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建立可持续运维与扩展机制。</w:t>
      </w:r>
    </w:p>
    <w:p>
      <w:pPr>
        <w:pStyle w:val="2"/>
        <w:bidi w:val="0"/>
        <w:rPr>
          <w:rFonts w:hint="eastAsia"/>
        </w:rPr>
      </w:pPr>
      <w:bookmarkStart w:id="8" w:name="_Toc925"/>
      <w:r>
        <w:rPr>
          <w:rFonts w:hint="eastAsia"/>
        </w:rPr>
        <w:t>实施原则</w:t>
      </w:r>
      <w:bookmarkEnd w:id="8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规范化：遵循国家及行业标准，统一接口、代码、数据格式。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开放性：支持跨平台、跨系统对接，便于未来扩展。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安全性：实现数据加密、权限控制、日志审计等多层防护。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高效性：满足千万级数据查询响应时间≤2秒的性能要求。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易用性：界面简洁友好，操作流程贴合实际业务。</w:t>
      </w:r>
    </w:p>
    <w:p>
      <w:pPr>
        <w:pStyle w:val="1"/>
        <w:bidi w:val="0"/>
        <w:rPr>
          <w:rFonts w:hint="eastAsia"/>
        </w:rPr>
      </w:pPr>
      <w:bookmarkStart w:id="9" w:name="_Toc22507"/>
      <w:r>
        <w:rPr>
          <w:rFonts w:hint="eastAsia"/>
        </w:rPr>
        <w:t>实施范围与内容</w:t>
      </w:r>
      <w:bookmarkEnd w:id="9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3770"/>
        <w:gridCol w:w="3611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模块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主要功能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门诊自助服务系统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建档、挂号、缴费、报告打印、物价查询等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支持医保卡、身份证、电子健康卡、医保电子凭证等多介质识别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/>
        </w:trPr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住院自助服务系统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入院办理、预缴金充值、日清单查询、出院结算等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支持聚合支付、原路退款、自助结算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统一支付结算平台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多渠道支付接入、对账管理、异常账处理、财务统计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提供商户管理、订单查询、退款操作、报表分析等功能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系统对接与集成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与HIS、医保系统对接，实现数据实时同步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支持HL7/FHIR标准、JSON/XML数据格式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安全与运维体系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身份认证、权限管理、日志审计、设备监控、数据备份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实现系统级、应用级、网络级全方位防护</w:t>
            </w:r>
          </w:p>
        </w:tc>
      </w:tr>
    </w:tbl>
    <w:p>
      <w:pPr>
        <w:pStyle w:val="1"/>
        <w:numPr>
          <w:numId w:val="0"/>
        </w:numPr>
        <w:bidi w:val="0"/>
        <w:ind w:leftChars="0"/>
        <w:rPr>
          <w:rFonts w:hint="eastAsia"/>
        </w:rPr>
      </w:pPr>
      <w:bookmarkStart w:id="10" w:name="_Toc3644"/>
    </w:p>
    <w:p>
      <w:pPr>
        <w:pStyle w:val="1"/>
        <w:bidi w:val="0"/>
        <w:rPr>
          <w:rFonts w:hint="eastAsia"/>
        </w:rPr>
      </w:pPr>
      <w:r>
        <w:rPr>
          <w:rFonts w:hint="eastAsia"/>
        </w:rPr>
        <w:t>实施阶段与计划</w:t>
      </w:r>
      <w:bookmarkEnd w:id="10"/>
    </w:p>
    <w:p>
      <w:pPr>
        <w:pStyle w:val="2"/>
        <w:bidi w:val="0"/>
        <w:rPr>
          <w:rFonts w:hint="eastAsia"/>
        </w:rPr>
      </w:pPr>
      <w:bookmarkStart w:id="11" w:name="_Toc16076"/>
      <w:r>
        <w:rPr>
          <w:rFonts w:hint="eastAsia"/>
        </w:rPr>
        <w:t>第一阶段：项目启动与规划（第1-2周）</w:t>
      </w:r>
      <w:bookmarkEnd w:id="11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成立项目组，明确职责分工；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开展需求深化调研，确认接口方案；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制定详细实施计划与风险管理策略。</w:t>
      </w:r>
    </w:p>
    <w:p>
      <w:pPr>
        <w:pStyle w:val="2"/>
        <w:bidi w:val="0"/>
        <w:rPr>
          <w:rFonts w:hint="eastAsia"/>
        </w:rPr>
      </w:pPr>
      <w:bookmarkStart w:id="12" w:name="_Toc11009"/>
      <w:r>
        <w:rPr>
          <w:rFonts w:hint="eastAsia"/>
        </w:rPr>
        <w:t>第二阶段：系统设计与开发（第3-8周）</w:t>
      </w:r>
      <w:bookmarkEnd w:id="12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完成系统架构设计、数据库设计、接口设计；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开发自助终端系统、统一支付平台；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完成与HIS、医保系统的接口开发与联调。</w:t>
      </w:r>
    </w:p>
    <w:p>
      <w:pPr>
        <w:pStyle w:val="2"/>
        <w:bidi w:val="0"/>
        <w:rPr>
          <w:rFonts w:hint="eastAsia"/>
        </w:rPr>
      </w:pPr>
      <w:bookmarkStart w:id="13" w:name="_Toc17250"/>
      <w:r>
        <w:rPr>
          <w:rFonts w:hint="eastAsia"/>
        </w:rPr>
        <w:t>第三阶段：部署与集成（第9-12周）</w:t>
      </w:r>
      <w:bookmarkEnd w:id="13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硬件设备采购、安装、调试；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系统部署、数据初始化、权限配置；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完成内网环境下的系统集成与功能测试。</w:t>
      </w:r>
    </w:p>
    <w:p>
      <w:pPr>
        <w:pStyle w:val="2"/>
        <w:bidi w:val="0"/>
        <w:rPr>
          <w:rFonts w:hint="eastAsia"/>
        </w:rPr>
      </w:pPr>
      <w:bookmarkStart w:id="14" w:name="_Toc7988"/>
      <w:r>
        <w:rPr>
          <w:rFonts w:hint="eastAsia"/>
        </w:rPr>
        <w:t>第四阶段：测试与培训（第13-14周）</w:t>
      </w:r>
      <w:bookmarkEnd w:id="14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开展功能测试、性能测试、安全测试；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组织医院工作人员操作培训；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编制用户操作手册与故障处理指南。</w:t>
      </w:r>
    </w:p>
    <w:p>
      <w:pPr>
        <w:pStyle w:val="2"/>
        <w:bidi w:val="0"/>
        <w:rPr>
          <w:rFonts w:hint="eastAsia"/>
        </w:rPr>
      </w:pPr>
      <w:bookmarkStart w:id="15" w:name="_Toc10511"/>
      <w:r>
        <w:rPr>
          <w:rFonts w:hint="eastAsia"/>
        </w:rPr>
        <w:t>第五阶段：上线与运维支持（第15周起）</w:t>
      </w:r>
      <w:bookmarkEnd w:id="15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系统正式上线运行；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提供7×24小时运维支持；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定期开展系统优化与功能迭代。</w:t>
      </w:r>
    </w:p>
    <w:p>
      <w:pPr>
        <w:pStyle w:val="1"/>
        <w:bidi w:val="0"/>
        <w:rPr>
          <w:rFonts w:hint="eastAsia"/>
        </w:rPr>
      </w:pPr>
      <w:bookmarkStart w:id="16" w:name="_Toc20220"/>
      <w:r>
        <w:rPr>
          <w:rFonts w:hint="eastAsia"/>
        </w:rPr>
        <w:t>技术实施方案</w:t>
      </w:r>
      <w:bookmarkEnd w:id="16"/>
    </w:p>
    <w:p>
      <w:pPr>
        <w:pStyle w:val="2"/>
        <w:bidi w:val="0"/>
        <w:rPr>
          <w:rFonts w:hint="eastAsia"/>
        </w:rPr>
      </w:pPr>
      <w:bookmarkStart w:id="17" w:name="_Toc103"/>
      <w:r>
        <w:rPr>
          <w:rFonts w:hint="eastAsia"/>
        </w:rPr>
        <w:t>系统架构设计</w:t>
      </w:r>
      <w:bookmarkEnd w:id="17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采用“一联五层”架构（外联平台+基础层、数据层、业务中台、应用层、访问层）；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支持B/S架构，适配自助终端、移动端等多场景接入；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模块化设计，便于功能扩展与升级。</w:t>
      </w:r>
    </w:p>
    <w:p>
      <w:pPr>
        <w:pStyle w:val="2"/>
        <w:bidi w:val="0"/>
        <w:rPr>
          <w:rFonts w:hint="eastAsia"/>
        </w:rPr>
      </w:pPr>
      <w:bookmarkStart w:id="18" w:name="_Toc31108"/>
      <w:r>
        <w:rPr>
          <w:rFonts w:hint="eastAsia"/>
        </w:rPr>
        <w:t>接口对接方案</w:t>
      </w:r>
      <w:bookmarkEnd w:id="18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使用HL7/FHIR标准进行医疗数据交换；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支持JSON/XML格式，通过院内专网与HIS、医保系统对接；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提供MD5/SM3签名、RSA/SM4加密机制，保障数据传输安全。</w:t>
      </w:r>
    </w:p>
    <w:p>
      <w:pPr>
        <w:pStyle w:val="2"/>
        <w:bidi w:val="0"/>
        <w:rPr>
          <w:rFonts w:hint="eastAsia"/>
        </w:rPr>
      </w:pPr>
      <w:bookmarkStart w:id="19" w:name="_Toc16710"/>
      <w:r>
        <w:rPr>
          <w:rFonts w:hint="eastAsia"/>
        </w:rPr>
        <w:t>安全实施方案</w:t>
      </w:r>
      <w:bookmarkEnd w:id="19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部署防火墙、入侵检测系统；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实现用户身份统一认证与权限分级管理；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数据库访问控制、日志全记录、数据加密存储与传输。</w:t>
      </w:r>
    </w:p>
    <w:p>
      <w:pPr>
        <w:pStyle w:val="2"/>
        <w:bidi w:val="0"/>
        <w:rPr>
          <w:rFonts w:hint="eastAsia"/>
        </w:rPr>
      </w:pPr>
      <w:bookmarkStart w:id="20" w:name="_Toc32548"/>
      <w:r>
        <w:rPr>
          <w:rFonts w:hint="eastAsia"/>
        </w:rPr>
        <w:t>性能保障措施</w:t>
      </w:r>
      <w:bookmarkEnd w:id="20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采用负载均衡与缓存机制，提升系统响应速度；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数据库索引优化，支持千万级数据高效查询；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定期进行压力测试与性能调优。</w:t>
      </w:r>
    </w:p>
    <w:p>
      <w:pPr>
        <w:pStyle w:val="1"/>
        <w:bidi w:val="0"/>
        <w:rPr>
          <w:rFonts w:hint="eastAsia"/>
        </w:rPr>
      </w:pPr>
      <w:bookmarkStart w:id="21" w:name="_Toc15049"/>
      <w:r>
        <w:rPr>
          <w:rFonts w:hint="eastAsia"/>
        </w:rPr>
        <w:t>项目管理与组织架构</w:t>
      </w:r>
      <w:bookmarkEnd w:id="21"/>
    </w:p>
    <w:p>
      <w:pPr>
        <w:pStyle w:val="2"/>
        <w:bidi w:val="0"/>
        <w:rPr>
          <w:rFonts w:hint="eastAsia"/>
        </w:rPr>
      </w:pPr>
      <w:bookmarkStart w:id="22" w:name="_Toc18956"/>
      <w:r>
        <w:rPr>
          <w:rFonts w:hint="eastAsia"/>
        </w:rPr>
        <w:t>项目组织架构</w:t>
      </w:r>
      <w:bookmarkEnd w:id="22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3"/>
        <w:gridCol w:w="7371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737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737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总体协调、进度控制、风险管理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737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系统设计、开发管理、技术攻关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实施工程师</w:t>
            </w:r>
          </w:p>
        </w:tc>
        <w:tc>
          <w:tcPr>
            <w:tcW w:w="737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系统部署、调试、培训支持</w:t>
            </w:r>
          </w:p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系统监控、故障处理、日常维护</w:t>
            </w:r>
          </w:p>
        </w:tc>
      </w:tr>
    </w:tbl>
    <w:p>
      <w:pPr>
        <w:pStyle w:val="2"/>
        <w:bidi w:val="0"/>
        <w:rPr>
          <w:rFonts w:hint="eastAsia"/>
        </w:rPr>
      </w:pPr>
      <w:bookmarkStart w:id="23" w:name="_Toc12255"/>
      <w:r>
        <w:rPr>
          <w:rFonts w:hint="eastAsia"/>
        </w:rPr>
        <w:t>质量控制措施</w:t>
      </w:r>
      <w:bookmarkEnd w:id="23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严格执行需求评审、设计评审、代码评审；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制定测试计划，覆盖功能、性能、安全、兼容性；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建立问题跟踪机制，确保问题闭环处理。</w:t>
      </w:r>
    </w:p>
    <w:p>
      <w:pPr>
        <w:pStyle w:val="2"/>
        <w:bidi w:val="0"/>
        <w:rPr>
          <w:rFonts w:hint="eastAsia"/>
        </w:rPr>
      </w:pPr>
      <w:bookmarkStart w:id="24" w:name="_Toc29951"/>
      <w:r>
        <w:rPr>
          <w:rFonts w:hint="eastAsia"/>
        </w:rPr>
        <w:t>风险管理</w:t>
      </w:r>
      <w:bookmarkEnd w:id="24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1"/>
        <w:gridCol w:w="6263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风险类型</w:t>
            </w:r>
          </w:p>
        </w:tc>
        <w:tc>
          <w:tcPr>
            <w:tcW w:w="626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应对措施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系统对接风险</w:t>
            </w:r>
          </w:p>
        </w:tc>
        <w:tc>
          <w:tcPr>
            <w:tcW w:w="626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提前联调、准备备用方案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数据安全风险</w:t>
            </w:r>
          </w:p>
        </w:tc>
        <w:tc>
          <w:tcPr>
            <w:tcW w:w="626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加密传输、权限控制、日志审计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用户接受度低</w:t>
            </w:r>
          </w:p>
        </w:tc>
        <w:tc>
          <w:tcPr>
            <w:tcW w:w="626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加强培训、优化界面、设置引导员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硬件故障风险</w:t>
            </w:r>
          </w:p>
        </w:tc>
        <w:tc>
          <w:tcPr>
            <w:tcW w:w="626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设备冗余、快速更换机制</w:t>
            </w:r>
          </w:p>
        </w:tc>
      </w:tr>
    </w:tbl>
    <w:p>
      <w:pPr>
        <w:pStyle w:val="1"/>
        <w:numPr>
          <w:numId w:val="0"/>
        </w:numPr>
        <w:bidi w:val="0"/>
        <w:ind w:leftChars="0"/>
        <w:rPr>
          <w:rFonts w:hint="eastAsia"/>
        </w:rPr>
      </w:pPr>
      <w:bookmarkStart w:id="25" w:name="_Toc28042"/>
    </w:p>
    <w:p>
      <w:pPr>
        <w:pStyle w:val="1"/>
        <w:bidi w:val="0"/>
        <w:rPr>
          <w:rFonts w:hint="eastAsia"/>
        </w:rPr>
      </w:pPr>
      <w:r>
        <w:rPr>
          <w:rFonts w:hint="eastAsia"/>
        </w:rPr>
        <w:t>培训与支持计划</w:t>
      </w:r>
      <w:bookmarkEnd w:id="25"/>
    </w:p>
    <w:p>
      <w:pPr>
        <w:pStyle w:val="2"/>
        <w:bidi w:val="0"/>
        <w:rPr>
          <w:rFonts w:hint="eastAsia"/>
        </w:rPr>
      </w:pPr>
      <w:bookmarkStart w:id="26" w:name="_Toc26904"/>
      <w:r>
        <w:rPr>
          <w:rFonts w:hint="eastAsia"/>
        </w:rPr>
        <w:t>培训内容</w:t>
      </w:r>
      <w:bookmarkEnd w:id="26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自助终端操作流程；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统一支付平台使用；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异常账处理与对账管理；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系统管理与维护基础。</w:t>
      </w:r>
    </w:p>
    <w:p>
      <w:pPr>
        <w:pStyle w:val="2"/>
        <w:bidi w:val="0"/>
        <w:rPr>
          <w:rFonts w:hint="eastAsia"/>
        </w:rPr>
      </w:pPr>
      <w:bookmarkStart w:id="27" w:name="_Toc20493"/>
      <w:r>
        <w:rPr>
          <w:rFonts w:hint="eastAsia"/>
        </w:rPr>
        <w:t>培训方式</w:t>
      </w:r>
      <w:bookmarkEnd w:id="27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现场集中培训；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视频教程+操作手册；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一对一辅导与实操演练。</w:t>
      </w:r>
    </w:p>
    <w:p>
      <w:pPr>
        <w:pStyle w:val="2"/>
        <w:bidi w:val="0"/>
        <w:rPr>
          <w:rFonts w:hint="eastAsia"/>
        </w:rPr>
      </w:pPr>
      <w:bookmarkStart w:id="28" w:name="_Toc12994"/>
      <w:r>
        <w:rPr>
          <w:rFonts w:hint="eastAsia"/>
        </w:rPr>
        <w:t>运维支持</w:t>
      </w:r>
      <w:bookmarkEnd w:id="28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提供7×24小时电话与在线支持；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定期巡检与系统健康检查；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建立用户反馈机制，持续优化系统体验。</w:t>
      </w:r>
    </w:p>
    <w:p>
      <w:pPr>
        <w:pStyle w:val="1"/>
        <w:bidi w:val="0"/>
        <w:rPr>
          <w:rFonts w:hint="eastAsia"/>
        </w:rPr>
      </w:pPr>
      <w:bookmarkStart w:id="29" w:name="_Toc5779"/>
      <w:r>
        <w:rPr>
          <w:rFonts w:hint="eastAsia"/>
        </w:rPr>
        <w:t>验收标准与交付物</w:t>
      </w:r>
      <w:bookmarkEnd w:id="29"/>
    </w:p>
    <w:p>
      <w:pPr>
        <w:pStyle w:val="2"/>
        <w:bidi w:val="0"/>
        <w:rPr>
          <w:rFonts w:hint="eastAsia"/>
        </w:rPr>
      </w:pPr>
      <w:bookmarkStart w:id="30" w:name="_Toc3901"/>
      <w:r>
        <w:rPr>
          <w:rFonts w:hint="eastAsia"/>
        </w:rPr>
        <w:t>验收标准</w:t>
      </w:r>
      <w:bookmarkEnd w:id="30"/>
    </w:p>
    <w:p>
      <w:pPr>
        <w:spacing w:before="193" w:line="361" w:lineRule="auto"/>
        <w:ind w:left="22" w:firstLine="481"/>
        <w:jc w:val="both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所有功能模块符合需求规格；</w:t>
      </w:r>
    </w:p>
    <w:p>
      <w:pPr>
        <w:spacing w:before="193" w:line="361" w:lineRule="auto"/>
        <w:ind w:left="22" w:firstLine="481"/>
        <w:jc w:val="both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系统性能满足响应时间要求（查询≤2秒，统计≤180秒）；</w:t>
      </w:r>
    </w:p>
    <w:p>
      <w:pPr>
        <w:spacing w:before="193" w:line="361" w:lineRule="auto"/>
        <w:ind w:left="22" w:firstLine="481"/>
        <w:jc w:val="both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通过安全渗透测试与数据完整性校验；</w:t>
      </w:r>
    </w:p>
    <w:p>
      <w:pPr>
        <w:spacing w:before="193" w:line="361" w:lineRule="auto"/>
        <w:ind w:left="22" w:firstLine="481"/>
        <w:jc w:val="both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用户培训完成率达100%。</w:t>
      </w:r>
    </w:p>
    <w:p>
      <w:pPr>
        <w:pStyle w:val="2"/>
        <w:bidi w:val="0"/>
        <w:rPr>
          <w:rFonts w:hint="eastAsia"/>
        </w:rPr>
      </w:pPr>
      <w:bookmarkStart w:id="31" w:name="_Toc8475"/>
      <w:r>
        <w:rPr>
          <w:rFonts w:hint="eastAsia"/>
        </w:rPr>
        <w:t>交付物清单</w:t>
      </w:r>
      <w:bookmarkEnd w:id="31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系统源代码及相关技术文档；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部署手册、用户操作手册、运维手册；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培训材料与视频教程；</w:t>
      </w:r>
      <w:bookmarkStart w:id="32" w:name="_GoBack"/>
      <w:bookmarkEnd w:id="32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系统测试报告与项目验收报告。</w:t>
      </w:r>
    </w:p>
    <w:p>
      <w:pPr>
        <w:spacing w:before="193" w:line="361" w:lineRule="auto"/>
        <w:ind w:left="22" w:firstLine="481"/>
        <w:jc w:val="both"/>
        <w:rPr>
          <w:rFonts w:ascii="宋体" w:eastAsia="宋体" w:hAnsi="宋体" w:cs="宋体"/>
          <w:sz w:val="24"/>
          <w:szCs w:val="24"/>
        </w:rPr>
      </w:pPr>
    </w:p>
    <w:sectPr>
      <w:headerReference w:type="default" r:id="rId4"/>
      <w:pgSz w:w="11906" w:h="16838"/>
      <w:pgMar w:top="1040" w:right="1740" w:bottom="1298" w:left="1785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992E7A9"/>
    <w:multiLevelType w:val="singleLevel"/>
    <w:tmpl w:val="2992E7A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ADC5A60"/>
    <w:multiLevelType w:val="singleLevel"/>
    <w:tmpl w:val="5ADC5A6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8</Pages>
  <Words>2117</Words>
  <Characters>2299</Characters>
  <Application>Microsoft Office Word</Application>
  <DocSecurity>0</DocSecurity>
  <Lines>0</Lines>
  <Paragraphs>0</Paragraphs>
  <ScaleCrop>false</ScaleCrop>
  <Company/>
  <LinksUpToDate>false</LinksUpToDate>
  <CharactersWithSpaces>2416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nancy杨茜</cp:lastModifiedBy>
  <cp:revision>0</cp:revision>
  <dcterms:created xsi:type="dcterms:W3CDTF">2025-08-21T08:48:00Z</dcterms:created>
  <dcterms:modified xsi:type="dcterms:W3CDTF">2026-01-07T01:46:26Z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