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60" w:lineRule="auto"/>
      </w:pPr>
    </w:p>
    <w:p>
      <w:pPr>
        <w:pStyle w:val="a"/>
        <w:bidi w:val="0"/>
        <w:rPr>
          <w:rFonts w:hint="eastAsia"/>
          <w:lang w:val="en-US" w:eastAsia="zh-CN"/>
        </w:rPr>
      </w:pPr>
      <w:bookmarkStart w:id="0" w:name="_Toc21449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临夏回族自治州中医医院“智慧银医”项目-实施计划</w:t>
      </w:r>
      <w:bookmarkEnd w:id="0"/>
    </w:p>
    <w:p>
      <w:pPr>
        <w:bidi w:val="0"/>
      </w:pPr>
    </w:p>
    <w:p>
      <w:pPr>
        <w:pStyle w:val="a0"/>
        <w:bidi w:val="0"/>
      </w:pPr>
      <w:bookmarkStart w:id="1" w:name="_Toc15879"/>
      <w:r>
        <w:t>江苏云储智能科技有限公司</w:t>
      </w:r>
      <w:bookmarkEnd w:id="1"/>
    </w:p>
    <w:p>
      <w:pPr>
        <w:spacing w:before="275"/>
        <w:ind w:left="3285"/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-01-04</w:t>
      </w:r>
    </w:p>
    <w:p>
      <w:pPr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br w:type="page"/>
      </w:r>
    </w:p>
    <w:p>
      <w:pPr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2" w:name="_Toc7401"/>
      <w:bookmarkStart w:id="3" w:name="_Toc17809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2"/>
      <w:bookmarkEnd w:id="3"/>
    </w:p>
    <w:p>
      <w:pPr>
        <w:spacing w:line="16" w:lineRule="exact"/>
      </w:pPr>
    </w:p>
    <w:tbl>
      <w:tblPr>
        <w:tblStyle w:val="TableNormal0"/>
        <w:tblW w:w="824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>
        <w:tblPrEx>
          <w:tblW w:w="8249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>
            <w:pPr>
              <w:pStyle w:val="TableText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项目实施计划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XMSSJH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>
            <w:pPr>
              <w:pStyle w:val="TableText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eastAsia="宋体"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>
            <w:pPr>
              <w:pStyle w:val="TableText"/>
              <w:spacing w:before="134" w:line="220" w:lineRule="auto"/>
              <w:ind w:left="480"/>
              <w:rPr>
                <w:rFonts w:eastAsia="宋体" w:hint="eastAsia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王朋</w:t>
            </w:r>
          </w:p>
        </w:tc>
        <w:tc>
          <w:tcPr>
            <w:tcW w:w="1608" w:type="dxa"/>
          </w:tcPr>
          <w:p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4"/>
              <w:ind w:left="361"/>
            </w:pPr>
          </w:p>
        </w:tc>
        <w:tc>
          <w:tcPr>
            <w:tcW w:w="1906" w:type="dxa"/>
          </w:tcPr>
          <w:p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>
            <w:pPr>
              <w:pStyle w:val="TableText"/>
              <w:spacing w:before="134" w:line="220" w:lineRule="auto"/>
              <w:ind w:left="672"/>
            </w:pP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5"/>
              <w:ind w:left="361"/>
            </w:pPr>
          </w:p>
        </w:tc>
        <w:tc>
          <w:tcPr>
            <w:tcW w:w="1906" w:type="dxa"/>
          </w:tcPr>
          <w:p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>
            <w:pPr>
              <w:pStyle w:val="TableText"/>
              <w:spacing w:before="135" w:line="220" w:lineRule="auto"/>
              <w:ind w:left="672"/>
            </w:pP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6"/>
              <w:ind w:left="361"/>
            </w:pPr>
          </w:p>
        </w:tc>
        <w:tc>
          <w:tcPr>
            <w:tcW w:w="1906" w:type="dxa"/>
          </w:tcPr>
          <w:p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>
            <w:pPr>
              <w:pStyle w:val="TableText"/>
              <w:spacing w:before="136" w:line="220" w:lineRule="auto"/>
              <w:ind w:left="672"/>
            </w:pP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275"/>
        <w:ind w:left="3285"/>
        <w:rPr>
          <w:rFonts w:ascii="宋体" w:eastAsia="宋体" w:hAnsi="宋体" w:cs="宋体"/>
          <w:spacing w:val="-2"/>
          <w:sz w:val="36"/>
          <w:szCs w:val="36"/>
        </w:rPr>
      </w:pPr>
    </w:p>
    <w:p>
      <w:pPr>
        <w:pStyle w:val="BodyText"/>
        <w:spacing w:line="244" w:lineRule="auto"/>
      </w:pPr>
    </w:p>
    <w:p>
      <w:p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/>
          <w:sz w:val="28"/>
          <w:szCs w:val="28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 w:val="20"/>
              <w:szCs w:val="20"/>
            </w:rPr>
            <w:fldChar w:fldCharType="begin"/>
          </w:r>
          <w:r>
            <w:rPr>
              <w:rFonts w:ascii="Calibri" w:eastAsia="Calibri" w:hAnsi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separate"/>
          </w: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_Toc21449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临夏回族自治州中医医院“智慧银医”项目-实施计划</w:t>
          </w:r>
          <w:r>
            <w:tab/>
          </w:r>
          <w:r>
            <w:fldChar w:fldCharType="begin"/>
          </w:r>
          <w:r>
            <w:instrText xml:space="preserve"> PAGEREF _Toc21449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_Toc15879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_Toc15879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_Toc17809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_Toc17809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_Toc4949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_Toc4949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_Toc5966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_Toc5966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_Toc13382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_Toc13382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_Toc20646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项目实施范围</w:t>
          </w:r>
          <w:r>
            <w:tab/>
          </w:r>
          <w:r>
            <w:fldChar w:fldCharType="begin"/>
          </w:r>
          <w:r>
            <w:instrText xml:space="preserve"> PAGEREF _Toc20646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_Toc6109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关键交付成果</w:t>
          </w:r>
          <w:r>
            <w:tab/>
          </w:r>
          <w:r>
            <w:fldChar w:fldCharType="begin"/>
          </w:r>
          <w:r>
            <w:instrText xml:space="preserve"> PAGEREF _Toc6109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_Toc19103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项目组织与职责</w:t>
          </w:r>
          <w:r>
            <w:tab/>
          </w:r>
          <w:r>
            <w:fldChar w:fldCharType="begin"/>
          </w:r>
          <w:r>
            <w:instrText xml:space="preserve"> PAGEREF _Toc19103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_Toc16598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项目实施详细计划</w:t>
          </w:r>
          <w:r>
            <w:tab/>
          </w:r>
          <w:r>
            <w:fldChar w:fldCharType="begin"/>
          </w:r>
          <w:r>
            <w:instrText xml:space="preserve"> PAGEREF _Toc16598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_Toc31657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项目启动与准备</w:t>
          </w:r>
          <w:r>
            <w:tab/>
          </w:r>
          <w:r>
            <w:fldChar w:fldCharType="begin"/>
          </w:r>
          <w:r>
            <w:instrText xml:space="preserve"> PAGEREF _Toc31657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_Toc22523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系统设计与开发</w:t>
          </w:r>
          <w:r>
            <w:tab/>
          </w:r>
          <w:r>
            <w:fldChar w:fldCharType="begin"/>
          </w:r>
          <w:r>
            <w:instrText xml:space="preserve"> PAGEREF _Toc22523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_Toc11545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集成测试与用户培训</w:t>
          </w:r>
          <w:r>
            <w:tab/>
          </w:r>
          <w:r>
            <w:fldChar w:fldCharType="begin"/>
          </w:r>
          <w:r>
            <w:instrText xml:space="preserve"> PAGEREF _Toc11545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_Toc32305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上线部署与试运行</w:t>
          </w:r>
          <w:r>
            <w:tab/>
          </w:r>
          <w:r>
            <w:fldChar w:fldCharType="begin"/>
          </w:r>
          <w:r>
            <w:instrText xml:space="preserve"> PAGEREF _Toc32305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_Toc11644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项目验收与运维移交</w:t>
          </w:r>
          <w:r>
            <w:tab/>
          </w:r>
          <w:r>
            <w:fldChar w:fldCharType="begin"/>
          </w:r>
          <w:r>
            <w:instrText xml:space="preserve"> PAGEREF _Toc11644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_Toc15377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沟通管理计划</w:t>
          </w:r>
          <w:r>
            <w:tab/>
          </w:r>
          <w:r>
            <w:fldChar w:fldCharType="begin"/>
          </w:r>
          <w:r>
            <w:instrText xml:space="preserve"> PAGEREF _Toc15377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_Toc28256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风险管理计划</w:t>
          </w:r>
          <w:r>
            <w:tab/>
          </w:r>
          <w:r>
            <w:fldChar w:fldCharType="begin"/>
          </w:r>
          <w:r>
            <w:instrText xml:space="preserve"> PAGEREF _Toc28256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_Toc25339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质量保证与验收标准</w:t>
          </w:r>
          <w:r>
            <w:tab/>
          </w:r>
          <w:r>
            <w:fldChar w:fldCharType="begin"/>
          </w:r>
          <w:r>
            <w:instrText xml:space="preserve"> PAGEREF _Toc25339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spacing w:line="228" w:lineRule="auto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eastAsia="Calibri" w:hAnsi="Calibri" w:cs="Calibri"/>
              <w:szCs w:val="20"/>
            </w:rPr>
            <w:fldChar w:fldCharType="end"/>
          </w:r>
        </w:p>
      </w:sdtContent>
    </w:sdt>
    <w:p>
      <w:pPr>
        <w:spacing w:line="228" w:lineRule="auto"/>
        <w:rPr>
          <w:rFonts w:ascii="Calibri" w:eastAsia="Calibri" w:hAnsi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num="1" w:space="720"/>
        </w:sectPr>
      </w:pPr>
    </w:p>
    <w:p>
      <w:pPr>
        <w:pStyle w:val="1"/>
        <w:bidi w:val="0"/>
        <w:rPr>
          <w:rFonts w:hint="eastAsia"/>
        </w:rPr>
      </w:pPr>
      <w:bookmarkStart w:id="4" w:name="bookmark11"/>
      <w:bookmarkEnd w:id="4"/>
      <w:bookmarkStart w:id="5" w:name="_Toc4949"/>
      <w:r>
        <w:rPr>
          <w:rFonts w:hint="eastAsia"/>
        </w:rPr>
        <w:t>项目概述</w:t>
      </w:r>
      <w:bookmarkEnd w:id="5"/>
    </w:p>
    <w:p>
      <w:pPr>
        <w:pStyle w:val="2"/>
        <w:bidi w:val="0"/>
        <w:rPr>
          <w:rFonts w:hint="eastAsia"/>
        </w:rPr>
      </w:pPr>
      <w:bookmarkStart w:id="6" w:name="_Toc5966"/>
      <w:r>
        <w:rPr>
          <w:rFonts w:hint="eastAsia"/>
        </w:rPr>
        <w:t>项目背景</w:t>
      </w:r>
      <w:bookmarkEnd w:id="6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本计划依据《临夏回族自治州中医医院“智慧银医”项目需求分析报告》与《产品规格说明书》编制，旨在指导“智慧银医”项目的有序实施。项目旨在通过建设统一支付结算平台、门诊及住院自助服务系统，优化患者就医流程，提升医院服务效率与管理水平，全面落实国家“互联网+医疗健康”便民惠民政策。</w:t>
      </w:r>
    </w:p>
    <w:p>
      <w:pPr>
        <w:pStyle w:val="2"/>
        <w:bidi w:val="0"/>
        <w:rPr>
          <w:rFonts w:hint="eastAsia"/>
        </w:rPr>
      </w:pPr>
      <w:bookmarkStart w:id="7" w:name="_Toc13382"/>
      <w:r>
        <w:rPr>
          <w:rFonts w:hint="eastAsia"/>
        </w:rPr>
        <w:t>项目目标</w:t>
      </w:r>
      <w:bookmarkEnd w:id="7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业务目标：实现门诊、住院全流程自助服务，显著减少患者排队时间，缓解窗口压力。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技术目标：建成稳定、安全、高效的“智慧银医”平台，实现与院内HIS、医保等核心系统的无缝对接。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管理目标：建立统一的支付对账与财务管理系统，实现资金流、信息流的闭环管理。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体验目标：为患者提供多渠道支付、一站式自助服务的便捷就医体验。</w:t>
      </w:r>
    </w:p>
    <w:p>
      <w:pPr>
        <w:pStyle w:val="2"/>
        <w:bidi w:val="0"/>
        <w:rPr>
          <w:rFonts w:hint="eastAsia"/>
        </w:rPr>
      </w:pPr>
      <w:bookmarkStart w:id="8" w:name="_Toc20646"/>
      <w:r>
        <w:rPr>
          <w:rFonts w:hint="eastAsia"/>
        </w:rPr>
        <w:t>项目实施范围</w:t>
      </w:r>
      <w:bookmarkEnd w:id="8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本项目实施范围涵盖以下内容：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软件系统开发与部署：统一支付结算平台、门诊自助服务系统、住院自助服务系统。</w:t>
      </w:r>
      <w:bookmarkStart w:id="9" w:name="_GoBack"/>
      <w:bookmarkEnd w:id="9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硬件设备采购与安装：门诊/住院自助服务终端及相关外设（读卡器、打印机等）。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系统集成与对接：与医院现有HIS系统、省/市医保平台进行接口开发与联调。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全院网络与安全加固：确保系统在内网环境下的安全、稳定运行。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培训与上线支持：针对医院管理员、财务人员、导诊人员及运维人员进行系统培训。</w:t>
      </w:r>
    </w:p>
    <w:p>
      <w:pPr>
        <w:pStyle w:val="2"/>
        <w:bidi w:val="0"/>
        <w:rPr>
          <w:rFonts w:hint="eastAsia"/>
        </w:rPr>
      </w:pPr>
      <w:bookmarkStart w:id="10" w:name="_Toc6109"/>
      <w:r>
        <w:rPr>
          <w:rFonts w:hint="eastAsia"/>
        </w:rPr>
        <w:t>关键交付成果</w:t>
      </w:r>
      <w:bookmarkEnd w:id="10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可正式运行的“智慧银医”软件系统平台。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部署完毕并投入使用的自助服务终端设备。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全套项目文档（开发文档、部署手册、用户操作手册、培训材料）。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通过验收测试并完成上线切换。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完成关键用户培训并提供初期运维支持。</w:t>
      </w:r>
    </w:p>
    <w:p>
      <w:pPr>
        <w:pStyle w:val="1"/>
        <w:bidi w:val="0"/>
        <w:rPr>
          <w:rFonts w:hint="eastAsia"/>
        </w:rPr>
      </w:pPr>
      <w:bookmarkStart w:id="11" w:name="_Toc19103"/>
      <w:r>
        <w:rPr>
          <w:rFonts w:hint="eastAsia"/>
        </w:rPr>
        <w:t>项目组织与职责</w:t>
      </w:r>
      <w:bookmarkEnd w:id="11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5"/>
        <w:gridCol w:w="2543"/>
        <w:gridCol w:w="4896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所属单位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项目领导小组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院方/国邦科技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项目重大决策、资源协调、关键问题裁决。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全面负责项目计划、执行、监控、交付及团队管理。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院方项目负责人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临夏州中医医院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协调院内资源，审核业务需求，监督项目质量与进度。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负责系统架构设计、技术攻关、开发质量管理。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负责系统设计、编码、单元测试、集成测试。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负责环境部署、系统配置、数据迁移、上线切换。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HIS系统接口人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临夏州中医医院/HIS厂商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提供HIS接口规范，配合接口联调与测试。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院方关键用户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临夏州中医医院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参与需求确认、功能测试、接受培训，反馈使用意见。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运维支持团队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提供上线后运维支持、问题处理及系统优化。</w:t>
            </w:r>
          </w:p>
        </w:tc>
      </w:tr>
    </w:tbl>
    <w:p>
      <w:pPr>
        <w:pStyle w:val="a1"/>
        <w:rPr>
          <w:rFonts w:hint="eastAsia"/>
        </w:rPr>
      </w:pPr>
    </w:p>
    <w:p>
      <w:pPr>
        <w:pStyle w:val="1"/>
        <w:bidi w:val="0"/>
        <w:rPr>
          <w:rFonts w:hint="eastAsia"/>
        </w:rPr>
      </w:pPr>
      <w:bookmarkStart w:id="12" w:name="_Toc16598"/>
      <w:r>
        <w:rPr>
          <w:rFonts w:hint="eastAsia"/>
        </w:rPr>
        <w:t>项目实施详细计划</w:t>
      </w:r>
      <w:bookmarkEnd w:id="12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本项目总周期预计为 16周，分为五个主要阶段。</w:t>
      </w:r>
    </w:p>
    <w:p>
      <w:pPr>
        <w:pStyle w:val="2"/>
        <w:bidi w:val="0"/>
        <w:rPr>
          <w:rFonts w:hint="eastAsia"/>
        </w:rPr>
      </w:pPr>
      <w:bookmarkStart w:id="13" w:name="_Toc31657"/>
      <w:r>
        <w:rPr>
          <w:rFonts w:hint="eastAsia"/>
        </w:rPr>
        <w:t>项目启动与准备</w:t>
      </w:r>
      <w:bookmarkEnd w:id="13"/>
    </w:p>
    <w:p>
      <w:pPr>
        <w:pStyle w:val="a1"/>
        <w:bidi w:val="0"/>
        <w:rPr>
          <w:rFonts w:hint="default"/>
        </w:rPr>
      </w:pPr>
      <w:r>
        <w:t>目标</w:t>
      </w:r>
      <w:r>
        <w:rPr>
          <w:rFonts w:hint="default"/>
        </w:rPr>
        <w:t>：完成项目团队组建，明确项目目标与范围，确认技术及接口方案。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2513"/>
        <w:gridCol w:w="1685"/>
        <w:gridCol w:w="2395"/>
        <w:gridCol w:w="101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任务序号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产出物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计划周期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1.1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召开项目启动会，宣布项目章程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《项目启动会纪要》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第1周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1.2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组建项目团队，明确沟通机制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《项目组织与沟通计划》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第1周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1.3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深化需求调研，确认业务流程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《业务需求确认书》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第1-2周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1.4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确认HIS、医保系统接口技术方案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国邦/院方/HIS厂商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《系统接口技术规格说明书》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第2周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1.5</w:t>
            </w:r>
          </w:p>
        </w:tc>
        <w:tc>
          <w:tcPr>
            <w:tcW w:w="251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制定详细项目管理计划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《项目实施计划》(本文档)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第2周</w:t>
            </w:r>
          </w:p>
        </w:tc>
      </w:tr>
    </w:tbl>
    <w:p>
      <w:pPr>
        <w:pStyle w:val="a1"/>
        <w:bidi w:val="0"/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bookmarkStart w:id="14" w:name="_Toc22523"/>
      <w:r>
        <w:rPr>
          <w:rFonts w:hint="eastAsia"/>
        </w:rPr>
        <w:t>系统设计与开发</w:t>
      </w:r>
      <w:bookmarkEnd w:id="14"/>
    </w:p>
    <w:p>
      <w:pPr>
        <w:pStyle w:val="a1"/>
        <w:bidi w:val="0"/>
        <w:rPr>
          <w:rFonts w:hint="default"/>
        </w:rPr>
      </w:pPr>
      <w:r>
        <w:t>目标</w:t>
      </w:r>
      <w:r>
        <w:rPr>
          <w:rFonts w:hint="default"/>
        </w:rPr>
        <w:t>：完成系统详细设计、软件开发、单元测试及内部集成。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3194"/>
        <w:gridCol w:w="984"/>
        <w:gridCol w:w="2034"/>
        <w:gridCol w:w="98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任务序号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产出物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计划周期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2.1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系统详细设计（数据库、界面、架构）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《系统详细设计说明书》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第3-4周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2.2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统一支付平台开发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统一支付平台模块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第4-7周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2.3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门诊/住院自助服务系统开发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自助服务系统软件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第5-8周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2.4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与HIS、医保模拟环境接口开发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接口程序代码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第6-8周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2.5</w:t>
            </w:r>
          </w:p>
        </w:tc>
        <w:tc>
          <w:tcPr>
            <w:tcW w:w="319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系统内部集成与单元测试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《单元测试报告》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第7-8周</w:t>
            </w:r>
          </w:p>
        </w:tc>
      </w:tr>
    </w:tbl>
    <w:p>
      <w:pPr>
        <w:pStyle w:val="2"/>
        <w:bidi w:val="0"/>
        <w:rPr>
          <w:rFonts w:hint="eastAsia"/>
        </w:rPr>
      </w:pPr>
      <w:bookmarkStart w:id="15" w:name="_Toc11545"/>
      <w:r>
        <w:rPr>
          <w:rFonts w:hint="eastAsia"/>
        </w:rPr>
        <w:t>集成测试与用户培训</w:t>
      </w:r>
      <w:bookmarkEnd w:id="15"/>
    </w:p>
    <w:p>
      <w:pPr>
        <w:pStyle w:val="a1"/>
        <w:bidi w:val="0"/>
      </w:pPr>
      <w:r>
        <w:rPr>
          <w:rFonts w:hint="default"/>
        </w:rPr>
        <w:t>目标：在模拟/测试环境中完成系统集成测试，并对关键用户进行培训。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3"/>
        <w:gridCol w:w="2800"/>
        <w:gridCol w:w="1130"/>
        <w:gridCol w:w="2660"/>
        <w:gridCol w:w="105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任务序号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工作内容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责任方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产出物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计划周期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3.1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搭建与生产环境一致的测试环境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项目测试环境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第9周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3.2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自助终端硬件设备到货、验收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国邦/院方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《硬件设备验收单》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第9周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3.3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系统集成测试（SIT）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国邦/院方关键用户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《系统集成测试报告》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第10周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3.4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用户验收测试（UAT）准备与执行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院方关键用户/国邦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《用户验收测试报告》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第10-11周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3.5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编制用户操作手册、培训教材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国邦科技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《用户操作手册》、《培训课件》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第10周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3.6</w:t>
            </w:r>
          </w:p>
        </w:tc>
        <w:tc>
          <w:tcPr>
            <w:tcW w:w="280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关键用户操作培训</w:t>
            </w:r>
          </w:p>
        </w:tc>
        <w:tc>
          <w:tcPr>
            <w:tcW w:w="1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国邦科技/院方</w:t>
            </w:r>
          </w:p>
        </w:tc>
        <w:tc>
          <w:tcPr>
            <w:tcW w:w="26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《培训签到表》、《培训反馈记录》</w:t>
            </w:r>
          </w:p>
        </w:tc>
        <w:tc>
          <w:tcPr>
            <w:tcW w:w="105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5"/>
                <w:szCs w:val="15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第11周</w:t>
            </w:r>
          </w:p>
        </w:tc>
      </w:tr>
    </w:tbl>
    <w:p>
      <w:pPr>
        <w:pStyle w:val="2"/>
        <w:bidi w:val="0"/>
        <w:rPr>
          <w:rFonts w:hint="eastAsia"/>
        </w:rPr>
      </w:pPr>
      <w:bookmarkStart w:id="16" w:name="_Toc32305"/>
      <w:r>
        <w:rPr>
          <w:rFonts w:hint="eastAsia"/>
        </w:rPr>
        <w:t>上线部署与试运行</w:t>
      </w:r>
      <w:bookmarkEnd w:id="16"/>
    </w:p>
    <w:p>
      <w:pPr>
        <w:pStyle w:val="NormalWeb"/>
        <w:keepNext w:val="0"/>
        <w:keepLines w:val="0"/>
        <w:widowControl/>
        <w:suppressLineNumbers w:val="0"/>
        <w:shd w:val="clear" w:color="auto" w:fill="auto"/>
        <w:spacing w:before="192" w:beforeAutospacing="0" w:after="192" w:afterAutospacing="0"/>
        <w:ind w:left="0" w:right="0" w:firstLine="0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19"/>
          <w:szCs w:val="19"/>
          <w:shd w:val="clear" w:color="auto" w:fill="FFFFFF"/>
        </w:rPr>
        <w:t>目标：系统在生产环境部署上线，并进入试运行阶段。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3084"/>
        <w:gridCol w:w="1175"/>
        <w:gridCol w:w="2184"/>
        <w:gridCol w:w="110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任务序号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产出物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计划周期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制定详细上线部署与回滚方案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《系统上线部署方案》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第12周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生产环境软硬件部署与初始化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生产环境系统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第12-13周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历史数据迁移（如需）与系统切换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上线切换完成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第13周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系统正式上线，开始试运行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国邦/院方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系统上线发布公告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第13周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4.5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上线初期现场支持与问题排查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《上线问题跟踪日志》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第13-14周</w:t>
            </w:r>
          </w:p>
        </w:tc>
      </w:tr>
    </w:tbl>
    <w:p>
      <w:pPr>
        <w:pStyle w:val="a1"/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bookmarkStart w:id="17" w:name="_Toc11644"/>
      <w:r>
        <w:rPr>
          <w:rFonts w:hint="eastAsia"/>
        </w:rPr>
        <w:t>项目验收与运维移交</w:t>
      </w:r>
      <w:bookmarkEnd w:id="17"/>
    </w:p>
    <w:p>
      <w:pPr>
        <w:pStyle w:val="a1"/>
        <w:bidi w:val="0"/>
      </w:pPr>
      <w:r>
        <w:rPr>
          <w:rFonts w:hint="default"/>
        </w:rPr>
        <w:t>目标：项目通过正式验收，系统进入正式运维期。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2582"/>
        <w:gridCol w:w="1228"/>
        <w:gridCol w:w="2774"/>
        <w:gridCol w:w="97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任务序号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产出物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计划周期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5.1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试运行问题修复与系统优化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《试运行问题总结与优化报告》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第15周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5.2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整理并提交全部项目交付物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完整项目交付物清单及文件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第15周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5.3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项目终验评审会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国邦/院方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《项目终验报告》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第16周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5.4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签署项目验收合格证书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国邦/院方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《项目验收合格证书》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第16周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5.5</w:t>
            </w:r>
          </w:p>
        </w:tc>
        <w:tc>
          <w:tcPr>
            <w:tcW w:w="258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项目总结与知识转移，进入质保运维期</w:t>
            </w:r>
          </w:p>
        </w:tc>
        <w:tc>
          <w:tcPr>
            <w:tcW w:w="12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国邦科技</w:t>
            </w:r>
          </w:p>
        </w:tc>
        <w:tc>
          <w:tcPr>
            <w:tcW w:w="27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《项目总结报告》、《运维服务交接单》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第16周</w:t>
            </w:r>
          </w:p>
        </w:tc>
      </w:tr>
    </w:tbl>
    <w:p>
      <w:pPr>
        <w:pStyle w:val="1"/>
        <w:bidi w:val="0"/>
        <w:rPr>
          <w:rFonts w:hint="eastAsia"/>
        </w:rPr>
      </w:pPr>
      <w:bookmarkStart w:id="18" w:name="_Toc15377"/>
      <w:r>
        <w:rPr>
          <w:rFonts w:hint="eastAsia"/>
        </w:rPr>
        <w:t>沟通管理计划</w:t>
      </w:r>
      <w:bookmarkEnd w:id="18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0"/>
        <w:gridCol w:w="1153"/>
        <w:gridCol w:w="3010"/>
        <w:gridCol w:w="290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1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会议类型</w:t>
            </w:r>
          </w:p>
        </w:tc>
        <w:tc>
          <w:tcPr>
            <w:tcW w:w="115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参加人员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项目周例会</w:t>
            </w:r>
          </w:p>
        </w:tc>
        <w:tc>
          <w:tcPr>
            <w:tcW w:w="115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每周一次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项目经理、院方负责人、各小组长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同步进展、识别风险、解决问题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技术专题会</w:t>
            </w:r>
          </w:p>
        </w:tc>
        <w:tc>
          <w:tcPr>
            <w:tcW w:w="115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按需召开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技术负责人、开发、测试、HIS接口人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讨论并决策技术方案与接口问题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阶段评审会</w:t>
            </w:r>
          </w:p>
        </w:tc>
        <w:tc>
          <w:tcPr>
            <w:tcW w:w="115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每阶段结束时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项目领导小组、项目核心成员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评审阶段成果，决策是否进入下一阶段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0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上线部署协调会</w:t>
            </w:r>
          </w:p>
        </w:tc>
        <w:tc>
          <w:tcPr>
            <w:tcW w:w="115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上线前后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项目全体实施人员、院方相关科室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部署任务协调、应急预案确认</w:t>
            </w:r>
          </w:p>
        </w:tc>
      </w:tr>
    </w:tbl>
    <w:p>
      <w:pPr>
        <w:pStyle w:val="1"/>
        <w:bidi w:val="0"/>
        <w:rPr>
          <w:rFonts w:hint="eastAsia"/>
        </w:rPr>
      </w:pPr>
      <w:bookmarkStart w:id="19" w:name="_Toc28256"/>
      <w:r>
        <w:rPr>
          <w:rFonts w:hint="eastAsia"/>
        </w:rPr>
        <w:t>风险管理计划</w:t>
      </w:r>
      <w:bookmarkEnd w:id="19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1907"/>
        <w:gridCol w:w="789"/>
        <w:gridCol w:w="860"/>
        <w:gridCol w:w="409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风险类别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</w:t>
            </w: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描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述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概率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应对措施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HIS系统接口开发延迟或异常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提前介入，与HIS厂商建立联合调试机制；制定备选数据交换方案。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上线后用户提出重大需求变更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严格执行变更控制流程；明确项目范围，对重大变更纳入后期迭代。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实施风险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上线切换期间影响医院正常业务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制定详尽的离线应急预案和回滚方案；选择业务低峰期（如周末夜间）进行切换。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人力资源风险</w:t>
            </w:r>
          </w:p>
        </w:tc>
        <w:tc>
          <w:tcPr>
            <w:tcW w:w="190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关键技术人员或用户代表变动</w:t>
            </w:r>
          </w:p>
        </w:tc>
        <w:tc>
          <w:tcPr>
            <w:tcW w:w="78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86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4090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确保项目文档齐全；建立AB角备份机制；加强团队内部知识共享。</w:t>
            </w:r>
          </w:p>
        </w:tc>
      </w:tr>
    </w:tbl>
    <w:p>
      <w:pPr>
        <w:pStyle w:val="a1"/>
        <w:rPr>
          <w:rFonts w:hint="eastAsia"/>
        </w:rPr>
      </w:pPr>
    </w:p>
    <w:p>
      <w:pPr>
        <w:pStyle w:val="1"/>
        <w:bidi w:val="0"/>
        <w:rPr>
          <w:rFonts w:hint="eastAsia"/>
        </w:rPr>
      </w:pPr>
      <w:bookmarkStart w:id="20" w:name="_Toc25339"/>
      <w:r>
        <w:rPr>
          <w:rFonts w:hint="eastAsia"/>
        </w:rPr>
        <w:t>质量保证与验收标准</w:t>
      </w:r>
      <w:bookmarkEnd w:id="20"/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功能符合性：系统功能必须100%满足《产品规格说明书》中定义的需求。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性能达标：关键交易响应时间需满足“千万级数据查询≤2秒”等性能指标。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安全合规：通过基础的安全扫描，确保无高风险漏洞；权限控制、日志审计等功能完备。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文档完整性：交付全部约定的文档，内容准确、完整。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用户培训：关键用户培训覆盖率达100%，培训考核合格。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rPr>
          <w:rFonts w:hint="eastAsia"/>
        </w:rPr>
        <w:t>试运行稳定：系统试运行期间，无重大（P0/P1级）故障发生，业务连续运行稳定。</w:t>
      </w:r>
    </w:p>
    <w:sectPr>
      <w:headerReference w:type="default" r:id="rId4"/>
      <w:pgSz w:w="11906" w:h="16838"/>
      <w:pgMar w:top="1460" w:right="1740" w:bottom="1718" w:left="1785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4D536B8"/>
    <w:multiLevelType w:val="singleLevel"/>
    <w:tmpl w:val="B4D536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4F63152"/>
    <w:multiLevelType w:val="singleLevel"/>
    <w:tmpl w:val="44F6315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B76FB70"/>
    <w:multiLevelType w:val="singleLevel"/>
    <w:tmpl w:val="4B76FB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9</Pages>
  <Words>2891</Words>
  <Characters>3085</Characters>
  <Application>Microsoft Office Word</Application>
  <DocSecurity>0</DocSecurity>
  <Lines>0</Lines>
  <Paragraphs>0</Paragraphs>
  <ScaleCrop>false</ScaleCrop>
  <Company/>
  <LinksUpToDate>false</LinksUpToDate>
  <CharactersWithSpaces>3155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nancy杨茜</cp:lastModifiedBy>
  <cp:revision>0</cp:revision>
  <dcterms:created xsi:type="dcterms:W3CDTF">2025-08-21T08:48:00Z</dcterms:created>
  <dcterms:modified xsi:type="dcterms:W3CDTF">2026-01-07T01:56:01Z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