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2B2" w:rsidRDefault="00F602B2" w:rsidP="00F602B2">
      <w:pPr>
        <w:pStyle w:val="ab"/>
        <w:spacing w:after="1440"/>
        <w:rPr>
          <w:rFonts w:hint="default"/>
          <w:lang w:eastAsia="zh-CN"/>
        </w:rPr>
      </w:pPr>
      <w:bookmarkStart w:id="0" w:name="_Toc19614"/>
    </w:p>
    <w:p w:rsidR="00F602B2" w:rsidRDefault="00CE7A46" w:rsidP="00F602B2">
      <w:pPr>
        <w:pStyle w:val="ab"/>
        <w:spacing w:after="1440"/>
        <w:rPr>
          <w:rFonts w:hint="default"/>
          <w:lang w:eastAsia="zh-CN"/>
        </w:rPr>
      </w:pPr>
      <w:r>
        <w:rPr>
          <w:lang w:eastAsia="zh-CN"/>
        </w:rPr>
        <w:t>临夏回族自治州中医医院“智慧银医”项目</w:t>
      </w:r>
      <w:r>
        <w:rPr>
          <w:lang w:eastAsia="zh-CN"/>
        </w:rPr>
        <w:t>-</w:t>
      </w:r>
      <w:r>
        <w:rPr>
          <w:lang w:eastAsia="zh-CN"/>
        </w:rPr>
        <w:t>阶段性总结报告</w:t>
      </w:r>
      <w:bookmarkEnd w:id="0"/>
    </w:p>
    <w:p w:rsidR="00F602B2" w:rsidRDefault="00F602B2"/>
    <w:p w:rsidR="00F602B2" w:rsidRDefault="00CE7A46" w:rsidP="00F602B2">
      <w:pPr>
        <w:pStyle w:val="ac"/>
        <w:spacing w:after="2160"/>
      </w:pPr>
      <w:bookmarkStart w:id="1" w:name="_Toc27186"/>
      <w:r>
        <w:t>江苏云储智能科技有限公司</w:t>
      </w:r>
      <w:bookmarkEnd w:id="1"/>
    </w:p>
    <w:p w:rsidR="00F602B2" w:rsidRDefault="00CE7A46">
      <w:pPr>
        <w:spacing w:before="275"/>
        <w:ind w:left="3285"/>
        <w:rPr>
          <w:rFonts w:ascii="宋体" w:hAnsi="宋体" w:cs="宋体"/>
          <w:spacing w:val="-2"/>
          <w:sz w:val="36"/>
          <w:szCs w:val="36"/>
        </w:rPr>
      </w:pPr>
      <w:r>
        <w:rPr>
          <w:rFonts w:ascii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2"/>
          <w:sz w:val="36"/>
          <w:szCs w:val="36"/>
        </w:rPr>
        <w:t>-01-04</w:t>
      </w:r>
    </w:p>
    <w:p w:rsidR="00F602B2" w:rsidRDefault="00CE7A46">
      <w:pPr>
        <w:rPr>
          <w:rFonts w:ascii="宋体" w:hAnsi="宋体" w:cs="宋体"/>
          <w:spacing w:val="-2"/>
          <w:sz w:val="36"/>
          <w:szCs w:val="36"/>
        </w:rPr>
      </w:pPr>
      <w:r>
        <w:rPr>
          <w:rFonts w:ascii="宋体" w:hAnsi="宋体" w:cs="宋体"/>
          <w:spacing w:val="-2"/>
          <w:sz w:val="36"/>
          <w:szCs w:val="36"/>
        </w:rPr>
        <w:br w:type="page"/>
      </w:r>
    </w:p>
    <w:p w:rsidR="00F602B2" w:rsidRDefault="00CE7A46">
      <w:pPr>
        <w:spacing w:before="69" w:line="220" w:lineRule="auto"/>
        <w:ind w:left="3954"/>
        <w:outlineLvl w:val="0"/>
        <w:rPr>
          <w:rFonts w:ascii="宋体" w:hAnsi="宋体" w:cs="宋体"/>
        </w:rPr>
      </w:pPr>
      <w:bookmarkStart w:id="2" w:name="_Toc7401"/>
      <w:bookmarkStart w:id="3" w:name="_Toc29581"/>
      <w:r>
        <w:rPr>
          <w:rFonts w:ascii="宋体" w:hAnsi="宋体" w:cs="宋体"/>
          <w:spacing w:val="-2"/>
        </w:rPr>
        <w:lastRenderedPageBreak/>
        <w:t>文档信息</w:t>
      </w:r>
      <w:bookmarkEnd w:id="2"/>
      <w:bookmarkEnd w:id="3"/>
    </w:p>
    <w:p w:rsidR="00F602B2" w:rsidRDefault="00F602B2">
      <w:pPr>
        <w:spacing w:line="16" w:lineRule="exact"/>
      </w:pPr>
    </w:p>
    <w:tbl>
      <w:tblPr>
        <w:tblStyle w:val="TableNormal0"/>
        <w:tblW w:w="824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4"/>
        <w:gridCol w:w="1555"/>
        <w:gridCol w:w="1906"/>
        <w:gridCol w:w="1476"/>
        <w:gridCol w:w="1608"/>
      </w:tblGrid>
      <w:tr w:rsidR="00F602B2">
        <w:trPr>
          <w:trHeight w:val="611"/>
        </w:trPr>
        <w:tc>
          <w:tcPr>
            <w:tcW w:w="1704" w:type="dxa"/>
          </w:tcPr>
          <w:p w:rsidR="00F602B2" w:rsidRDefault="00CE7A46"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:rsidR="00F602B2" w:rsidRDefault="00CE7A46"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eastAsia="zh-CN"/>
              </w:rPr>
              <w:t>项目实施计划</w:t>
            </w:r>
            <w:r>
              <w:rPr>
                <w:spacing w:val="-1"/>
              </w:rPr>
              <w:t>（</w:t>
            </w:r>
            <w:r>
              <w:rPr>
                <w:spacing w:val="-1"/>
              </w:rPr>
              <w:t>JSYC-ITSS-</w:t>
            </w:r>
            <w:r>
              <w:rPr>
                <w:rFonts w:hint="eastAsia"/>
                <w:spacing w:val="-1"/>
                <w:lang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:rsidR="00F602B2">
        <w:trPr>
          <w:trHeight w:val="606"/>
        </w:trPr>
        <w:tc>
          <w:tcPr>
            <w:tcW w:w="1704" w:type="dxa"/>
          </w:tcPr>
          <w:p w:rsidR="00F602B2" w:rsidRDefault="00CE7A46"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:rsidR="00F602B2" w:rsidRDefault="00CE7A46"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:rsidR="00F602B2">
        <w:trPr>
          <w:trHeight w:val="607"/>
        </w:trPr>
        <w:tc>
          <w:tcPr>
            <w:tcW w:w="1704" w:type="dxa"/>
          </w:tcPr>
          <w:p w:rsidR="00F602B2" w:rsidRDefault="00CE7A46"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:rsidR="00F602B2" w:rsidRDefault="00CE7A46"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:rsidR="00F602B2" w:rsidRDefault="00CE7A46"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:rsidR="00F602B2" w:rsidRDefault="00CE7A46"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:rsidR="00F602B2" w:rsidRDefault="00CE7A46"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:rsidR="00F602B2">
        <w:trPr>
          <w:trHeight w:val="474"/>
        </w:trPr>
        <w:tc>
          <w:tcPr>
            <w:tcW w:w="1704" w:type="dxa"/>
          </w:tcPr>
          <w:p w:rsidR="00F602B2" w:rsidRDefault="00CE7A46"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:rsidR="00F602B2" w:rsidRDefault="00CE7A46"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:rsidR="00F602B2" w:rsidRDefault="00CE7A46"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:rsidR="00F602B2" w:rsidRDefault="00CE7A46">
            <w:pPr>
              <w:pStyle w:val="TableText"/>
              <w:spacing w:before="134" w:line="220" w:lineRule="auto"/>
              <w:ind w:left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608" w:type="dxa"/>
          </w:tcPr>
          <w:p w:rsidR="00F602B2" w:rsidRDefault="00CE7A46"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:rsidR="00F602B2">
        <w:trPr>
          <w:trHeight w:val="474"/>
        </w:trPr>
        <w:tc>
          <w:tcPr>
            <w:tcW w:w="1704" w:type="dxa"/>
          </w:tcPr>
          <w:p w:rsidR="00F602B2" w:rsidRDefault="00F602B2"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:rsidR="00F602B2" w:rsidRDefault="00F602B2">
            <w:pPr>
              <w:pStyle w:val="TableText"/>
              <w:spacing w:before="164"/>
              <w:ind w:left="361"/>
            </w:pPr>
          </w:p>
        </w:tc>
        <w:tc>
          <w:tcPr>
            <w:tcW w:w="1906" w:type="dxa"/>
          </w:tcPr>
          <w:p w:rsidR="00F602B2" w:rsidRDefault="00F602B2"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:rsidR="00F602B2" w:rsidRDefault="00F602B2"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:rsidR="00F602B2" w:rsidRDefault="00F602B2">
            <w:pPr>
              <w:pStyle w:val="TableText"/>
              <w:spacing w:before="134" w:line="220" w:lineRule="auto"/>
              <w:ind w:left="672"/>
            </w:pPr>
          </w:p>
        </w:tc>
      </w:tr>
      <w:tr w:rsidR="00F602B2">
        <w:trPr>
          <w:trHeight w:val="474"/>
        </w:trPr>
        <w:tc>
          <w:tcPr>
            <w:tcW w:w="1704" w:type="dxa"/>
          </w:tcPr>
          <w:p w:rsidR="00F602B2" w:rsidRDefault="00F602B2"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:rsidR="00F602B2" w:rsidRDefault="00F602B2">
            <w:pPr>
              <w:pStyle w:val="TableText"/>
              <w:spacing w:before="165"/>
              <w:ind w:left="361"/>
            </w:pPr>
          </w:p>
        </w:tc>
        <w:tc>
          <w:tcPr>
            <w:tcW w:w="1906" w:type="dxa"/>
          </w:tcPr>
          <w:p w:rsidR="00F602B2" w:rsidRDefault="00F602B2"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:rsidR="00F602B2" w:rsidRDefault="00F602B2"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:rsidR="00F602B2" w:rsidRDefault="00F602B2">
            <w:pPr>
              <w:pStyle w:val="TableText"/>
              <w:spacing w:before="135" w:line="220" w:lineRule="auto"/>
              <w:ind w:left="672"/>
            </w:pPr>
          </w:p>
        </w:tc>
      </w:tr>
      <w:tr w:rsidR="00F602B2">
        <w:trPr>
          <w:trHeight w:val="474"/>
        </w:trPr>
        <w:tc>
          <w:tcPr>
            <w:tcW w:w="1704" w:type="dxa"/>
          </w:tcPr>
          <w:p w:rsidR="00F602B2" w:rsidRDefault="00F602B2"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:rsidR="00F602B2" w:rsidRDefault="00F602B2">
            <w:pPr>
              <w:pStyle w:val="TableText"/>
              <w:spacing w:before="166"/>
              <w:ind w:left="361"/>
            </w:pPr>
          </w:p>
        </w:tc>
        <w:tc>
          <w:tcPr>
            <w:tcW w:w="1906" w:type="dxa"/>
          </w:tcPr>
          <w:p w:rsidR="00F602B2" w:rsidRDefault="00F602B2"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:rsidR="00F602B2" w:rsidRDefault="00F602B2"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:rsidR="00F602B2" w:rsidRDefault="00F602B2">
            <w:pPr>
              <w:pStyle w:val="TableText"/>
              <w:spacing w:before="136" w:line="220" w:lineRule="auto"/>
              <w:ind w:left="672"/>
            </w:pPr>
          </w:p>
        </w:tc>
      </w:tr>
      <w:tr w:rsidR="00F602B2">
        <w:trPr>
          <w:trHeight w:val="589"/>
        </w:trPr>
        <w:tc>
          <w:tcPr>
            <w:tcW w:w="1704" w:type="dxa"/>
          </w:tcPr>
          <w:p w:rsidR="00F602B2" w:rsidRDefault="00F602B2"/>
        </w:tc>
        <w:tc>
          <w:tcPr>
            <w:tcW w:w="1555" w:type="dxa"/>
          </w:tcPr>
          <w:p w:rsidR="00F602B2" w:rsidRDefault="00F602B2"/>
        </w:tc>
        <w:tc>
          <w:tcPr>
            <w:tcW w:w="1906" w:type="dxa"/>
          </w:tcPr>
          <w:p w:rsidR="00F602B2" w:rsidRDefault="00F602B2"/>
        </w:tc>
        <w:tc>
          <w:tcPr>
            <w:tcW w:w="1476" w:type="dxa"/>
          </w:tcPr>
          <w:p w:rsidR="00F602B2" w:rsidRDefault="00F602B2"/>
        </w:tc>
        <w:tc>
          <w:tcPr>
            <w:tcW w:w="1608" w:type="dxa"/>
          </w:tcPr>
          <w:p w:rsidR="00F602B2" w:rsidRDefault="00F602B2"/>
        </w:tc>
      </w:tr>
    </w:tbl>
    <w:p w:rsidR="00F602B2" w:rsidRDefault="00F602B2">
      <w:pPr>
        <w:spacing w:before="275"/>
        <w:ind w:left="3285"/>
        <w:rPr>
          <w:rFonts w:ascii="宋体" w:hAnsi="宋体" w:cs="宋体"/>
          <w:spacing w:val="-2"/>
          <w:sz w:val="36"/>
          <w:szCs w:val="36"/>
        </w:rPr>
      </w:pPr>
    </w:p>
    <w:p w:rsidR="00F602B2" w:rsidRDefault="00F602B2">
      <w:pPr>
        <w:pStyle w:val="a4"/>
        <w:spacing w:line="244" w:lineRule="auto"/>
      </w:pPr>
    </w:p>
    <w:p w:rsidR="00F602B2" w:rsidRDefault="00CE7A46">
      <w:p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br w:type="page"/>
      </w:r>
    </w:p>
    <w:sdt>
      <w:sdtPr>
        <w:rPr>
          <w:rFonts w:ascii="宋体" w:hAnsi="宋体"/>
        </w:rPr>
        <w:id w:val="14747625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Cs w:val="20"/>
        </w:rPr>
      </w:sdtEndPr>
      <w:sdtContent>
        <w:p w:rsidR="00F602B2" w:rsidRDefault="00CE7A46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:rsidR="00F602B2" w:rsidRDefault="00F602B2">
          <w:pPr>
            <w:pStyle w:val="10"/>
            <w:tabs>
              <w:tab w:val="right" w:leader="dot" w:pos="8336"/>
            </w:tabs>
          </w:pPr>
          <w:r w:rsidRPr="00F602B2"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 w:rsidR="00CE7A46">
            <w:rPr>
              <w:rFonts w:ascii="Calibri" w:eastAsia="Calibri" w:hAnsi="Calibri" w:cs="Calibri"/>
              <w:sz w:val="20"/>
              <w:szCs w:val="20"/>
            </w:rPr>
            <w:instrText xml:space="preserve">TOC \o "1-3" \h \u </w:instrText>
          </w:r>
          <w:r w:rsidRPr="00F602B2"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hyperlink w:anchor="_Toc19614" w:history="1">
            <w:r w:rsidR="00CE7A46">
              <w:rPr>
                <w:rFonts w:hint="eastAsia"/>
                <w:lang w:eastAsia="zh-CN"/>
              </w:rPr>
              <w:t>临夏回族自治州中医医院“智慧银医”项目</w:t>
            </w:r>
            <w:r w:rsidR="00CE7A46">
              <w:rPr>
                <w:rFonts w:hint="eastAsia"/>
                <w:lang w:eastAsia="zh-CN"/>
              </w:rPr>
              <w:t>-</w:t>
            </w:r>
            <w:r w:rsidR="00CE7A46">
              <w:rPr>
                <w:rFonts w:hint="eastAsia"/>
                <w:lang w:eastAsia="zh-CN"/>
              </w:rPr>
              <w:t>阶段性总结报告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_Toc19614 \h </w:instrText>
            </w:r>
            <w:r>
              <w:fldChar w:fldCharType="separate"/>
            </w:r>
            <w:r w:rsidR="00CE7A46">
              <w:t>1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27186" w:history="1">
            <w:r w:rsidR="00CE7A46">
              <w:t>江苏云储智能科技有限公司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_Toc27186 \h </w:instrText>
            </w:r>
            <w:r>
              <w:fldChar w:fldCharType="separate"/>
            </w:r>
            <w:r w:rsidR="00CE7A46">
              <w:t>1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29581" w:history="1">
            <w:r w:rsidR="00CE7A46">
              <w:rPr>
                <w:rFonts w:ascii="宋体" w:eastAsia="宋体" w:hAnsi="宋体" w:cs="宋体"/>
                <w:spacing w:val="-2"/>
              </w:rPr>
              <w:t>文档信息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_Toc29581 \h </w:instrText>
            </w:r>
            <w:r>
              <w:fldChar w:fldCharType="separate"/>
            </w:r>
            <w:r w:rsidR="00CE7A46">
              <w:t>2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3691" w:history="1">
            <w:r w:rsidR="00CE7A46">
              <w:t xml:space="preserve">1. </w:t>
            </w:r>
            <w:r w:rsidR="00CE7A46">
              <w:rPr>
                <w:rFonts w:hint="eastAsia"/>
              </w:rPr>
              <w:t>项目总体概述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_Toc3691 \h </w:instrText>
            </w:r>
            <w:r>
              <w:fldChar w:fldCharType="separate"/>
            </w:r>
            <w:r w:rsidR="00CE7A46">
              <w:t>4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16753" w:history="1">
            <w:r w:rsidR="00CE7A46">
              <w:t xml:space="preserve">1.1. </w:t>
            </w:r>
            <w:r w:rsidR="00CE7A46">
              <w:rPr>
                <w:rFonts w:hint="eastAsia"/>
              </w:rPr>
              <w:t>项目背景与目标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_Toc16753 \h </w:instrText>
            </w:r>
            <w:r>
              <w:fldChar w:fldCharType="separate"/>
            </w:r>
            <w:r w:rsidR="00CE7A46">
              <w:t>4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25642" w:history="1">
            <w:r w:rsidR="00CE7A46">
              <w:t xml:space="preserve">1.2. </w:t>
            </w:r>
            <w:r w:rsidR="00CE7A46">
              <w:rPr>
                <w:rFonts w:hint="eastAsia"/>
              </w:rPr>
              <w:t>当前项目阶段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_Toc25642 \h </w:instrText>
            </w:r>
            <w:r>
              <w:fldChar w:fldCharType="separate"/>
            </w:r>
            <w:r w:rsidR="00CE7A46">
              <w:t>4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13455" w:history="1">
            <w:r w:rsidR="00CE7A46">
              <w:t>2.</w:t>
            </w:r>
            <w:r w:rsidR="00CE7A46">
              <w:t xml:space="preserve"> </w:t>
            </w:r>
            <w:r w:rsidR="00CE7A46">
              <w:rPr>
                <w:rFonts w:hint="eastAsia"/>
              </w:rPr>
              <w:t>本阶段（至</w:t>
            </w:r>
            <w:r w:rsidR="00CE7A46">
              <w:rPr>
                <w:rFonts w:hint="eastAsia"/>
              </w:rPr>
              <w:t>2025</w:t>
            </w:r>
            <w:r w:rsidR="00CE7A46">
              <w:rPr>
                <w:rFonts w:hint="eastAsia"/>
              </w:rPr>
              <w:t>年</w:t>
            </w:r>
            <w:r w:rsidR="00CE7A46">
              <w:rPr>
                <w:rFonts w:hint="eastAsia"/>
              </w:rPr>
              <w:t>10</w:t>
            </w:r>
            <w:r w:rsidR="00CE7A46">
              <w:rPr>
                <w:rFonts w:hint="eastAsia"/>
              </w:rPr>
              <w:t>月）主要工作完成情况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_Toc13455 \h </w:instrText>
            </w:r>
            <w:r>
              <w:fldChar w:fldCharType="separate"/>
            </w:r>
            <w:r w:rsidR="00CE7A46">
              <w:t>4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5597" w:history="1">
            <w:r w:rsidR="00CE7A46">
              <w:t xml:space="preserve">3. </w:t>
            </w:r>
            <w:r w:rsidR="00CE7A46">
              <w:rPr>
                <w:rFonts w:hint="eastAsia"/>
              </w:rPr>
              <w:t>核心成果与关键数据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_Toc5597 \h </w:instrText>
            </w:r>
            <w:r>
              <w:fldChar w:fldCharType="separate"/>
            </w:r>
            <w:r w:rsidR="00CE7A46">
              <w:t>5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17904" w:history="1">
            <w:r w:rsidR="00CE7A46">
              <w:t xml:space="preserve">3.1. </w:t>
            </w:r>
            <w:r w:rsidR="00CE7A46">
              <w:rPr>
                <w:rFonts w:hint="eastAsia"/>
              </w:rPr>
              <w:t>系统建设成果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_Toc17904 \h </w:instrText>
            </w:r>
            <w:r>
              <w:fldChar w:fldCharType="separate"/>
            </w:r>
            <w:r w:rsidR="00CE7A46">
              <w:t>5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6004" w:history="1">
            <w:r w:rsidR="00CE7A46">
              <w:t xml:space="preserve">3.2. </w:t>
            </w:r>
            <w:r w:rsidR="00CE7A46">
              <w:rPr>
                <w:rFonts w:hint="eastAsia"/>
              </w:rPr>
              <w:t>试运行关键数据（截至</w:t>
            </w:r>
            <w:r w:rsidR="00CE7A46">
              <w:rPr>
                <w:rFonts w:hint="eastAsia"/>
              </w:rPr>
              <w:t>10</w:t>
            </w:r>
            <w:r w:rsidR="00CE7A46">
              <w:rPr>
                <w:rFonts w:hint="eastAsia"/>
              </w:rPr>
              <w:t>月</w:t>
            </w:r>
            <w:r w:rsidR="00CE7A46">
              <w:rPr>
                <w:rFonts w:hint="eastAsia"/>
              </w:rPr>
              <w:t>31</w:t>
            </w:r>
            <w:r w:rsidR="00CE7A46">
              <w:rPr>
                <w:rFonts w:hint="eastAsia"/>
              </w:rPr>
              <w:t>日）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_Toc6004 \h </w:instrText>
            </w:r>
            <w:r>
              <w:fldChar w:fldCharType="separate"/>
            </w:r>
            <w:r w:rsidR="00CE7A46">
              <w:t>5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9377" w:history="1">
            <w:r w:rsidR="00CE7A46">
              <w:t xml:space="preserve">4. </w:t>
            </w:r>
            <w:r w:rsidR="00CE7A46">
              <w:rPr>
                <w:rFonts w:hint="eastAsia"/>
              </w:rPr>
              <w:t>遇到的问题、挑战及应对措施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_Toc9377 \h </w:instrText>
            </w:r>
            <w:r>
              <w:fldChar w:fldCharType="separate"/>
            </w:r>
            <w:r w:rsidR="00CE7A46">
              <w:t>5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17184" w:history="1">
            <w:r w:rsidR="00CE7A46">
              <w:t xml:space="preserve">5. </w:t>
            </w:r>
            <w:r w:rsidR="00CE7A46">
              <w:rPr>
                <w:rFonts w:hint="eastAsia"/>
              </w:rPr>
              <w:t>下一阶段工作计划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_Toc17184 \h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29700" w:history="1">
            <w:r w:rsidR="00CE7A46">
              <w:t xml:space="preserve">5.1. </w:t>
            </w:r>
            <w:r w:rsidR="00CE7A46">
              <w:rPr>
                <w:rFonts w:hint="eastAsia"/>
              </w:rPr>
              <w:t>试运行持续优化（</w:t>
            </w:r>
            <w:r w:rsidR="00CE7A46">
              <w:rPr>
                <w:rFonts w:hint="eastAsia"/>
              </w:rPr>
              <w:t>11</w:t>
            </w:r>
            <w:r w:rsidR="00CE7A46">
              <w:rPr>
                <w:rFonts w:hint="eastAsia"/>
              </w:rPr>
              <w:t>月上中旬）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_Toc29700 \h</w:instrText>
            </w:r>
            <w:r w:rsidR="00CE7A46">
              <w:instrText xml:space="preserve">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24802" w:history="1">
            <w:r w:rsidR="00CE7A46">
              <w:t xml:space="preserve">5.2. </w:t>
            </w:r>
            <w:r w:rsidR="00CE7A46">
              <w:rPr>
                <w:rFonts w:hint="eastAsia"/>
              </w:rPr>
              <w:t>项目终验准备（</w:t>
            </w:r>
            <w:r w:rsidR="00CE7A46">
              <w:rPr>
                <w:rFonts w:hint="eastAsia"/>
              </w:rPr>
              <w:t>11</w:t>
            </w:r>
            <w:r w:rsidR="00CE7A46">
              <w:rPr>
                <w:rFonts w:hint="eastAsia"/>
              </w:rPr>
              <w:t>月下旬）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_Toc24802 \h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28053" w:history="1">
            <w:r w:rsidR="00CE7A46">
              <w:t xml:space="preserve">5.3. </w:t>
            </w:r>
            <w:r w:rsidR="00CE7A46">
              <w:rPr>
                <w:rFonts w:hint="eastAsia"/>
              </w:rPr>
              <w:t>项目终验与移交（</w:t>
            </w:r>
            <w:r w:rsidR="00CE7A46">
              <w:rPr>
                <w:rFonts w:hint="eastAsia"/>
              </w:rPr>
              <w:t>12</w:t>
            </w:r>
            <w:r w:rsidR="00CE7A46">
              <w:rPr>
                <w:rFonts w:hint="eastAsia"/>
              </w:rPr>
              <w:t>月上旬）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</w:instrText>
            </w:r>
            <w:r w:rsidR="00CE7A46">
              <w:instrText xml:space="preserve"> _Toc28053 \h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10"/>
            <w:tabs>
              <w:tab w:val="right" w:leader="dot" w:pos="8336"/>
            </w:tabs>
          </w:pPr>
          <w:hyperlink w:anchor="_Toc6086" w:history="1">
            <w:r w:rsidR="00CE7A46">
              <w:t xml:space="preserve">6. </w:t>
            </w:r>
            <w:r w:rsidR="00CE7A46">
              <w:rPr>
                <w:rFonts w:hint="eastAsia"/>
              </w:rPr>
              <w:t>总结与建议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_Toc6086 \h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2503" w:history="1">
            <w:r w:rsidR="00CE7A46">
              <w:t xml:space="preserve">6.1. </w:t>
            </w:r>
            <w:r w:rsidR="00CE7A46">
              <w:rPr>
                <w:rFonts w:hint="eastAsia"/>
              </w:rPr>
              <w:t>阶段性总结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_Toc2503 \</w:instrText>
            </w:r>
            <w:r w:rsidR="00CE7A46">
              <w:instrText xml:space="preserve">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pStyle w:val="20"/>
            <w:tabs>
              <w:tab w:val="right" w:leader="dot" w:pos="8336"/>
            </w:tabs>
          </w:pPr>
          <w:hyperlink w:anchor="_Toc32187" w:history="1">
            <w:r w:rsidR="00CE7A46">
              <w:t xml:space="preserve">6.2. </w:t>
            </w:r>
            <w:r w:rsidR="00CE7A46">
              <w:rPr>
                <w:rFonts w:hint="eastAsia"/>
              </w:rPr>
              <w:t>后续建议</w:t>
            </w:r>
            <w:r w:rsidR="00CE7A46">
              <w:tab/>
            </w:r>
            <w:r>
              <w:fldChar w:fldCharType="begin"/>
            </w:r>
            <w:r w:rsidR="00CE7A46">
              <w:instrText xml:space="preserve"> PAGEREF _Toc32187 \h </w:instrText>
            </w:r>
            <w:r>
              <w:fldChar w:fldCharType="separate"/>
            </w:r>
            <w:r w:rsidR="00CE7A46">
              <w:t>6</w:t>
            </w:r>
            <w:r>
              <w:fldChar w:fldCharType="end"/>
            </w:r>
          </w:hyperlink>
        </w:p>
        <w:p w:rsidR="00F602B2" w:rsidRDefault="00F602B2">
          <w:pPr>
            <w:spacing w:line="228" w:lineRule="auto"/>
            <w:rPr>
              <w:rFonts w:ascii="Calibri" w:eastAsia="Calibri" w:hAnsi="Calibri" w:cs="Calibri"/>
              <w:szCs w:val="20"/>
            </w:rPr>
          </w:pPr>
          <w:r>
            <w:rPr>
              <w:rFonts w:ascii="Calibri" w:eastAsia="Calibri" w:hAnsi="Calibri" w:cs="Calibri"/>
              <w:szCs w:val="20"/>
            </w:rPr>
            <w:fldChar w:fldCharType="end"/>
          </w:r>
        </w:p>
      </w:sdtContent>
    </w:sdt>
    <w:p w:rsidR="00F602B2" w:rsidRDefault="00F602B2">
      <w:pPr>
        <w:spacing w:line="228" w:lineRule="auto"/>
        <w:rPr>
          <w:rFonts w:ascii="Calibri" w:eastAsia="Calibri" w:hAnsi="Calibri" w:cs="Calibri"/>
          <w:szCs w:val="20"/>
        </w:rPr>
        <w:sectPr w:rsidR="00F602B2">
          <w:pgSz w:w="11906" w:h="16838"/>
          <w:pgMar w:top="1431" w:right="1785" w:bottom="0" w:left="1785" w:header="0" w:footer="0" w:gutter="0"/>
          <w:cols w:space="720"/>
        </w:sectPr>
      </w:pPr>
    </w:p>
    <w:p w:rsidR="00F602B2" w:rsidRDefault="00CE7A46">
      <w:pPr>
        <w:pStyle w:val="11"/>
      </w:pPr>
      <w:bookmarkStart w:id="4" w:name="bookmark11"/>
      <w:bookmarkStart w:id="5" w:name="_Toc3691"/>
      <w:bookmarkEnd w:id="4"/>
      <w:r>
        <w:rPr>
          <w:rFonts w:hint="eastAsia"/>
        </w:rPr>
        <w:lastRenderedPageBreak/>
        <w:t>项目总体概述</w:t>
      </w:r>
      <w:bookmarkEnd w:id="5"/>
    </w:p>
    <w:p w:rsidR="00F602B2" w:rsidRDefault="00CE7A46">
      <w:pPr>
        <w:pStyle w:val="21"/>
      </w:pPr>
      <w:bookmarkStart w:id="6" w:name="_Toc16753"/>
      <w:r>
        <w:rPr>
          <w:rFonts w:hint="eastAsia"/>
        </w:rPr>
        <w:t>项目背景与目标</w:t>
      </w:r>
      <w:bookmarkEnd w:id="6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自项目启动以来，我司严格遵循国家“互联网</w:t>
      </w:r>
      <w:r>
        <w:rPr>
          <w:rFonts w:hint="eastAsia"/>
        </w:rPr>
        <w:t>+</w:t>
      </w:r>
      <w:r>
        <w:rPr>
          <w:rFonts w:hint="eastAsia"/>
        </w:rPr>
        <w:t>医疗健康”发展战略，依据《需求分析报告》与《产品规格说明书》，全面推进“智慧银医”项目建设。项目核心目标为：通过构建统一支付结算平台与门诊、住院自助服务系统，优化患者就医流程，提升医院运营效率与管理水平，实现“数据多跑路，患者少跑腿”的便民服务宗旨。</w:t>
      </w:r>
    </w:p>
    <w:p w:rsidR="00F602B2" w:rsidRDefault="00CE7A46">
      <w:pPr>
        <w:pStyle w:val="21"/>
      </w:pPr>
      <w:bookmarkStart w:id="7" w:name="_Toc25642"/>
      <w:r>
        <w:rPr>
          <w:rFonts w:hint="eastAsia"/>
        </w:rPr>
        <w:t>当前项目阶段</w:t>
      </w:r>
      <w:bookmarkEnd w:id="7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截至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日，项目已按计划完成</w:t>
      </w:r>
      <w:r>
        <w:rPr>
          <w:rFonts w:hint="eastAsia"/>
        </w:rPr>
        <w:t xml:space="preserve"> </w:t>
      </w:r>
      <w:r>
        <w:rPr>
          <w:rFonts w:hint="eastAsia"/>
        </w:rPr>
        <w:t>系统开发、集成测试、用户培训及上线部署</w:t>
      </w:r>
      <w:r>
        <w:rPr>
          <w:rFonts w:hint="eastAsia"/>
        </w:rPr>
        <w:t xml:space="preserve"> </w:t>
      </w:r>
      <w:r>
        <w:rPr>
          <w:rFonts w:hint="eastAsia"/>
        </w:rPr>
        <w:t>等核心工作，系统已于</w:t>
      </w:r>
      <w:r>
        <w:rPr>
          <w:rFonts w:hint="eastAsia"/>
        </w:rPr>
        <w:t xml:space="preserve"> 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成功上线并进入</w:t>
      </w:r>
      <w:r>
        <w:rPr>
          <w:rFonts w:hint="eastAsia"/>
        </w:rPr>
        <w:t xml:space="preserve"> </w:t>
      </w:r>
      <w:r>
        <w:rPr>
          <w:rFonts w:hint="eastAsia"/>
        </w:rPr>
        <w:t>试运行阶段。当前项目处于</w:t>
      </w:r>
      <w:r>
        <w:rPr>
          <w:rFonts w:hint="eastAsia"/>
        </w:rPr>
        <w:t xml:space="preserve"> </w:t>
      </w:r>
      <w:r>
        <w:rPr>
          <w:rFonts w:hint="eastAsia"/>
        </w:rPr>
        <w:t>试运行监控与优化期，正按计划向最终验收推进。</w:t>
      </w:r>
    </w:p>
    <w:p w:rsidR="00F602B2" w:rsidRDefault="00CE7A46">
      <w:pPr>
        <w:pStyle w:val="11"/>
      </w:pPr>
      <w:bookmarkStart w:id="8" w:name="_Toc13455"/>
      <w:r>
        <w:rPr>
          <w:rFonts w:hint="eastAsia"/>
        </w:rPr>
        <w:t>本阶段（至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</w:rPr>
        <w:t>月）主要工作完成情况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7"/>
        <w:gridCol w:w="1595"/>
        <w:gridCol w:w="1046"/>
        <w:gridCol w:w="1066"/>
        <w:gridCol w:w="3564"/>
      </w:tblGrid>
      <w:tr w:rsidR="00F602B2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工作模块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计划完成时间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完成状态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关键成果简述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1.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项目启动与规划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完成团队组建、需求确认、接口方案审定及详细实施计划编制。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2.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系统设计与开发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8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8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完成所有软件模块（统一支付平台、门诊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/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住院自助系统）的开发与单元测试。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3.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硬件采购与部署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9-12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20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台自助终端设备全部到货、验收，并完成院内关键点位安装与网络接入。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4.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系统集成测试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 (SIT)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10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10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在模拟环境完成与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HIS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、医保系统的全接口联调，核心业务流程全部打通。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5.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用户验收测试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 (UAT)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院方关键用户参与测试，共执行测试用例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385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条，通过率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，签署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UAT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报告。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6.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用户培训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开展集中培训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场，覆盖财务、门诊、住院、信息等科室关键用户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62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人次，考核通过。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 xml:space="preserve">7.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生产环境部署与上线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13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13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周（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10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8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日）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✅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100%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系统平稳切换上线，上线期间未影响医院正常业务，各项服务即时可用。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lastRenderedPageBreak/>
              <w:t xml:space="preserve">8. 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试运行支持与监控</w:t>
            </w:r>
          </w:p>
        </w:tc>
        <w:tc>
          <w:tcPr>
            <w:tcW w:w="159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第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13-14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周（及以后）</w:t>
            </w:r>
          </w:p>
        </w:tc>
        <w:tc>
          <w:tcPr>
            <w:tcW w:w="104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🔄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持续进行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系统已稳定试运行近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周，我方提供现场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+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远程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7×24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小时支持，持续收集反馈并优化。</w:t>
            </w:r>
          </w:p>
        </w:tc>
      </w:tr>
    </w:tbl>
    <w:p w:rsidR="00F602B2" w:rsidRDefault="00F602B2" w:rsidP="00F602B2">
      <w:pPr>
        <w:pStyle w:val="ad"/>
        <w:ind w:firstLine="480"/>
      </w:pPr>
    </w:p>
    <w:p w:rsidR="00F602B2" w:rsidRDefault="00CE7A46">
      <w:pPr>
        <w:pStyle w:val="11"/>
      </w:pPr>
      <w:bookmarkStart w:id="9" w:name="_Toc5597"/>
      <w:r>
        <w:rPr>
          <w:rFonts w:hint="eastAsia"/>
        </w:rPr>
        <w:t>核心成果与关键数据</w:t>
      </w:r>
      <w:bookmarkEnd w:id="9"/>
    </w:p>
    <w:p w:rsidR="00F602B2" w:rsidRDefault="00CE7A46">
      <w:pPr>
        <w:pStyle w:val="21"/>
      </w:pPr>
      <w:bookmarkStart w:id="10" w:name="_Toc17904"/>
      <w:r>
        <w:rPr>
          <w:rFonts w:hint="eastAsia"/>
        </w:rPr>
        <w:t>系统建设成果</w:t>
      </w:r>
      <w:bookmarkEnd w:id="10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统一支付结算平台：成功接入微信、支付宝、银联聚合支付，实现与</w:t>
      </w:r>
      <w:r>
        <w:rPr>
          <w:rFonts w:hint="eastAsia"/>
        </w:rPr>
        <w:t>HIS</w:t>
      </w:r>
      <w:r>
        <w:rPr>
          <w:rFonts w:hint="eastAsia"/>
        </w:rPr>
        <w:t>系统的实时对账与差错处理自动化。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门诊自助服务系统：全面实现建档、挂号、缴费、报告打印等</w:t>
      </w:r>
      <w:r>
        <w:rPr>
          <w:rFonts w:hint="eastAsia"/>
        </w:rPr>
        <w:t>8</w:t>
      </w:r>
      <w:r>
        <w:rPr>
          <w:rFonts w:hint="eastAsia"/>
        </w:rPr>
        <w:t>项核心功能，支持医保电子凭证全流程结算。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住院自助服务系统：实现入院登记、预交金充值、日清单查询、出院结算等一站式服务。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系统对接：与医院</w:t>
      </w:r>
      <w:r>
        <w:rPr>
          <w:rFonts w:hint="eastAsia"/>
        </w:rPr>
        <w:t>HIS</w:t>
      </w:r>
      <w:r>
        <w:rPr>
          <w:rFonts w:hint="eastAsia"/>
        </w:rPr>
        <w:t>系统完成</w:t>
      </w:r>
      <w:r>
        <w:rPr>
          <w:rFonts w:hint="eastAsia"/>
        </w:rPr>
        <w:t>18</w:t>
      </w:r>
      <w:r>
        <w:rPr>
          <w:rFonts w:hint="eastAsia"/>
        </w:rPr>
        <w:t>个核心接口的对接，与省医保平台完成</w:t>
      </w:r>
      <w:r>
        <w:rPr>
          <w:rFonts w:hint="eastAsia"/>
        </w:rPr>
        <w:t>4</w:t>
      </w:r>
      <w:r>
        <w:rPr>
          <w:rFonts w:hint="eastAsia"/>
        </w:rPr>
        <w:t>个实时结算接口的联通。</w:t>
      </w:r>
    </w:p>
    <w:p w:rsidR="00F602B2" w:rsidRDefault="00CE7A46">
      <w:pPr>
        <w:pStyle w:val="21"/>
      </w:pPr>
      <w:bookmarkStart w:id="11" w:name="_Toc6004"/>
      <w:r>
        <w:rPr>
          <w:rFonts w:hint="eastAsia"/>
        </w:rPr>
        <w:t>试运行关键数据（截至</w:t>
      </w:r>
      <w:r>
        <w:rPr>
          <w:rFonts w:hint="eastAsia"/>
        </w:rPr>
        <w:t>1</w:t>
      </w:r>
      <w:r>
        <w:rPr>
          <w:rFonts w:hint="eastAsia"/>
          <w:lang w:eastAsia="zh-CN"/>
        </w:rPr>
        <w:t>2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日）</w:t>
      </w:r>
      <w:bookmarkEnd w:id="11"/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自助终端累计服务人次：</w:t>
      </w:r>
      <w:r>
        <w:rPr>
          <w:rFonts w:hint="eastAsia"/>
        </w:rPr>
        <w:t xml:space="preserve">12,458 </w:t>
      </w:r>
      <w:r>
        <w:rPr>
          <w:rFonts w:hint="eastAsia"/>
        </w:rPr>
        <w:t>人次</w:t>
      </w:r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线上支付交易成功率：</w:t>
      </w:r>
      <w:r>
        <w:rPr>
          <w:rFonts w:hint="eastAsia"/>
        </w:rPr>
        <w:t>99.7%</w:t>
      </w:r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医保电子凭证结算占比：</w:t>
      </w:r>
      <w:r>
        <w:rPr>
          <w:rFonts w:hint="eastAsia"/>
        </w:rPr>
        <w:t>41.5%</w:t>
      </w:r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门诊窗口排队平均缩短时间：约</w:t>
      </w:r>
      <w:r>
        <w:rPr>
          <w:rFonts w:hint="eastAsia"/>
        </w:rPr>
        <w:t>15</w:t>
      </w:r>
      <w:r>
        <w:rPr>
          <w:rFonts w:hint="eastAsia"/>
        </w:rPr>
        <w:t>分钟</w:t>
      </w:r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系统平均响应时间：</w:t>
      </w:r>
      <w:r>
        <w:rPr>
          <w:rFonts w:hint="eastAsia"/>
        </w:rPr>
        <w:t>&lt;1.5</w:t>
      </w:r>
      <w:r>
        <w:rPr>
          <w:rFonts w:hint="eastAsia"/>
        </w:rPr>
        <w:t>秒（优于≤</w:t>
      </w:r>
      <w:r>
        <w:rPr>
          <w:rFonts w:hint="eastAsia"/>
        </w:rPr>
        <w:t>2</w:t>
      </w:r>
      <w:r>
        <w:rPr>
          <w:rFonts w:hint="eastAsia"/>
        </w:rPr>
        <w:t>秒的设计要求）</w:t>
      </w:r>
    </w:p>
    <w:p w:rsidR="00F602B2" w:rsidRDefault="00CE7A46">
      <w:pPr>
        <w:pStyle w:val="ad"/>
        <w:ind w:firstLineChars="0" w:firstLine="0"/>
      </w:pPr>
      <w:r>
        <w:rPr>
          <w:rFonts w:hint="eastAsia"/>
        </w:rPr>
        <w:t>重大系统故障次数：</w:t>
      </w:r>
      <w:r>
        <w:rPr>
          <w:rFonts w:hint="eastAsia"/>
        </w:rPr>
        <w:t xml:space="preserve">0 </w:t>
      </w:r>
      <w:r>
        <w:rPr>
          <w:rFonts w:hint="eastAsia"/>
        </w:rPr>
        <w:t>次</w:t>
      </w:r>
    </w:p>
    <w:p w:rsidR="00F602B2" w:rsidRDefault="00CE7A46">
      <w:pPr>
        <w:pStyle w:val="11"/>
      </w:pPr>
      <w:bookmarkStart w:id="12" w:name="_Toc9377"/>
      <w:r>
        <w:rPr>
          <w:rFonts w:hint="eastAsia"/>
        </w:rPr>
        <w:t>遇到的问题、挑战及应对措施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6"/>
        <w:gridCol w:w="1050"/>
        <w:gridCol w:w="2437"/>
        <w:gridCol w:w="3055"/>
      </w:tblGrid>
      <w:tr w:rsidR="00F602B2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问题</w:t>
            </w: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/</w:t>
            </w: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挑战描述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发生阶段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应对与解决措施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解决结果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医保电子凭证扫码识别率初期偏低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UAT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 xml:space="preserve">1.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优化扫码器驱动及对焦逻辑；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br/>
              <w:t xml:space="preserve">2.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增加屏幕动态提示与扫码引导；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br/>
              <w:t xml:space="preserve">3.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与医保平台侧联合排查解码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lastRenderedPageBreak/>
              <w:t>库。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lastRenderedPageBreak/>
              <w:t>识别成功率从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86%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提升至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99.2%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，达到上线标准。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lastRenderedPageBreak/>
              <w:t>HIS</w:t>
            </w: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系统部分老旧接口返回数据格式不稳定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集成测试阶段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 xml:space="preserve">1.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在统一支付平台侧增加数据清洗与容错机制；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br/>
              <w:t xml:space="preserve">2.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与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HIS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厂商协同优化接口服务。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实现接口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100%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稳定调用，未出现因数据格式导致的中断。</w:t>
            </w:r>
          </w:p>
        </w:tc>
      </w:tr>
      <w:tr w:rsidR="00F602B2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5"/>
                <w:szCs w:val="15"/>
                <w:lang w:eastAsia="zh-CN"/>
              </w:rPr>
              <w:t>上线初期部分老年患者操作不熟练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试运行初期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 xml:space="preserve">1.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在自助机旁增设图文并茂的简易操作指南；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br/>
              <w:t xml:space="preserve">2.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安排导诊志愿者进行现场引导；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br/>
              <w:t xml:space="preserve">3. </w:t>
            </w: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优化界面字体大小和色彩对比度。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F602B2" w:rsidRDefault="00CE7A46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sz w:val="15"/>
                <w:szCs w:val="15"/>
                <w:lang w:eastAsia="zh-CN"/>
              </w:rPr>
              <w:t>老年患者自助办理业务的比例稳步上升，现场咨询压力显著下降。</w:t>
            </w:r>
          </w:p>
        </w:tc>
      </w:tr>
    </w:tbl>
    <w:p w:rsidR="00F602B2" w:rsidRDefault="00F602B2" w:rsidP="00F602B2">
      <w:pPr>
        <w:pStyle w:val="ad"/>
        <w:ind w:firstLine="480"/>
      </w:pPr>
    </w:p>
    <w:p w:rsidR="00F602B2" w:rsidRDefault="00CE7A46">
      <w:pPr>
        <w:pStyle w:val="11"/>
      </w:pPr>
      <w:bookmarkStart w:id="13" w:name="_Toc17184"/>
      <w:r>
        <w:rPr>
          <w:rFonts w:hint="eastAsia"/>
        </w:rPr>
        <w:t>下一阶段工作计划</w:t>
      </w:r>
      <w:bookmarkEnd w:id="13"/>
    </w:p>
    <w:p w:rsidR="00F602B2" w:rsidRDefault="00CE7A46">
      <w:pPr>
        <w:pStyle w:val="21"/>
      </w:pPr>
      <w:bookmarkStart w:id="14" w:name="_Toc29700"/>
      <w:r>
        <w:rPr>
          <w:rFonts w:hint="eastAsia"/>
        </w:rPr>
        <w:t>试运行持续优化（</w:t>
      </w:r>
      <w:r>
        <w:rPr>
          <w:rFonts w:hint="eastAsia"/>
        </w:rPr>
        <w:t>11</w:t>
      </w:r>
      <w:r>
        <w:rPr>
          <w:rFonts w:hint="eastAsia"/>
        </w:rPr>
        <w:t>月上中旬</w:t>
      </w:r>
      <w:r>
        <w:rPr>
          <w:rFonts w:hint="eastAsia"/>
        </w:rPr>
        <w:t>）</w:t>
      </w:r>
      <w:bookmarkEnd w:id="14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根据试运行反馈，完成最后一批细节功能优化与界面调整。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完成系统性能压力测试，确保系统在高峰期的稳定性。</w:t>
      </w:r>
    </w:p>
    <w:p w:rsidR="00F602B2" w:rsidRDefault="00CE7A46">
      <w:pPr>
        <w:pStyle w:val="21"/>
      </w:pPr>
      <w:bookmarkStart w:id="15" w:name="_Toc24802"/>
      <w:r>
        <w:rPr>
          <w:rFonts w:hint="eastAsia"/>
        </w:rPr>
        <w:t>项目终验准备（</w:t>
      </w:r>
      <w:r>
        <w:rPr>
          <w:rFonts w:hint="eastAsia"/>
        </w:rPr>
        <w:t>11</w:t>
      </w:r>
      <w:r>
        <w:rPr>
          <w:rFonts w:hint="eastAsia"/>
        </w:rPr>
        <w:t>月下旬</w:t>
      </w:r>
      <w:r>
        <w:rPr>
          <w:rFonts w:hint="eastAsia"/>
        </w:rPr>
        <w:t>）</w:t>
      </w:r>
      <w:bookmarkEnd w:id="15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整理并提交全部项目交付文档。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配合院方完成系统全面审查与数据核对。</w:t>
      </w:r>
    </w:p>
    <w:p w:rsidR="00F602B2" w:rsidRDefault="00CE7A46">
      <w:pPr>
        <w:pStyle w:val="21"/>
      </w:pPr>
      <w:bookmarkStart w:id="16" w:name="_Toc28053"/>
      <w:r>
        <w:rPr>
          <w:rFonts w:hint="eastAsia"/>
        </w:rPr>
        <w:t>项目终验与移交（</w:t>
      </w:r>
      <w:r>
        <w:rPr>
          <w:rFonts w:hint="eastAsia"/>
        </w:rPr>
        <w:t>12</w:t>
      </w:r>
      <w:r>
        <w:rPr>
          <w:rFonts w:hint="eastAsia"/>
        </w:rPr>
        <w:t>月上旬</w:t>
      </w:r>
      <w:r>
        <w:rPr>
          <w:rFonts w:hint="eastAsia"/>
        </w:rPr>
        <w:t>）</w:t>
      </w:r>
      <w:bookmarkEnd w:id="16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召开项目终验评审会，邀请院方领导及相关科室负责人参与。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签署《项目终验报告》与《验收合格证书》。</w:t>
      </w:r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完成项目知识转移，正式进入为期一年的质量保证与运维服务期。</w:t>
      </w:r>
    </w:p>
    <w:p w:rsidR="00F602B2" w:rsidRDefault="00CE7A46">
      <w:pPr>
        <w:pStyle w:val="11"/>
      </w:pPr>
      <w:bookmarkStart w:id="17" w:name="_Toc6086"/>
      <w:r>
        <w:rPr>
          <w:rFonts w:hint="eastAsia"/>
        </w:rPr>
        <w:t>总结与建议</w:t>
      </w:r>
      <w:bookmarkEnd w:id="17"/>
    </w:p>
    <w:p w:rsidR="00F602B2" w:rsidRDefault="00CE7A46">
      <w:pPr>
        <w:pStyle w:val="21"/>
      </w:pPr>
      <w:bookmarkStart w:id="18" w:name="_Toc2503"/>
      <w:r>
        <w:rPr>
          <w:rFonts w:hint="eastAsia"/>
        </w:rPr>
        <w:t>阶段性总结</w:t>
      </w:r>
      <w:bookmarkEnd w:id="18"/>
    </w:p>
    <w:p w:rsidR="00F602B2" w:rsidRDefault="00CE7A46" w:rsidP="00F602B2">
      <w:pPr>
        <w:pStyle w:val="ad"/>
        <w:ind w:firstLine="480"/>
      </w:pPr>
      <w:r>
        <w:rPr>
          <w:rFonts w:hint="eastAsia"/>
        </w:rPr>
        <w:t>截至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，“智慧银医”项目已按既定计划高质量完成了开发、部署与上线工作，系统运行稳定，核心业务指标达到甚至优于预期目标。项目的成功实施，初步实现了优化流程、提升效率、改善体验的建设初衷，获得了院方领导与医护人员的初步认可。</w:t>
      </w:r>
    </w:p>
    <w:p w:rsidR="00F602B2" w:rsidRDefault="00CE7A46">
      <w:pPr>
        <w:pStyle w:val="21"/>
      </w:pPr>
      <w:bookmarkStart w:id="19" w:name="_Toc32187"/>
      <w:r>
        <w:rPr>
          <w:rFonts w:hint="eastAsia"/>
        </w:rPr>
        <w:lastRenderedPageBreak/>
        <w:t>后续建议</w:t>
      </w:r>
      <w:bookmarkEnd w:id="19"/>
    </w:p>
    <w:p w:rsidR="00F602B2" w:rsidRDefault="00CE7A46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持续推广与引导：建议医院持续加强对患者的宣传与引导，进一步提升自助服务的使用率与认同感。</w:t>
      </w:r>
    </w:p>
    <w:p w:rsidR="00F602B2" w:rsidRDefault="00CE7A46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数据驱动决策：建议后续可基于平台积累的运营数据，分析患者行为与业务高峰，为医院服务资源调配提供决策支持。</w:t>
      </w:r>
    </w:p>
    <w:p w:rsidR="00F602B2" w:rsidRDefault="00CE7A46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迭代规划：本项目奠定了良好的数字化基础，建议可开始规划下一阶段迭代，如对接省统一健康平台、探索互联网医院服务等，以持续提升医院智慧服务能力。</w:t>
      </w:r>
      <w:bookmarkStart w:id="20" w:name="_GoBack"/>
      <w:bookmarkEnd w:id="20"/>
    </w:p>
    <w:sectPr w:rsidR="00F602B2" w:rsidSect="00F602B2">
      <w:headerReference w:type="default" r:id="rId7"/>
      <w:pgSz w:w="11906" w:h="16838"/>
      <w:pgMar w:top="1460" w:right="1740" w:bottom="1098" w:left="1785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02B2" w:rsidRDefault="00F602B2" w:rsidP="00F602B2">
      <w:pPr>
        <w:spacing w:line="240" w:lineRule="auto"/>
      </w:pPr>
      <w:r>
        <w:separator/>
      </w:r>
    </w:p>
  </w:endnote>
  <w:endnote w:type="continuationSeparator" w:id="0">
    <w:p w:rsidR="00F602B2" w:rsidRDefault="00F602B2" w:rsidP="00F60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02B2" w:rsidRDefault="00F602B2" w:rsidP="00F602B2">
      <w:pPr>
        <w:spacing w:line="240" w:lineRule="auto"/>
      </w:pPr>
      <w:r>
        <w:separator/>
      </w:r>
    </w:p>
  </w:footnote>
  <w:footnote w:type="continuationSeparator" w:id="0">
    <w:p w:rsidR="00F602B2" w:rsidRDefault="00F602B2" w:rsidP="00F602B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02B2" w:rsidRDefault="00F602B2">
    <w:pPr>
      <w:pStyle w:val="a4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E03A84"/>
    <w:multiLevelType w:val="singleLevel"/>
    <w:tmpl w:val="C6E03A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</w:compat>
  <w:rsids>
    <w:rsidRoot w:val="00F602B2"/>
    <w:rsid w:val="00CE7A46"/>
    <w:rsid w:val="00F60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02B2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F602B2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F602B2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F602B2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F602B2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F602B2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F602B2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F602B2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F602B2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F602B2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F602B2"/>
  </w:style>
  <w:style w:type="paragraph" w:styleId="a4">
    <w:name w:val="Body Text"/>
    <w:basedOn w:val="a"/>
    <w:semiHidden/>
    <w:qFormat/>
    <w:rsid w:val="00F602B2"/>
    <w:rPr>
      <w:rFonts w:eastAsia="Arial"/>
    </w:rPr>
  </w:style>
  <w:style w:type="paragraph" w:styleId="30">
    <w:name w:val="toc 3"/>
    <w:basedOn w:val="a"/>
    <w:next w:val="a"/>
    <w:qFormat/>
    <w:rsid w:val="00F602B2"/>
    <w:pPr>
      <w:ind w:leftChars="400" w:left="840"/>
    </w:pPr>
  </w:style>
  <w:style w:type="paragraph" w:styleId="a5">
    <w:name w:val="footer"/>
    <w:basedOn w:val="a"/>
    <w:qFormat/>
    <w:rsid w:val="00F602B2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F602B2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F602B2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F602B2"/>
    <w:pPr>
      <w:ind w:leftChars="200" w:left="420"/>
    </w:pPr>
  </w:style>
  <w:style w:type="paragraph" w:styleId="a7">
    <w:name w:val="Normal (Web)"/>
    <w:basedOn w:val="a"/>
    <w:qFormat/>
    <w:rsid w:val="00F602B2"/>
    <w:rPr>
      <w:sz w:val="24"/>
    </w:rPr>
  </w:style>
  <w:style w:type="paragraph" w:styleId="a8">
    <w:name w:val="Title"/>
    <w:basedOn w:val="a"/>
    <w:qFormat/>
    <w:rsid w:val="00F602B2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F602B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F602B2"/>
    <w:rPr>
      <w:b/>
    </w:rPr>
  </w:style>
  <w:style w:type="table" w:customStyle="1" w:styleId="TableNormal0">
    <w:name w:val="Table Normal_0"/>
    <w:semiHidden/>
    <w:unhideWhenUsed/>
    <w:qFormat/>
    <w:rsid w:val="00F602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F602B2"/>
    <w:rPr>
      <w:rFonts w:ascii="宋体" w:hAnsi="宋体" w:cs="宋体"/>
    </w:rPr>
  </w:style>
  <w:style w:type="paragraph" w:customStyle="1" w:styleId="ab">
    <w:name w:val="柴_公司名"/>
    <w:basedOn w:val="a8"/>
    <w:qFormat/>
    <w:rsid w:val="00F602B2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rsid w:val="00F602B2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1">
    <w:name w:val="柴_标题1"/>
    <w:basedOn w:val="1"/>
    <w:next w:val="ad"/>
    <w:link w:val="1Char"/>
    <w:qFormat/>
    <w:rsid w:val="00F602B2"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rsid w:val="00F602B2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d"/>
    <w:qFormat/>
    <w:rsid w:val="00F602B2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d"/>
    <w:qFormat/>
    <w:rsid w:val="00F602B2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rsid w:val="00F602B2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  <w:rsid w:val="00F602B2"/>
  </w:style>
  <w:style w:type="paragraph" w:customStyle="1" w:styleId="WPSOffice2">
    <w:name w:val="WPSOffice手动目录 2"/>
    <w:qFormat/>
    <w:rsid w:val="00F602B2"/>
    <w:pPr>
      <w:ind w:leftChars="200" w:left="200"/>
    </w:pPr>
  </w:style>
  <w:style w:type="paragraph" w:customStyle="1" w:styleId="WPSOffice3">
    <w:name w:val="WPSOffice手动目录 3"/>
    <w:qFormat/>
    <w:rsid w:val="00F602B2"/>
    <w:pPr>
      <w:ind w:leftChars="400" w:left="400"/>
    </w:pPr>
  </w:style>
  <w:style w:type="paragraph" w:customStyle="1" w:styleId="Compact">
    <w:name w:val="Compact"/>
    <w:basedOn w:val="a4"/>
    <w:qFormat/>
    <w:rsid w:val="00F602B2"/>
    <w:pPr>
      <w:spacing w:before="36" w:after="36"/>
    </w:pPr>
  </w:style>
  <w:style w:type="table" w:customStyle="1" w:styleId="Table">
    <w:name w:val="Table"/>
    <w:semiHidden/>
    <w:unhideWhenUsed/>
    <w:qFormat/>
    <w:rsid w:val="00F602B2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F602B2"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rsid w:val="00F602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sid w:val="00F602B2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F602B2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sid w:val="00F602B2"/>
    <w:rPr>
      <w:rFonts w:ascii="Arial" w:eastAsia="宋体" w:hAnsi="Arial"/>
      <w:sz w:val="24"/>
      <w:lang w:eastAsia="zh-CN"/>
    </w:rPr>
  </w:style>
  <w:style w:type="paragraph" w:styleId="af0">
    <w:name w:val="Balloon Text"/>
    <w:basedOn w:val="a"/>
    <w:link w:val="Char0"/>
    <w:rsid w:val="00CE7A46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CE7A46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Administrator</cp:lastModifiedBy>
  <cp:revision>1</cp:revision>
  <dcterms:created xsi:type="dcterms:W3CDTF">2025-08-21T08:48:00Z</dcterms:created>
  <dcterms:modified xsi:type="dcterms:W3CDTF">2026-03-30T07:44:00Z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