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E4CA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</w:p>
    <w:p w14:paraId="2C16160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0" w:name="_Toc23866"/>
      <w:r>
        <w:rPr>
          <w:rFonts w:hint="eastAsia"/>
        </w:rPr>
        <w:t>淮安生态新城信息系统运维服务项目</w:t>
      </w:r>
      <w:r>
        <w:rPr>
          <w:rFonts w:hint="eastAsia"/>
        </w:rPr>
        <w:br w:type="textWrapping"/>
      </w:r>
      <w:r>
        <w:t>应急</w:t>
      </w:r>
      <w:r>
        <w:rPr>
          <w:rFonts w:hint="eastAsia"/>
          <w:lang w:val="en-US" w:eastAsia="zh-CN"/>
        </w:rPr>
        <w:t>演练大纲</w:t>
      </w:r>
      <w:bookmarkEnd w:id="0"/>
    </w:p>
    <w:p w14:paraId="308B18A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9069"/>
      <w:r>
        <w:t>江苏云储智能科技有限公司</w:t>
      </w:r>
      <w:bookmarkEnd w:id="1"/>
    </w:p>
    <w:p w14:paraId="5AE6DFF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6" w:line="228" w:lineRule="auto"/>
        <w:ind w:left="3341"/>
        <w:textAlignment w:val="baseline"/>
        <w:rPr>
          <w:rFonts w:hint="default" w:ascii="仿宋" w:hAnsi="仿宋" w:eastAsia="仿宋" w:cs="仿宋"/>
          <w:sz w:val="31"/>
          <w:szCs w:val="31"/>
          <w:lang w:val="en-US" w:eastAsia="zh-CN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  <w:r>
        <w:rPr>
          <w:rFonts w:ascii="仿宋" w:hAnsi="仿宋" w:eastAsia="仿宋" w:cs="仿宋"/>
          <w:spacing w:val="-4"/>
          <w:sz w:val="31"/>
          <w:szCs w:val="31"/>
        </w:rPr>
        <w:t>2025</w:t>
      </w:r>
      <w:r>
        <w:rPr>
          <w:rFonts w:ascii="仿宋" w:hAnsi="仿宋" w:eastAsia="仿宋" w:cs="仿宋"/>
          <w:spacing w:val="-44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年</w:t>
      </w:r>
      <w:r>
        <w:rPr>
          <w:rFonts w:hint="eastAsia" w:ascii="仿宋" w:hAnsi="仿宋" w:eastAsia="仿宋" w:cs="仿宋"/>
          <w:spacing w:val="-59"/>
          <w:sz w:val="31"/>
          <w:szCs w:val="31"/>
          <w:lang w:val="en-US" w:eastAsia="zh-CN"/>
        </w:rPr>
        <w:t>9</w:t>
      </w:r>
      <w:r>
        <w:rPr>
          <w:rFonts w:ascii="仿宋" w:hAnsi="仿宋" w:eastAsia="仿宋" w:cs="仿宋"/>
          <w:spacing w:val="-4"/>
          <w:sz w:val="31"/>
          <w:szCs w:val="31"/>
        </w:rPr>
        <w:t>月</w:t>
      </w:r>
      <w:r>
        <w:rPr>
          <w:rFonts w:hint="eastAsia" w:ascii="仿宋" w:hAnsi="仿宋" w:eastAsia="仿宋" w:cs="仿宋"/>
          <w:spacing w:val="-4"/>
          <w:sz w:val="31"/>
          <w:szCs w:val="31"/>
          <w:lang w:val="en-US" w:eastAsia="zh-CN"/>
        </w:rPr>
        <w:t>3</w:t>
      </w:r>
      <w:r>
        <w:rPr>
          <w:rFonts w:hint="eastAsia" w:ascii="仿宋" w:hAnsi="仿宋" w:eastAsia="仿宋" w:cs="仿宋"/>
          <w:sz w:val="31"/>
          <w:szCs w:val="31"/>
          <w:lang w:val="en-US" w:eastAsia="zh-CN"/>
        </w:rPr>
        <w:t>日</w:t>
      </w:r>
    </w:p>
    <w:p w14:paraId="0BD1FE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811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30768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72DC36D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1548"/>
        <w:gridCol w:w="2341"/>
        <w:gridCol w:w="1982"/>
        <w:gridCol w:w="1563"/>
      </w:tblGrid>
      <w:tr w14:paraId="2AB5B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1711" w:type="dxa"/>
          </w:tcPr>
          <w:p w14:paraId="3070FC1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325" w:lineRule="auto"/>
              <w:ind w:right="250"/>
              <w:textAlignment w:val="baseline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434" w:type="dxa"/>
            <w:gridSpan w:val="4"/>
          </w:tcPr>
          <w:p w14:paraId="2384405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8" w:lineRule="auto"/>
              <w:ind w:left="112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应急演练大纲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YJYA</w:t>
            </w:r>
            <w:r>
              <w:rPr>
                <w:spacing w:val="-1"/>
              </w:rPr>
              <w:t>）</w:t>
            </w:r>
          </w:p>
        </w:tc>
      </w:tr>
      <w:tr w14:paraId="56BDC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1D4404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114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434" w:type="dxa"/>
            <w:gridSpan w:val="4"/>
          </w:tcPr>
          <w:p w14:paraId="6301043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18ACC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7DA0A5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114"/>
              <w:textAlignment w:val="baseline"/>
            </w:pPr>
            <w:r>
              <w:rPr>
                <w:spacing w:val="-3"/>
              </w:rPr>
              <w:t>文档密级</w:t>
            </w:r>
          </w:p>
        </w:tc>
        <w:tc>
          <w:tcPr>
            <w:tcW w:w="7434" w:type="dxa"/>
            <w:gridSpan w:val="4"/>
          </w:tcPr>
          <w:p w14:paraId="1B1F780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108"/>
              <w:textAlignment w:val="baseline"/>
            </w:pPr>
            <w:r>
              <w:rPr>
                <w:spacing w:val="-3"/>
              </w:rPr>
              <w:t>秘密</w:t>
            </w:r>
          </w:p>
        </w:tc>
      </w:tr>
      <w:tr w14:paraId="736A4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6614202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6" w:line="219" w:lineRule="auto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548" w:type="dxa"/>
          </w:tcPr>
          <w:p w14:paraId="25D8648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6" w:line="219" w:lineRule="auto"/>
              <w:ind w:left="371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</w:tcPr>
          <w:p w14:paraId="6E30157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6" w:line="219" w:lineRule="auto"/>
              <w:ind w:left="69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</w:tcPr>
          <w:p w14:paraId="66F9CD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20" w:lineRule="auto"/>
              <w:ind w:left="758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</w:tcPr>
          <w:p w14:paraId="56A8AF0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7" w:line="220" w:lineRule="auto"/>
              <w:ind w:left="559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5111B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711" w:type="dxa"/>
          </w:tcPr>
          <w:p w14:paraId="6F9391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39" w:lineRule="auto"/>
              <w:ind w:left="5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48" w:type="dxa"/>
          </w:tcPr>
          <w:p w14:paraId="26D931F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313"/>
              <w:textAlignment w:val="baseline"/>
              <w:rPr>
                <w:rFonts w:hint="eastAsia" w:eastAsia="等线"/>
                <w:lang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9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</w:p>
        </w:tc>
        <w:tc>
          <w:tcPr>
            <w:tcW w:w="2341" w:type="dxa"/>
          </w:tcPr>
          <w:p w14:paraId="4BF8598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8" w:line="219" w:lineRule="auto"/>
              <w:ind w:left="69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</w:tcPr>
          <w:p w14:paraId="1AEB41F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8" w:line="220" w:lineRule="auto"/>
              <w:ind w:left="639"/>
              <w:textAlignment w:val="baseline"/>
            </w:pPr>
            <w:r>
              <w:rPr>
                <w:rFonts w:hint="eastAsia"/>
                <w:spacing w:val="-3"/>
              </w:rPr>
              <w:t>郑云</w:t>
            </w:r>
          </w:p>
        </w:tc>
        <w:tc>
          <w:tcPr>
            <w:tcW w:w="1563" w:type="dxa"/>
          </w:tcPr>
          <w:p w14:paraId="18ED55C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439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史晓玲</w:t>
            </w:r>
          </w:p>
        </w:tc>
      </w:tr>
      <w:tr w14:paraId="0D383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711" w:type="dxa"/>
          </w:tcPr>
          <w:p w14:paraId="169FB3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 w14:paraId="33E157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24C116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19328E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1669B3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D609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11" w:type="dxa"/>
          </w:tcPr>
          <w:p w14:paraId="6C8909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 w14:paraId="1F8D9B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448BEF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021759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3F886D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164F2BB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543DD1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02BA5C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6" w:lineRule="auto"/>
        <w:textAlignment w:val="baseline"/>
      </w:pPr>
    </w:p>
    <w:p w14:paraId="3FDC80C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7" w:lineRule="auto"/>
        <w:textAlignment w:val="baseline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5571"/>
        <w:docPartObj>
          <w:docPartGallery w:val="Table of Contents"/>
          <w:docPartUnique/>
        </w:docPartObj>
      </w:sdtPr>
      <w:sdtEndPr>
        <w:rPr>
          <w:rFonts w:ascii="仿宋" w:hAnsi="仿宋" w:eastAsia="仿宋" w:cs="仿宋"/>
          <w:snapToGrid w:val="0"/>
          <w:color w:val="000000"/>
          <w:kern w:val="0"/>
          <w:sz w:val="21"/>
          <w:szCs w:val="31"/>
          <w:lang w:val="en-US" w:eastAsia="en-US" w:bidi="ar-SA"/>
        </w:rPr>
      </w:sdtEndPr>
      <w:sdtContent>
        <w:p w14:paraId="3C9E0C8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7799532">
          <w:pPr>
            <w:pStyle w:val="16"/>
            <w:tabs>
              <w:tab w:val="right" w:leader="dot" w:pos="8336"/>
            </w:tabs>
          </w:pPr>
          <w:bookmarkStart w:id="30" w:name="_GoBack"/>
          <w:bookmarkEnd w:id="30"/>
          <w:r>
            <w:rPr>
              <w:rFonts w:ascii="仿宋" w:hAnsi="仿宋" w:eastAsia="仿宋" w:cs="仿宋"/>
              <w:sz w:val="31"/>
              <w:szCs w:val="31"/>
            </w:rPr>
            <w:fldChar w:fldCharType="begin"/>
          </w:r>
          <w:r>
            <w:rPr>
              <w:rFonts w:ascii="仿宋" w:hAnsi="仿宋" w:eastAsia="仿宋" w:cs="仿宋"/>
              <w:sz w:val="31"/>
              <w:szCs w:val="31"/>
            </w:rPr>
            <w:instrText xml:space="preserve">TOC \o "1-3" \h \u </w:instrText>
          </w:r>
          <w:r>
            <w:rPr>
              <w:rFonts w:ascii="仿宋" w:hAnsi="仿宋" w:eastAsia="仿宋" w:cs="仿宋"/>
              <w:sz w:val="31"/>
              <w:szCs w:val="31"/>
            </w:rPr>
            <w:fldChar w:fldCharType="separate"/>
          </w: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_Toc23866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eastAsia"/>
            </w:rPr>
            <w:t>淮安生态新城信息系统运维服务项目</w:t>
          </w:r>
          <w:r>
            <w:rPr>
              <w:rFonts w:hint="eastAsia"/>
            </w:rPr>
            <w:t xml:space="preserve"> </w:t>
          </w:r>
          <w:r>
            <w:t>应急</w:t>
          </w:r>
          <w:r>
            <w:rPr>
              <w:rFonts w:hint="eastAsia"/>
              <w:lang w:val="en-US" w:eastAsia="zh-CN"/>
            </w:rPr>
            <w:t>演练大纲</w:t>
          </w:r>
          <w:r>
            <w:tab/>
          </w:r>
          <w:r>
            <w:fldChar w:fldCharType="begin"/>
          </w:r>
          <w:r>
            <w:instrText xml:space="preserve"> PAGEREF _Toc23866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280FBA82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_Toc9069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_Toc9069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34A594E3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_Toc30768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_Toc30768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2A69D89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_Toc6916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演练目的</w:t>
          </w:r>
          <w:r>
            <w:tab/>
          </w:r>
          <w:r>
            <w:fldChar w:fldCharType="begin"/>
          </w:r>
          <w:r>
            <w:instrText xml:space="preserve"> PAGEREF _Toc6916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5DCCC3B2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_Toc18851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演练依据</w:t>
          </w:r>
          <w:r>
            <w:tab/>
          </w:r>
          <w:r>
            <w:fldChar w:fldCharType="begin"/>
          </w:r>
          <w:r>
            <w:instrText xml:space="preserve"> PAGEREF _Toc18851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4109A8B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_Toc18720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演练形式</w:t>
          </w:r>
          <w:r>
            <w:tab/>
          </w:r>
          <w:r>
            <w:fldChar w:fldCharType="begin"/>
          </w:r>
          <w:r>
            <w:instrText xml:space="preserve"> PAGEREF _Toc18720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6084FFF9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_Toc30345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演练组织</w:t>
          </w:r>
          <w:r>
            <w:tab/>
          </w:r>
          <w:r>
            <w:fldChar w:fldCharType="begin"/>
          </w:r>
          <w:r>
            <w:instrText xml:space="preserve"> PAGEREF _Toc30345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2B234878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_Toc16607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演练领导小组</w:t>
          </w:r>
          <w:r>
            <w:tab/>
          </w:r>
          <w:r>
            <w:fldChar w:fldCharType="begin"/>
          </w:r>
          <w:r>
            <w:instrText xml:space="preserve"> PAGEREF _Toc16607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357F73A1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_Toc10139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演练执行小组</w:t>
          </w:r>
          <w:r>
            <w:tab/>
          </w:r>
          <w:r>
            <w:fldChar w:fldCharType="begin"/>
          </w:r>
          <w:r>
            <w:instrText xml:space="preserve"> PAGEREF _Toc10139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750D6388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_Toc10717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演练评估小组</w:t>
          </w:r>
          <w:r>
            <w:tab/>
          </w:r>
          <w:r>
            <w:fldChar w:fldCharType="begin"/>
          </w:r>
          <w:r>
            <w:instrText xml:space="preserve"> PAGEREF _Toc10717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22ECC404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_Toc10406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观察员</w:t>
          </w:r>
          <w:r>
            <w:tab/>
          </w:r>
          <w:r>
            <w:fldChar w:fldCharType="begin"/>
          </w:r>
          <w:r>
            <w:instrText xml:space="preserve"> PAGEREF _Toc10406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255EA298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_Toc24780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演练场景</w:t>
          </w:r>
          <w:r>
            <w:tab/>
          </w:r>
          <w:r>
            <w:fldChar w:fldCharType="begin"/>
          </w:r>
          <w:r>
            <w:instrText xml:space="preserve"> PAGEREF _Toc24780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09E1C955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_Toc2886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场景选择原则</w:t>
          </w:r>
          <w:r>
            <w:tab/>
          </w:r>
          <w:r>
            <w:fldChar w:fldCharType="begin"/>
          </w:r>
          <w:r>
            <w:instrText xml:space="preserve"> PAGEREF _Toc2886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0C9682F7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_Toc453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建议场景</w:t>
          </w:r>
          <w:r>
            <w:tab/>
          </w:r>
          <w:r>
            <w:fldChar w:fldCharType="begin"/>
          </w:r>
          <w:r>
            <w:instrText xml:space="preserve"> PAGEREF _Toc453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488193AE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_Toc12403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演练流程</w:t>
          </w:r>
          <w:r>
            <w:tab/>
          </w:r>
          <w:r>
            <w:fldChar w:fldCharType="begin"/>
          </w:r>
          <w:r>
            <w:instrText xml:space="preserve"> PAGEREF _Toc12403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08B2D223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_Toc21015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演练前准备</w:t>
          </w:r>
          <w:r>
            <w:tab/>
          </w:r>
          <w:r>
            <w:fldChar w:fldCharType="begin"/>
          </w:r>
          <w:r>
            <w:instrText xml:space="preserve"> PAGEREF _Toc21015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48A4AE0D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_Toc30608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演练执行</w:t>
          </w:r>
          <w:r>
            <w:tab/>
          </w:r>
          <w:r>
            <w:fldChar w:fldCharType="begin"/>
          </w:r>
          <w:r>
            <w:instrText xml:space="preserve"> PAGEREF _Toc30608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4F5FE225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_Toc28068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rPr>
              <w:rFonts w:hint="eastAsia"/>
            </w:rPr>
            <w:t>演练总结</w:t>
          </w:r>
          <w:r>
            <w:tab/>
          </w:r>
          <w:r>
            <w:fldChar w:fldCharType="begin"/>
          </w:r>
          <w:r>
            <w:instrText xml:space="preserve"> PAGEREF _Toc28068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75968D4C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_Toc1757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演练评估标准</w:t>
          </w:r>
          <w:r>
            <w:tab/>
          </w:r>
          <w:r>
            <w:fldChar w:fldCharType="begin"/>
          </w:r>
          <w:r>
            <w:instrText xml:space="preserve"> PAGEREF _Toc1757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416C86A4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_Toc31752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响应时效评估</w:t>
          </w:r>
          <w:r>
            <w:tab/>
          </w:r>
          <w:r>
            <w:fldChar w:fldCharType="begin"/>
          </w:r>
          <w:r>
            <w:instrText xml:space="preserve"> PAGEREF _Toc31752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77AE78B4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_Toc114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操作规范性评估</w:t>
          </w:r>
          <w:r>
            <w:tab/>
          </w:r>
          <w:r>
            <w:fldChar w:fldCharType="begin"/>
          </w:r>
          <w:r>
            <w:instrText xml:space="preserve"> PAGEREF _Toc114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03CD7ABD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_Toc5155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rPr>
              <w:rFonts w:hint="eastAsia"/>
            </w:rPr>
            <w:t>恢复效果评估</w:t>
          </w:r>
          <w:r>
            <w:tab/>
          </w:r>
          <w:r>
            <w:fldChar w:fldCharType="begin"/>
          </w:r>
          <w:r>
            <w:instrText xml:space="preserve"> PAGEREF _Toc5155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5F31BAEE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_Toc20534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</w:rPr>
            <w:t>演练记录要求</w:t>
          </w:r>
          <w:r>
            <w:tab/>
          </w:r>
          <w:r>
            <w:fldChar w:fldCharType="begin"/>
          </w:r>
          <w:r>
            <w:instrText xml:space="preserve"> PAGEREF _Toc20534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79FF5F52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_Toc26808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rPr>
              <w:rFonts w:hint="eastAsia"/>
            </w:rPr>
            <w:t>演练后续工作</w:t>
          </w:r>
          <w:r>
            <w:tab/>
          </w:r>
          <w:r>
            <w:fldChar w:fldCharType="begin"/>
          </w:r>
          <w:r>
            <w:instrText xml:space="preserve"> PAGEREF _Toc26808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0C5362B1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_Toc25201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9.1. </w:t>
          </w:r>
          <w:r>
            <w:rPr>
              <w:rFonts w:hint="eastAsia"/>
            </w:rPr>
            <w:t>问题整改</w:t>
          </w:r>
          <w:r>
            <w:tab/>
          </w:r>
          <w:r>
            <w:fldChar w:fldCharType="begin"/>
          </w:r>
          <w:r>
            <w:instrText xml:space="preserve"> PAGEREF _Toc25201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78933EC7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_Toc28479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9.2. </w:t>
          </w:r>
          <w:r>
            <w:rPr>
              <w:rFonts w:hint="eastAsia"/>
            </w:rPr>
            <w:t>预案更新</w:t>
          </w:r>
          <w:r>
            <w:tab/>
          </w:r>
          <w:r>
            <w:fldChar w:fldCharType="begin"/>
          </w:r>
          <w:r>
            <w:instrText xml:space="preserve"> PAGEREF _Toc28479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27EE4086">
          <w:pPr>
            <w:pStyle w:val="17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_Toc20443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9.3. </w:t>
          </w:r>
          <w:r>
            <w:rPr>
              <w:rFonts w:hint="eastAsia"/>
            </w:rPr>
            <w:t>知识沉淀</w:t>
          </w:r>
          <w:r>
            <w:tab/>
          </w:r>
          <w:r>
            <w:fldChar w:fldCharType="begin"/>
          </w:r>
          <w:r>
            <w:instrText xml:space="preserve"> PAGEREF _Toc20443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10F4E6D4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_Toc31266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rPr>
              <w:rFonts w:hint="eastAsia"/>
            </w:rPr>
            <w:t>演练周期</w:t>
          </w:r>
          <w:r>
            <w:tab/>
          </w:r>
          <w:r>
            <w:fldChar w:fldCharType="begin"/>
          </w:r>
          <w:r>
            <w:instrText xml:space="preserve"> PAGEREF _Toc31266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641BDDA0">
          <w:pPr>
            <w:pStyle w:val="16"/>
            <w:tabs>
              <w:tab w:val="right" w:leader="dot" w:pos="8336"/>
            </w:tabs>
          </w:pPr>
          <w:r>
            <w:rPr>
              <w:rFonts w:ascii="仿宋" w:hAnsi="仿宋" w:eastAsia="仿宋" w:cs="仿宋"/>
              <w:szCs w:val="31"/>
            </w:rPr>
            <w:fldChar w:fldCharType="begin"/>
          </w:r>
          <w:r>
            <w:rPr>
              <w:rFonts w:ascii="仿宋" w:hAnsi="仿宋" w:eastAsia="仿宋" w:cs="仿宋"/>
              <w:szCs w:val="31"/>
            </w:rPr>
            <w:instrText xml:space="preserve"> HYPERLINK \l _Toc13159 </w:instrText>
          </w:r>
          <w:r>
            <w:rPr>
              <w:rFonts w:ascii="仿宋" w:hAnsi="仿宋" w:eastAsia="仿宋" w:cs="仿宋"/>
              <w:szCs w:val="31"/>
            </w:rPr>
            <w:fldChar w:fldCharType="separate"/>
          </w:r>
          <w:r>
            <w:rPr>
              <w:rFonts w:hint="default"/>
            </w:rPr>
            <w:t xml:space="preserve">11. </w:t>
          </w:r>
          <w:r>
            <w:rPr>
              <w:rFonts w:hint="eastAsia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_Toc13159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仿宋" w:hAnsi="仿宋" w:eastAsia="仿宋" w:cs="仿宋"/>
              <w:szCs w:val="31"/>
            </w:rPr>
            <w:fldChar w:fldCharType="end"/>
          </w:r>
        </w:p>
        <w:p w14:paraId="71FBA80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8" w:lineRule="auto"/>
            <w:textAlignment w:val="baseline"/>
            <w:rPr>
              <w:rFonts w:ascii="仿宋" w:hAnsi="仿宋" w:eastAsia="仿宋" w:cs="仿宋"/>
              <w:snapToGrid w:val="0"/>
              <w:color w:val="000000"/>
              <w:kern w:val="0"/>
              <w:sz w:val="21"/>
              <w:szCs w:val="31"/>
              <w:lang w:val="en-US" w:eastAsia="en-US" w:bidi="ar-SA"/>
            </w:rPr>
          </w:pPr>
          <w:r>
            <w:rPr>
              <w:rFonts w:ascii="仿宋" w:hAnsi="仿宋" w:eastAsia="仿宋" w:cs="仿宋"/>
              <w:szCs w:val="31"/>
            </w:rPr>
            <w:fldChar w:fldCharType="end"/>
          </w:r>
        </w:p>
      </w:sdtContent>
    </w:sdt>
    <w:p w14:paraId="75DFD4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8" w:lineRule="auto"/>
        <w:textAlignment w:val="baseline"/>
        <w:rPr>
          <w:rFonts w:ascii="仿宋" w:hAnsi="仿宋" w:eastAsia="仿宋" w:cs="仿宋"/>
          <w:snapToGrid w:val="0"/>
          <w:color w:val="000000"/>
          <w:kern w:val="0"/>
          <w:sz w:val="21"/>
          <w:szCs w:val="31"/>
          <w:lang w:val="en-US" w:eastAsia="en-US" w:bidi="ar-SA"/>
        </w:rPr>
        <w:sectPr>
          <w:footerReference r:id="rId5" w:type="default"/>
          <w:pgSz w:w="11906" w:h="16838"/>
          <w:pgMar w:top="1431" w:right="1785" w:bottom="1661" w:left="1785" w:header="0" w:footer="1295" w:gutter="0"/>
          <w:cols w:space="720" w:num="1"/>
        </w:sectPr>
      </w:pPr>
    </w:p>
    <w:p w14:paraId="630AC0A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" w:name="bookmark54"/>
      <w:bookmarkEnd w:id="3"/>
      <w:bookmarkStart w:id="4" w:name="_Toc6916"/>
      <w:r>
        <w:rPr>
          <w:rFonts w:hint="eastAsia"/>
        </w:rPr>
        <w:t>演练目的</w:t>
      </w:r>
      <w:bookmarkEnd w:id="4"/>
    </w:p>
    <w:p w14:paraId="60CD5D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次应急演练旨在验证《淮安生态新城信息系统运维服务项目-应急预案》的有效性和可操作性，检验项目团队在突发故障情况下的应急响应能力、故障排查能力和系统恢复能力，发现应急预案中存在的不足，持续改进应急响应机制，确保在真实故障发生时能够快速、有效地恢复系统运行，保障甲方业务连续性。</w:t>
      </w:r>
    </w:p>
    <w:p w14:paraId="202976C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18851"/>
      <w:r>
        <w:rPr>
          <w:rFonts w:hint="eastAsia"/>
        </w:rPr>
        <w:t>演练依据</w:t>
      </w:r>
      <w:bookmarkEnd w:id="5"/>
    </w:p>
    <w:p w14:paraId="5991090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《运维服务合同书》（合同编号：JSYC20250815）</w:t>
      </w:r>
    </w:p>
    <w:p w14:paraId="0B0643F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《淮安生态新城信息系统运维服务项目-应急预案》</w:t>
      </w:r>
    </w:p>
    <w:p w14:paraId="51069CA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GB/T 28827.3-2012《信息技术服务 运行维护 第3部分：应急响应规范》</w:t>
      </w:r>
    </w:p>
    <w:p w14:paraId="1AE91ED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</w:rPr>
      </w:pPr>
      <w:r>
        <w:rPr>
          <w:rFonts w:hint="eastAsia"/>
        </w:rPr>
        <w:t>公司应急管理制度</w:t>
      </w:r>
    </w:p>
    <w:p w14:paraId="7E071E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18720"/>
      <w:r>
        <w:rPr>
          <w:rFonts w:hint="eastAsia"/>
        </w:rPr>
        <w:t>演练形式</w:t>
      </w:r>
      <w:bookmarkEnd w:id="6"/>
    </w:p>
    <w:p w14:paraId="11E807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本次演练采用模拟故障演练形式，在不影响甲方实际业务运行的前提下，模拟设备故障场景，检验团队的应急响应和恢复能力。</w:t>
      </w:r>
    </w:p>
    <w:p w14:paraId="47F176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演练形式说明：模拟故障演练是指在非生产环境或经过授权的隔离环境中，人为模拟设备故障，观察和记录团队的响应过程。这种形式的优点是真实性强、对业务无影响、可重复执行。</w:t>
      </w:r>
    </w:p>
    <w:p w14:paraId="0351543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7" w:name="_Toc30345"/>
      <w:r>
        <w:rPr>
          <w:rFonts w:hint="eastAsia"/>
        </w:rPr>
        <w:t>演练组织</w:t>
      </w:r>
      <w:bookmarkEnd w:id="7"/>
    </w:p>
    <w:p w14:paraId="1B2399E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8" w:name="_Toc16607"/>
      <w:r>
        <w:rPr>
          <w:rFonts w:hint="eastAsia"/>
        </w:rPr>
        <w:t>演练领导小组</w:t>
      </w:r>
      <w:bookmarkEnd w:id="8"/>
    </w:p>
    <w:p w14:paraId="6044D1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由项目负责人担任演练总指挥，负责演练的整体策划、指挥和协调。成员包括运维部经理、质量部经理。</w:t>
      </w:r>
    </w:p>
    <w:p w14:paraId="648F69D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9" w:name="_Toc10139"/>
      <w:r>
        <w:rPr>
          <w:rFonts w:hint="eastAsia"/>
        </w:rPr>
        <w:t>演练执行小组</w:t>
      </w:r>
      <w:bookmarkEnd w:id="9"/>
    </w:p>
    <w:p w14:paraId="28ADC2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en-US"/>
        </w:rPr>
      </w:pPr>
      <w:r>
        <w:rPr>
          <w:rFonts w:hint="eastAsia"/>
        </w:rPr>
        <w:t>由运维工程师、网络工程师、服务台人员组成，负责按演练方案执行故障</w:t>
      </w:r>
      <w:r>
        <w:rPr>
          <w:rFonts w:hint="eastAsia"/>
          <w:lang w:val="en-US" w:eastAsia="en-US"/>
        </w:rPr>
        <w:t>模拟、排查诊断、恢复操作等具体工作。</w:t>
      </w:r>
    </w:p>
    <w:p w14:paraId="5EBF79D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_Toc10717"/>
      <w:r>
        <w:rPr>
          <w:rFonts w:hint="eastAsia"/>
        </w:rPr>
        <w:t>演练评估小组</w:t>
      </w:r>
      <w:bookmarkEnd w:id="10"/>
    </w:p>
    <w:p w14:paraId="7BAA07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由质量部人员担任，负责全程观察和记录演练过程，评估各环节的执行情况，提出改进建议。</w:t>
      </w:r>
    </w:p>
    <w:p w14:paraId="6BE279E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10406"/>
      <w:r>
        <w:rPr>
          <w:rFonts w:hint="eastAsia"/>
        </w:rPr>
        <w:t>观察员</w:t>
      </w:r>
      <w:bookmarkEnd w:id="11"/>
    </w:p>
    <w:p w14:paraId="04EA4E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邀请甲方接口人作为观察员参与演练，见证演练过程并提出反馈意见。</w:t>
      </w:r>
    </w:p>
    <w:p w14:paraId="379EFDD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4780"/>
      <w:r>
        <w:rPr>
          <w:rFonts w:hint="eastAsia"/>
        </w:rPr>
        <w:t>演练场景</w:t>
      </w:r>
      <w:bookmarkEnd w:id="12"/>
    </w:p>
    <w:p w14:paraId="04CEFA1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886"/>
      <w:r>
        <w:rPr>
          <w:rFonts w:hint="eastAsia"/>
        </w:rPr>
        <w:t>场景选择原则</w:t>
      </w:r>
      <w:bookmarkEnd w:id="13"/>
    </w:p>
    <w:p w14:paraId="15FC89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演练场景应选择对业务影响较大、发生概率较高、恢复难度适中的故障类型，既能检验团队的应急能力，又能在演练时间内完成恢复。</w:t>
      </w:r>
    </w:p>
    <w:p w14:paraId="7188CE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453"/>
      <w:r>
        <w:rPr>
          <w:rFonts w:hint="eastAsia"/>
        </w:rPr>
        <w:t>建议场景</w:t>
      </w:r>
      <w:bookmarkEnd w:id="14"/>
    </w:p>
    <w:p w14:paraId="24B524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场景一：核心交换机主备切换演练</w:t>
      </w:r>
    </w:p>
    <w:p w14:paraId="4084EB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模拟核心交换机主设备宕机，备用设备应自动或手动接管业务。演练内容包括故障发现、告警触发、故障定级、应急响应、主备切换、业务验证、事件关闭。</w:t>
      </w:r>
    </w:p>
    <w:p w14:paraId="38C3C6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场景二：服务器硬件故障恢复演练</w:t>
      </w:r>
    </w:p>
    <w:p w14:paraId="5C03CE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模拟一台服务器硬盘故障，导致业务系统只读或无法写入。演练内容包括故障发现、告警触发、故障定级、备件调拨、硬盘更换、系统恢复、数据验证、事件关闭。</w:t>
      </w:r>
    </w:p>
    <w:p w14:paraId="596AE5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场景三：网络链路中断演练</w:t>
      </w:r>
    </w:p>
    <w:p w14:paraId="132BBE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模拟核心路由器上行链路中断，导致对外网络访问中断。演练内容包括故障发现、告警触发、故障定级、链路切换、业务验证、事件关闭。</w:t>
      </w:r>
    </w:p>
    <w:p w14:paraId="0B2479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注：每次演练选择其中一个场景执行，年度内可覆盖多个场景。</w:t>
      </w:r>
    </w:p>
    <w:p w14:paraId="40B835A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2403"/>
      <w:r>
        <w:rPr>
          <w:rFonts w:hint="eastAsia"/>
        </w:rPr>
        <w:t>演练流程</w:t>
      </w:r>
      <w:bookmarkEnd w:id="15"/>
    </w:p>
    <w:p w14:paraId="3A3EEAB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21015"/>
      <w:r>
        <w:rPr>
          <w:rFonts w:hint="eastAsia"/>
        </w:rPr>
        <w:t>演练前准备</w:t>
      </w:r>
      <w:bookmarkEnd w:id="16"/>
    </w:p>
    <w:p w14:paraId="00AD7A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制定演练方案，明确演练时间、场景、参与人员</w:t>
      </w:r>
    </w:p>
    <w:p w14:paraId="672D2A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提前15日与甲方沟通确认演练安排</w:t>
      </w:r>
    </w:p>
    <w:p w14:paraId="7E66FA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准备演练所需的工具、备件、记录表单</w:t>
      </w:r>
    </w:p>
    <w:p w14:paraId="2B036E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对参与人员进行演练交底，明确各自职责</w:t>
      </w:r>
    </w:p>
    <w:p w14:paraId="1511BE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确认演练环境对实际业务无影响</w:t>
      </w:r>
    </w:p>
    <w:p w14:paraId="6C3429E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30608"/>
      <w:r>
        <w:rPr>
          <w:rFonts w:hint="eastAsia"/>
        </w:rPr>
        <w:t>演练执行</w:t>
      </w:r>
      <w:bookmarkEnd w:id="17"/>
    </w:p>
    <w:p w14:paraId="3A21F0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按预定时间启动演练，模拟故障发生</w:t>
      </w:r>
    </w:p>
    <w:p w14:paraId="60718C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监控系统触发告警，服务台接收告警信息</w:t>
      </w:r>
    </w:p>
    <w:p w14:paraId="048DFC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服务台按流程进行事件记录和派单</w:t>
      </w:r>
    </w:p>
    <w:p w14:paraId="0FC624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工程师到场排查诊断，执行恢复操作</w:t>
      </w:r>
    </w:p>
    <w:p w14:paraId="43D732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记录每个环节的响应时间和操作过程</w:t>
      </w:r>
    </w:p>
    <w:p w14:paraId="0B5D1A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业务验证确认恢复成功</w:t>
      </w:r>
    </w:p>
    <w:p w14:paraId="2552D46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8068"/>
      <w:r>
        <w:rPr>
          <w:rFonts w:hint="eastAsia"/>
        </w:rPr>
        <w:t>演练总结</w:t>
      </w:r>
      <w:bookmarkEnd w:id="18"/>
    </w:p>
    <w:p w14:paraId="678F67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演练结束后召开总结会议</w:t>
      </w:r>
    </w:p>
    <w:p w14:paraId="4D1BA6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评估各环节执行情况，识别问题</w:t>
      </w:r>
    </w:p>
    <w:p w14:paraId="71BFC8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收集观察员和评估小组的反馈意见</w:t>
      </w:r>
    </w:p>
    <w:p w14:paraId="269110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形成演练总结报告</w:t>
      </w:r>
    </w:p>
    <w:p w14:paraId="43D4B05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1757"/>
      <w:r>
        <w:rPr>
          <w:rFonts w:hint="eastAsia"/>
        </w:rPr>
        <w:t>演练评估标准</w:t>
      </w:r>
      <w:bookmarkEnd w:id="19"/>
    </w:p>
    <w:p w14:paraId="286F7E2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31752"/>
      <w:r>
        <w:rPr>
          <w:rFonts w:hint="eastAsia"/>
        </w:rPr>
        <w:t>响应时效评估</w:t>
      </w:r>
      <w:bookmarkEnd w:id="20"/>
    </w:p>
    <w:p w14:paraId="06EA09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键故障的响应时效评估包括：从故障发生到服务台确认接收的时间不超过15分钟；从确认接收到工程师出发的时间不超过30分钟；从出发到现场的时间不超过4小时（根据实际距离调整）；从到场到业务恢复的时间不超过8小时。</w:t>
      </w:r>
    </w:p>
    <w:p w14:paraId="7B3CFE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一般故障的时效要求为：响应时间不超过2小时，到场时间不超过8小时，解决时间不超过24小时。</w:t>
      </w:r>
    </w:p>
    <w:p w14:paraId="6018700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1" w:name="_Toc114"/>
      <w:r>
        <w:rPr>
          <w:rFonts w:hint="eastAsia"/>
        </w:rPr>
        <w:t>操作规范性评估</w:t>
      </w:r>
      <w:bookmarkEnd w:id="21"/>
    </w:p>
    <w:p w14:paraId="2A5E87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评估内容包括：是否按应急预案流程执行；操作记录是否完整、准确；与甲方的沟通是否及时、规范；安全操作是否合规（如操作前备份、变更审批等）。</w:t>
      </w:r>
    </w:p>
    <w:p w14:paraId="43DB487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2" w:name="_Toc5155"/>
      <w:r>
        <w:rPr>
          <w:rFonts w:hint="eastAsia"/>
        </w:rPr>
        <w:t>恢复效果评估</w:t>
      </w:r>
      <w:bookmarkEnd w:id="22"/>
    </w:p>
    <w:p w14:paraId="1B0533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评估内容包括：业务功能是否完全恢复；数据是否完整、一致；系统性能是否恢复正常；客户是否确认恢复成功。</w:t>
      </w:r>
    </w:p>
    <w:p w14:paraId="580E4F6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20534"/>
      <w:r>
        <w:rPr>
          <w:rFonts w:hint="eastAsia"/>
        </w:rPr>
        <w:t>演练记录要求</w:t>
      </w:r>
      <w:bookmarkEnd w:id="23"/>
    </w:p>
    <w:p w14:paraId="011A4F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  <w:lang w:val="en-US" w:eastAsia="en-US"/>
        </w:rPr>
        <w:t>演练过程中应记录以下内容：故障发生时间、告警接收时间、响应确认时</w:t>
      </w:r>
      <w:r>
        <w:rPr>
          <w:rFonts w:hint="eastAsia"/>
        </w:rPr>
        <w:t>间、工程师出发时间、到场时间、排查诊断过程、恢复操作步骤、恢复完成时间、业务验证结果。记录应真实、完整、可追溯。</w:t>
      </w:r>
    </w:p>
    <w:p w14:paraId="1391CC6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26808"/>
      <w:r>
        <w:rPr>
          <w:rFonts w:hint="eastAsia"/>
        </w:rPr>
        <w:t>演练后续工作</w:t>
      </w:r>
      <w:bookmarkEnd w:id="24"/>
    </w:p>
    <w:p w14:paraId="5759BB5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5" w:name="_Toc25201"/>
      <w:r>
        <w:rPr>
          <w:rFonts w:hint="eastAsia"/>
        </w:rPr>
        <w:t>问题整改</w:t>
      </w:r>
      <w:bookmarkEnd w:id="25"/>
    </w:p>
    <w:p w14:paraId="1157DF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对演练中发现的问题进行根因分析，制定整改措施，明确责任人和完成时限，跟踪整改完成情况。</w:t>
      </w:r>
    </w:p>
    <w:p w14:paraId="44448D8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28479"/>
      <w:r>
        <w:rPr>
          <w:rFonts w:hint="eastAsia"/>
        </w:rPr>
        <w:t>预案更新</w:t>
      </w:r>
      <w:bookmarkEnd w:id="26"/>
    </w:p>
    <w:p w14:paraId="1BF233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根据演练发现的问题，对应急预案进行修订完善，确保预案与实际操作一致。</w:t>
      </w:r>
    </w:p>
    <w:p w14:paraId="035C178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7" w:name="_Toc20443"/>
      <w:r>
        <w:rPr>
          <w:rFonts w:hint="eastAsia"/>
        </w:rPr>
        <w:t>知识沉淀</w:t>
      </w:r>
      <w:bookmarkEnd w:id="27"/>
    </w:p>
    <w:p w14:paraId="629305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将演练过程中总结的经验和教训纳入公司知识库，供其他项目参考。</w:t>
      </w:r>
    </w:p>
    <w:p w14:paraId="60AD1D5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8" w:name="_Toc31266"/>
      <w:r>
        <w:rPr>
          <w:rFonts w:hint="eastAsia"/>
        </w:rPr>
        <w:t>演练周期</w:t>
      </w:r>
      <w:bookmarkEnd w:id="28"/>
    </w:p>
    <w:p w14:paraId="66F2FD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根据合同要求和公司制度，服务期内每年至少组织1次应急演练。建议安排在服务期内的第6至第10个月之间执行，具体时间与甲方协商确定。</w:t>
      </w:r>
    </w:p>
    <w:p w14:paraId="5EA735A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9" w:name="_Toc13159"/>
      <w:r>
        <w:rPr>
          <w:rFonts w:hint="eastAsia"/>
        </w:rPr>
        <w:t>附件</w:t>
      </w:r>
      <w:bookmarkEnd w:id="29"/>
    </w:p>
    <w:p w14:paraId="329CA2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附件一：《应急演练方案模板》</w:t>
      </w:r>
    </w:p>
    <w:p w14:paraId="338406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附件二：《应急演练记录表模板》</w:t>
      </w:r>
    </w:p>
    <w:p w14:paraId="44811A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附件三：《应急演练评估表模板》</w:t>
      </w:r>
    </w:p>
    <w:sectPr>
      <w:headerReference r:id="rId6" w:type="default"/>
      <w:footerReference r:id="rId7" w:type="default"/>
      <w:pgSz w:w="11906" w:h="16838"/>
      <w:pgMar w:top="1240" w:right="1785" w:bottom="1263" w:left="1785" w:header="0" w:footer="89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07905">
    <w:pPr>
      <w:spacing w:line="235" w:lineRule="auto"/>
      <w:ind w:left="4312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z w:val="28"/>
        <w:szCs w:val="28"/>
      </w:rPr>
      <w:t>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985E4">
    <w:pPr>
      <w:spacing w:line="235" w:lineRule="auto"/>
      <w:ind w:left="582"/>
      <w:rPr>
        <w:rFonts w:ascii="宋体" w:hAnsi="宋体" w:eastAsia="宋体" w:cs="宋体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70828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8D228FE"/>
    <w:multiLevelType w:val="singleLevel"/>
    <w:tmpl w:val="68D228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6F45FE"/>
    <w:rsid w:val="09041126"/>
    <w:rsid w:val="0F2772F0"/>
    <w:rsid w:val="1A3A7A37"/>
    <w:rsid w:val="1EDD6BE3"/>
    <w:rsid w:val="2A6B59EA"/>
    <w:rsid w:val="373D426B"/>
    <w:rsid w:val="3C092CE1"/>
    <w:rsid w:val="3F340F2C"/>
    <w:rsid w:val="4AFB4DFA"/>
    <w:rsid w:val="520729C4"/>
    <w:rsid w:val="54C618EB"/>
    <w:rsid w:val="56982E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3759</Words>
  <Characters>3990</Characters>
  <Lines>0</Lines>
  <Paragraphs>0</Paragraphs>
  <TotalTime>2</TotalTime>
  <ScaleCrop>false</ScaleCrop>
  <LinksUpToDate>false</LinksUpToDate>
  <CharactersWithSpaces>4127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2025-08-21T17:45:00Z</dcterms:created>
  <dc:creator>18442</dc:creator>
  <cp:lastModifiedBy>郝宇</cp:lastModifiedBy>
  <dcterms:modified xsi:type="dcterms:W3CDTF">2026-04-16T14:37:31Z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2025-08-21T16:44:00Z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0F20D3D6E75143B382DA463C0C50D04D_12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