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B868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p>
    <w:p w14:paraId="1677B4C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5479"/>
      <w:r>
        <w:rPr>
          <w:rFonts w:hint="eastAsia"/>
          <w:lang w:val="en-US" w:eastAsia="zh-CN"/>
        </w:rPr>
        <w:t>淮安生态新城信息系统运维服务</w:t>
      </w:r>
      <w:r>
        <w:rPr>
          <w:rFonts w:hint="eastAsia"/>
          <w:lang w:val="en-US" w:eastAsia="zh-CN"/>
        </w:rPr>
        <w:br w:type="textWrapping"/>
      </w:r>
      <w:r>
        <w:t>应急演练总结报告</w:t>
      </w:r>
      <w:bookmarkEnd w:id="0"/>
    </w:p>
    <w:p w14:paraId="797CC2AC">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136DE7F7">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6787"/>
      <w:r>
        <w:t>江苏云储智能科技有限公司</w:t>
      </w:r>
      <w:bookmarkEnd w:id="1"/>
    </w:p>
    <w:p w14:paraId="3CFDEC8C">
      <w:pPr>
        <w:keepNext w:val="0"/>
        <w:keepLines w:val="0"/>
        <w:pageBreakBefore w:val="0"/>
        <w:widowControl w:val="0"/>
        <w:kinsoku w:val="0"/>
        <w:wordWrap/>
        <w:overflowPunct/>
        <w:topLinePunct w:val="0"/>
        <w:autoSpaceDE w:val="0"/>
        <w:autoSpaceDN w:val="0"/>
        <w:bidi w:val="0"/>
        <w:adjustRightInd w:val="0"/>
        <w:snapToGrid w:val="0"/>
        <w:spacing w:before="117" w:line="219" w:lineRule="auto"/>
        <w:jc w:val="center"/>
        <w:textAlignment w:val="baseline"/>
        <w:rPr>
          <w:rFonts w:hint="default" w:ascii="宋体" w:hAnsi="宋体" w:eastAsia="宋体" w:cs="宋体"/>
          <w:spacing w:val="-1"/>
          <w:sz w:val="36"/>
          <w:szCs w:val="36"/>
          <w:lang w:val="en-US" w:eastAsia="zh-CN"/>
        </w:rPr>
      </w:pPr>
      <w:r>
        <w:rPr>
          <w:rFonts w:hint="eastAsia" w:ascii="宋体" w:hAnsi="宋体" w:eastAsia="宋体" w:cs="宋体"/>
          <w:spacing w:val="-1"/>
          <w:sz w:val="36"/>
          <w:szCs w:val="36"/>
          <w:lang w:val="en-US" w:eastAsia="zh-CN"/>
        </w:rPr>
        <w:t>2025年</w:t>
      </w:r>
      <w:r>
        <w:rPr>
          <w:rFonts w:hint="eastAsia" w:ascii="宋体" w:hAnsi="宋体" w:cs="宋体"/>
          <w:spacing w:val="-1"/>
          <w:sz w:val="36"/>
          <w:szCs w:val="36"/>
          <w:lang w:val="en-US" w:eastAsia="zh-CN"/>
        </w:rPr>
        <w:t>12</w:t>
      </w:r>
      <w:r>
        <w:rPr>
          <w:rFonts w:hint="eastAsia" w:ascii="宋体" w:hAnsi="宋体" w:eastAsia="宋体" w:cs="宋体"/>
          <w:spacing w:val="-1"/>
          <w:sz w:val="36"/>
          <w:szCs w:val="36"/>
          <w:lang w:val="en-US" w:eastAsia="zh-CN"/>
        </w:rPr>
        <w:t>月20日</w:t>
      </w:r>
    </w:p>
    <w:p w14:paraId="4078E604">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eastAsia="宋体" w:cs="宋体"/>
          <w:b/>
          <w:bCs/>
          <w:spacing w:val="6"/>
          <w:sz w:val="31"/>
          <w:szCs w:val="31"/>
        </w:rPr>
      </w:pPr>
      <w:r>
        <w:rPr>
          <w:rFonts w:ascii="宋体" w:hAnsi="宋体" w:eastAsia="宋体" w:cs="宋体"/>
          <w:b/>
          <w:bCs/>
          <w:spacing w:val="6"/>
          <w:sz w:val="31"/>
          <w:szCs w:val="31"/>
        </w:rPr>
        <w:br w:type="page"/>
      </w:r>
    </w:p>
    <w:p w14:paraId="60ADE569">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811"/>
        <w:textAlignment w:val="baseline"/>
        <w:outlineLvl w:val="0"/>
        <w:rPr>
          <w:rFonts w:ascii="宋体" w:hAnsi="宋体" w:eastAsia="宋体" w:cs="宋体"/>
          <w:sz w:val="28"/>
          <w:szCs w:val="28"/>
        </w:rPr>
      </w:pPr>
      <w:bookmarkStart w:id="2" w:name="_Toc24056"/>
      <w:bookmarkStart w:id="3" w:name="_Toc30662"/>
      <w:r>
        <w:rPr>
          <w:rFonts w:ascii="宋体" w:hAnsi="宋体" w:eastAsia="宋体" w:cs="宋体"/>
          <w:spacing w:val="-3"/>
          <w:sz w:val="28"/>
          <w:szCs w:val="28"/>
        </w:rPr>
        <w:t>文档信息</w:t>
      </w:r>
      <w:bookmarkEnd w:id="2"/>
      <w:bookmarkEnd w:id="3"/>
    </w:p>
    <w:p w14:paraId="479B8806">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6"/>
        <w:tblW w:w="91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1"/>
        <w:gridCol w:w="1548"/>
        <w:gridCol w:w="2341"/>
        <w:gridCol w:w="1982"/>
        <w:gridCol w:w="1563"/>
      </w:tblGrid>
      <w:tr w14:paraId="37DAD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1" w:hRule="atLeast"/>
          <w:jc w:val="center"/>
        </w:trPr>
        <w:tc>
          <w:tcPr>
            <w:tcW w:w="1711" w:type="dxa"/>
          </w:tcPr>
          <w:p w14:paraId="18FB286B">
            <w:pPr>
              <w:pStyle w:val="27"/>
              <w:keepNext w:val="0"/>
              <w:keepLines w:val="0"/>
              <w:pageBreakBefore w:val="0"/>
              <w:widowControl w:val="0"/>
              <w:kinsoku w:val="0"/>
              <w:wordWrap/>
              <w:overflowPunct/>
              <w:topLinePunct w:val="0"/>
              <w:autoSpaceDE w:val="0"/>
              <w:autoSpaceDN w:val="0"/>
              <w:bidi w:val="0"/>
              <w:adjustRightInd w:val="0"/>
              <w:snapToGrid w:val="0"/>
              <w:spacing w:before="125" w:line="325" w:lineRule="auto"/>
              <w:ind w:right="250"/>
              <w:textAlignment w:val="baseline"/>
            </w:pPr>
            <w:r>
              <w:rPr>
                <w:spacing w:val="-3"/>
              </w:rPr>
              <w:t>文档名称编</w:t>
            </w:r>
            <w:r>
              <w:t>号</w:t>
            </w:r>
          </w:p>
        </w:tc>
        <w:tc>
          <w:tcPr>
            <w:tcW w:w="7434" w:type="dxa"/>
            <w:gridSpan w:val="4"/>
          </w:tcPr>
          <w:p w14:paraId="4097F68C">
            <w:pPr>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rPr>
                <w:rFonts w:ascii="Arial"/>
                <w:sz w:val="21"/>
              </w:rPr>
            </w:pPr>
          </w:p>
          <w:p w14:paraId="417CFC2B">
            <w:pPr>
              <w:pStyle w:val="27"/>
              <w:keepNext w:val="0"/>
              <w:keepLines w:val="0"/>
              <w:pageBreakBefore w:val="0"/>
              <w:widowControl w:val="0"/>
              <w:kinsoku w:val="0"/>
              <w:wordWrap/>
              <w:overflowPunct/>
              <w:topLinePunct w:val="0"/>
              <w:autoSpaceDE w:val="0"/>
              <w:autoSpaceDN w:val="0"/>
              <w:bidi w:val="0"/>
              <w:adjustRightInd w:val="0"/>
              <w:snapToGrid w:val="0"/>
              <w:spacing w:before="78" w:line="218" w:lineRule="auto"/>
              <w:ind w:left="112"/>
              <w:textAlignment w:val="baseline"/>
            </w:pPr>
            <w:r>
              <w:rPr>
                <w:rFonts w:hint="eastAsia"/>
                <w:spacing w:val="-1"/>
                <w:lang w:val="en-US" w:eastAsia="zh-CN"/>
              </w:rPr>
              <w:t>应急演练报告</w:t>
            </w:r>
            <w:r>
              <w:rPr>
                <w:spacing w:val="-1"/>
              </w:rPr>
              <w:t>（JSYC-ITSS-</w:t>
            </w:r>
            <w:r>
              <w:rPr>
                <w:rFonts w:hint="eastAsia"/>
                <w:spacing w:val="-1"/>
                <w:lang w:val="en-US" w:eastAsia="zh-CN"/>
              </w:rPr>
              <w:t>YJLGBG</w:t>
            </w:r>
            <w:r>
              <w:rPr>
                <w:spacing w:val="-1"/>
              </w:rPr>
              <w:t>）</w:t>
            </w:r>
          </w:p>
        </w:tc>
      </w:tr>
      <w:tr w14:paraId="240AD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2C57A582">
            <w:pPr>
              <w:pStyle w:val="27"/>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14"/>
              <w:textAlignment w:val="baseline"/>
            </w:pPr>
            <w:r>
              <w:rPr>
                <w:spacing w:val="-3"/>
              </w:rPr>
              <w:t>编制单位</w:t>
            </w:r>
          </w:p>
        </w:tc>
        <w:tc>
          <w:tcPr>
            <w:tcW w:w="7434" w:type="dxa"/>
            <w:gridSpan w:val="4"/>
          </w:tcPr>
          <w:p w14:paraId="57A5A4F4">
            <w:pPr>
              <w:pStyle w:val="27"/>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pPr>
            <w:r>
              <w:rPr>
                <w:spacing w:val="-1"/>
              </w:rPr>
              <w:t>江苏云储智能科技有限公司</w:t>
            </w:r>
          </w:p>
        </w:tc>
      </w:tr>
      <w:tr w14:paraId="27411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25DF4121">
            <w:pPr>
              <w:pStyle w:val="27"/>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114"/>
              <w:textAlignment w:val="baseline"/>
            </w:pPr>
            <w:r>
              <w:rPr>
                <w:spacing w:val="-3"/>
              </w:rPr>
              <w:t>文档密级</w:t>
            </w:r>
          </w:p>
        </w:tc>
        <w:tc>
          <w:tcPr>
            <w:tcW w:w="7434" w:type="dxa"/>
            <w:gridSpan w:val="4"/>
          </w:tcPr>
          <w:p w14:paraId="348BE2C7">
            <w:pPr>
              <w:pStyle w:val="27"/>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108"/>
              <w:textAlignment w:val="baseline"/>
            </w:pPr>
            <w:r>
              <w:rPr>
                <w:spacing w:val="-3"/>
              </w:rPr>
              <w:t>秘密</w:t>
            </w:r>
          </w:p>
        </w:tc>
      </w:tr>
      <w:tr w14:paraId="7715F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54CA8BC0">
            <w:pPr>
              <w:pStyle w:val="27"/>
              <w:keepNext w:val="0"/>
              <w:keepLines w:val="0"/>
              <w:pageBreakBefore w:val="0"/>
              <w:widowControl w:val="0"/>
              <w:kinsoku w:val="0"/>
              <w:wordWrap/>
              <w:overflowPunct/>
              <w:topLinePunct w:val="0"/>
              <w:autoSpaceDE w:val="0"/>
              <w:autoSpaceDN w:val="0"/>
              <w:bidi w:val="0"/>
              <w:adjustRightInd w:val="0"/>
              <w:snapToGrid w:val="0"/>
              <w:spacing w:before="186" w:line="219" w:lineRule="auto"/>
              <w:textAlignment w:val="baseline"/>
            </w:pPr>
            <w:r>
              <w:rPr>
                <w:spacing w:val="-3"/>
              </w:rPr>
              <w:t>文档版本</w:t>
            </w:r>
          </w:p>
        </w:tc>
        <w:tc>
          <w:tcPr>
            <w:tcW w:w="1548" w:type="dxa"/>
          </w:tcPr>
          <w:p w14:paraId="03E9F8F1">
            <w:pPr>
              <w:pStyle w:val="27"/>
              <w:keepNext w:val="0"/>
              <w:keepLines w:val="0"/>
              <w:pageBreakBefore w:val="0"/>
              <w:widowControl w:val="0"/>
              <w:kinsoku w:val="0"/>
              <w:wordWrap/>
              <w:overflowPunct/>
              <w:topLinePunct w:val="0"/>
              <w:autoSpaceDE w:val="0"/>
              <w:autoSpaceDN w:val="0"/>
              <w:bidi w:val="0"/>
              <w:adjustRightInd w:val="0"/>
              <w:snapToGrid w:val="0"/>
              <w:spacing w:before="186" w:line="219" w:lineRule="auto"/>
              <w:ind w:left="371"/>
              <w:textAlignment w:val="baseline"/>
            </w:pPr>
            <w:r>
              <w:rPr>
                <w:spacing w:val="-2"/>
              </w:rPr>
              <w:t>版本日期</w:t>
            </w:r>
          </w:p>
        </w:tc>
        <w:tc>
          <w:tcPr>
            <w:tcW w:w="2341" w:type="dxa"/>
          </w:tcPr>
          <w:p w14:paraId="513FCA51">
            <w:pPr>
              <w:pStyle w:val="27"/>
              <w:keepNext w:val="0"/>
              <w:keepLines w:val="0"/>
              <w:pageBreakBefore w:val="0"/>
              <w:widowControl w:val="0"/>
              <w:kinsoku w:val="0"/>
              <w:wordWrap/>
              <w:overflowPunct/>
              <w:topLinePunct w:val="0"/>
              <w:autoSpaceDE w:val="0"/>
              <w:autoSpaceDN w:val="0"/>
              <w:bidi w:val="0"/>
              <w:adjustRightInd w:val="0"/>
              <w:snapToGrid w:val="0"/>
              <w:spacing w:before="186" w:line="219" w:lineRule="auto"/>
              <w:ind w:left="695"/>
              <w:textAlignment w:val="baseline"/>
            </w:pPr>
            <w:r>
              <w:rPr>
                <w:spacing w:val="-2"/>
              </w:rPr>
              <w:t>版本说明</w:t>
            </w:r>
          </w:p>
        </w:tc>
        <w:tc>
          <w:tcPr>
            <w:tcW w:w="1982" w:type="dxa"/>
          </w:tcPr>
          <w:p w14:paraId="034D3F65">
            <w:pPr>
              <w:pStyle w:val="27"/>
              <w:keepNext w:val="0"/>
              <w:keepLines w:val="0"/>
              <w:pageBreakBefore w:val="0"/>
              <w:widowControl w:val="0"/>
              <w:kinsoku w:val="0"/>
              <w:wordWrap/>
              <w:overflowPunct/>
              <w:topLinePunct w:val="0"/>
              <w:autoSpaceDE w:val="0"/>
              <w:autoSpaceDN w:val="0"/>
              <w:bidi w:val="0"/>
              <w:adjustRightInd w:val="0"/>
              <w:snapToGrid w:val="0"/>
              <w:spacing w:before="187" w:line="220" w:lineRule="auto"/>
              <w:ind w:left="758"/>
              <w:textAlignment w:val="baseline"/>
            </w:pPr>
            <w:r>
              <w:rPr>
                <w:spacing w:val="-3"/>
              </w:rPr>
              <w:t>作者</w:t>
            </w:r>
          </w:p>
        </w:tc>
        <w:tc>
          <w:tcPr>
            <w:tcW w:w="1563" w:type="dxa"/>
          </w:tcPr>
          <w:p w14:paraId="3DFE2587">
            <w:pPr>
              <w:pStyle w:val="27"/>
              <w:keepNext w:val="0"/>
              <w:keepLines w:val="0"/>
              <w:pageBreakBefore w:val="0"/>
              <w:widowControl w:val="0"/>
              <w:kinsoku w:val="0"/>
              <w:wordWrap/>
              <w:overflowPunct/>
              <w:topLinePunct w:val="0"/>
              <w:autoSpaceDE w:val="0"/>
              <w:autoSpaceDN w:val="0"/>
              <w:bidi w:val="0"/>
              <w:adjustRightInd w:val="0"/>
              <w:snapToGrid w:val="0"/>
              <w:spacing w:before="187" w:line="220" w:lineRule="auto"/>
              <w:ind w:left="559"/>
              <w:textAlignment w:val="baseline"/>
            </w:pPr>
            <w:r>
              <w:rPr>
                <w:spacing w:val="-6"/>
              </w:rPr>
              <w:t>审核</w:t>
            </w:r>
          </w:p>
        </w:tc>
      </w:tr>
      <w:tr w14:paraId="31D74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jc w:val="center"/>
        </w:trPr>
        <w:tc>
          <w:tcPr>
            <w:tcW w:w="1711" w:type="dxa"/>
          </w:tcPr>
          <w:p w14:paraId="43142C98">
            <w:pPr>
              <w:pStyle w:val="27"/>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38"/>
              <w:textAlignment w:val="baseline"/>
            </w:pPr>
            <w:r>
              <w:rPr>
                <w:spacing w:val="-1"/>
              </w:rPr>
              <w:t>V1.0</w:t>
            </w:r>
          </w:p>
        </w:tc>
        <w:tc>
          <w:tcPr>
            <w:tcW w:w="1548" w:type="dxa"/>
          </w:tcPr>
          <w:p w14:paraId="2426EF0B">
            <w:pPr>
              <w:pStyle w:val="27"/>
              <w:keepNext w:val="0"/>
              <w:keepLines w:val="0"/>
              <w:pageBreakBefore w:val="0"/>
              <w:widowControl w:val="0"/>
              <w:kinsoku w:val="0"/>
              <w:wordWrap/>
              <w:overflowPunct/>
              <w:topLinePunct w:val="0"/>
              <w:autoSpaceDE w:val="0"/>
              <w:autoSpaceDN w:val="0"/>
              <w:bidi w:val="0"/>
              <w:adjustRightInd w:val="0"/>
              <w:snapToGrid w:val="0"/>
              <w:spacing w:before="162"/>
              <w:ind w:left="313"/>
              <w:textAlignment w:val="baseline"/>
              <w:rPr>
                <w:rFonts w:hint="default" w:eastAsia="仿宋"/>
                <w:lang w:val="en-US" w:eastAsia="zh-CN"/>
              </w:rPr>
            </w:pPr>
            <w:r>
              <w:rPr>
                <w:spacing w:val="-2"/>
              </w:rPr>
              <w:t>2025-</w:t>
            </w:r>
            <w:r>
              <w:rPr>
                <w:rFonts w:hint="eastAsia"/>
                <w:spacing w:val="-2"/>
                <w:lang w:val="en-US" w:eastAsia="zh-CN"/>
              </w:rPr>
              <w:t>12</w:t>
            </w:r>
            <w:r>
              <w:rPr>
                <w:spacing w:val="-2"/>
              </w:rPr>
              <w:t>-</w:t>
            </w:r>
            <w:r>
              <w:rPr>
                <w:rFonts w:hint="eastAsia"/>
                <w:spacing w:val="-2"/>
                <w:lang w:val="en-US" w:eastAsia="zh-CN"/>
              </w:rPr>
              <w:t>20</w:t>
            </w:r>
          </w:p>
        </w:tc>
        <w:tc>
          <w:tcPr>
            <w:tcW w:w="2341" w:type="dxa"/>
          </w:tcPr>
          <w:p w14:paraId="0E2AC955">
            <w:pPr>
              <w:pStyle w:val="27"/>
              <w:keepNext w:val="0"/>
              <w:keepLines w:val="0"/>
              <w:pageBreakBefore w:val="0"/>
              <w:widowControl w:val="0"/>
              <w:kinsoku w:val="0"/>
              <w:wordWrap/>
              <w:overflowPunct/>
              <w:topLinePunct w:val="0"/>
              <w:autoSpaceDE w:val="0"/>
              <w:autoSpaceDN w:val="0"/>
              <w:bidi w:val="0"/>
              <w:adjustRightInd w:val="0"/>
              <w:snapToGrid w:val="0"/>
              <w:spacing w:before="128" w:line="219" w:lineRule="auto"/>
              <w:ind w:left="698"/>
              <w:textAlignment w:val="baseline"/>
            </w:pPr>
            <w:r>
              <w:rPr>
                <w:spacing w:val="-3"/>
              </w:rPr>
              <w:t>发布版本</w:t>
            </w:r>
          </w:p>
        </w:tc>
        <w:tc>
          <w:tcPr>
            <w:tcW w:w="1982" w:type="dxa"/>
          </w:tcPr>
          <w:p w14:paraId="42E5927C">
            <w:pPr>
              <w:pStyle w:val="27"/>
              <w:keepNext w:val="0"/>
              <w:keepLines w:val="0"/>
              <w:pageBreakBefore w:val="0"/>
              <w:widowControl w:val="0"/>
              <w:kinsoku w:val="0"/>
              <w:wordWrap/>
              <w:overflowPunct/>
              <w:topLinePunct w:val="0"/>
              <w:autoSpaceDE w:val="0"/>
              <w:autoSpaceDN w:val="0"/>
              <w:bidi w:val="0"/>
              <w:adjustRightInd w:val="0"/>
              <w:snapToGrid w:val="0"/>
              <w:spacing w:before="128" w:line="220" w:lineRule="auto"/>
              <w:ind w:left="639"/>
              <w:textAlignment w:val="baseline"/>
            </w:pPr>
            <w:r>
              <w:rPr>
                <w:rFonts w:hint="eastAsia"/>
                <w:spacing w:val="-3"/>
              </w:rPr>
              <w:t>郑云</w:t>
            </w:r>
          </w:p>
        </w:tc>
        <w:tc>
          <w:tcPr>
            <w:tcW w:w="1563" w:type="dxa"/>
          </w:tcPr>
          <w:p w14:paraId="2566A2C2">
            <w:pPr>
              <w:pStyle w:val="27"/>
              <w:keepNext w:val="0"/>
              <w:keepLines w:val="0"/>
              <w:pageBreakBefore w:val="0"/>
              <w:widowControl w:val="0"/>
              <w:kinsoku w:val="0"/>
              <w:wordWrap/>
              <w:overflowPunct/>
              <w:topLinePunct w:val="0"/>
              <w:autoSpaceDE w:val="0"/>
              <w:autoSpaceDN w:val="0"/>
              <w:bidi w:val="0"/>
              <w:adjustRightInd w:val="0"/>
              <w:snapToGrid w:val="0"/>
              <w:spacing w:before="129" w:line="220" w:lineRule="auto"/>
              <w:ind w:left="439"/>
              <w:textAlignment w:val="baseline"/>
              <w:rPr>
                <w:rFonts w:hint="default" w:eastAsia="宋体"/>
                <w:lang w:val="en-US" w:eastAsia="zh-CN"/>
              </w:rPr>
            </w:pPr>
            <w:r>
              <w:rPr>
                <w:rFonts w:hint="eastAsia"/>
                <w:spacing w:val="-5"/>
                <w:lang w:val="en-US" w:eastAsia="zh-CN"/>
              </w:rPr>
              <w:t>史晓玲</w:t>
            </w:r>
          </w:p>
        </w:tc>
      </w:tr>
      <w:tr w14:paraId="34923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1711" w:type="dxa"/>
          </w:tcPr>
          <w:p w14:paraId="13EA8E3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48" w:type="dxa"/>
          </w:tcPr>
          <w:p w14:paraId="14F5B34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41" w:type="dxa"/>
          </w:tcPr>
          <w:p w14:paraId="65E23E4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82" w:type="dxa"/>
          </w:tcPr>
          <w:p w14:paraId="222B3AD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3" w:type="dxa"/>
          </w:tcPr>
          <w:p w14:paraId="4736BA7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3F0A0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jc w:val="center"/>
        </w:trPr>
        <w:tc>
          <w:tcPr>
            <w:tcW w:w="1711" w:type="dxa"/>
          </w:tcPr>
          <w:p w14:paraId="72F85D6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48" w:type="dxa"/>
          </w:tcPr>
          <w:p w14:paraId="4343137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41" w:type="dxa"/>
          </w:tcPr>
          <w:p w14:paraId="4BDE8D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82" w:type="dxa"/>
          </w:tcPr>
          <w:p w14:paraId="257F5C1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3" w:type="dxa"/>
          </w:tcPr>
          <w:p w14:paraId="015FBE1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17FD679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63530F7">
      <w:pPr>
        <w:keepNext w:val="0"/>
        <w:keepLines w:val="0"/>
        <w:pageBreakBefore w:val="0"/>
        <w:widowControl w:val="0"/>
        <w:kinsoku w:val="0"/>
        <w:wordWrap/>
        <w:overflowPunct/>
        <w:topLinePunct w:val="0"/>
        <w:autoSpaceDE w:val="0"/>
        <w:autoSpaceDN w:val="0"/>
        <w:bidi w:val="0"/>
        <w:adjustRightInd w:val="0"/>
        <w:snapToGrid w:val="0"/>
        <w:textAlignment w:val="baseline"/>
      </w:pPr>
    </w:p>
    <w:sdt>
      <w:sdtPr>
        <w:rPr>
          <w:rFonts w:ascii="宋体" w:hAnsi="宋体" w:eastAsia="宋体" w:cs="Arial"/>
          <w:snapToGrid w:val="0"/>
          <w:color w:val="000000"/>
          <w:kern w:val="0"/>
          <w:sz w:val="21"/>
          <w:szCs w:val="21"/>
          <w:lang w:val="en-US" w:eastAsia="en-US" w:bidi="ar-SA"/>
        </w:rPr>
        <w:id w:val="147451423"/>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244E8A5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5C47CF17">
          <w:pPr>
            <w:pStyle w:val="16"/>
            <w:tabs>
              <w:tab w:val="right" w:leader="dot" w:pos="8375"/>
            </w:tabs>
          </w:pPr>
          <w:bookmarkStart w:id="58" w:name="_GoBack"/>
          <w:bookmarkEnd w:id="58"/>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_Toc5479 </w:instrText>
          </w:r>
          <w:r>
            <w:rPr>
              <w:rFonts w:hint="eastAsia" w:ascii="Microsoft JhengHei" w:hAnsi="Microsoft JhengHei" w:eastAsia="Microsoft JhengHei" w:cs="Microsoft JhengHei"/>
              <w:szCs w:val="24"/>
            </w:rPr>
            <w:fldChar w:fldCharType="separate"/>
          </w:r>
          <w:r>
            <w:rPr>
              <w:rFonts w:hint="eastAsia"/>
              <w:lang w:val="en-US" w:eastAsia="zh-CN"/>
            </w:rPr>
            <w:t>淮安生态新城信息系统运维服务</w:t>
          </w:r>
          <w:r>
            <w:rPr>
              <w:rFonts w:hint="eastAsia"/>
              <w:lang w:val="en-US" w:eastAsia="zh-CN"/>
            </w:rPr>
            <w:t xml:space="preserve"> </w:t>
          </w:r>
          <w:r>
            <w:t>应急演练总结报告</w:t>
          </w:r>
          <w:r>
            <w:tab/>
          </w:r>
          <w:r>
            <w:fldChar w:fldCharType="begin"/>
          </w:r>
          <w:r>
            <w:instrText xml:space="preserve"> PAGEREF _Toc5479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0E98E9CF">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_Toc6787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_Toc6787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45683757">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_Toc30662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_Toc30662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5D7D8F06">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_Toc25255 </w:instrText>
          </w:r>
          <w:r>
            <w:rPr>
              <w:rFonts w:hint="eastAsia" w:ascii="Microsoft JhengHei" w:hAnsi="Microsoft JhengHei" w:eastAsia="Microsoft JhengHei" w:cs="Microsoft JhengHei"/>
              <w:szCs w:val="24"/>
            </w:rPr>
            <w:fldChar w:fldCharType="separate"/>
          </w:r>
          <w:r>
            <w:rPr>
              <w:rFonts w:hint="default"/>
            </w:rPr>
            <w:t xml:space="preserve">1. </w:t>
          </w:r>
          <w:r>
            <w:t>报告概述</w:t>
          </w:r>
          <w:r>
            <w:tab/>
          </w:r>
          <w:r>
            <w:fldChar w:fldCharType="begin"/>
          </w:r>
          <w:r>
            <w:instrText xml:space="preserve"> PAGEREF _Toc25255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B5EEA87">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_Toc182 </w:instrText>
          </w:r>
          <w:r>
            <w:rPr>
              <w:rFonts w:hint="eastAsia" w:ascii="Microsoft JhengHei" w:hAnsi="Microsoft JhengHei" w:eastAsia="Microsoft JhengHei" w:cs="Microsoft JhengHei"/>
              <w:szCs w:val="24"/>
            </w:rPr>
            <w:fldChar w:fldCharType="separate"/>
          </w:r>
          <w:r>
            <w:rPr>
              <w:rFonts w:hint="default"/>
            </w:rPr>
            <w:t xml:space="preserve">1.1. </w:t>
          </w:r>
          <w:r>
            <w:t>报告目的</w:t>
          </w:r>
          <w:r>
            <w:tab/>
          </w:r>
          <w:r>
            <w:fldChar w:fldCharType="begin"/>
          </w:r>
          <w:r>
            <w:instrText xml:space="preserve"> PAGEREF _Toc182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02D3263">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_Toc5731 </w:instrText>
          </w:r>
          <w:r>
            <w:rPr>
              <w:rFonts w:hint="eastAsia" w:ascii="Microsoft JhengHei" w:hAnsi="Microsoft JhengHei" w:eastAsia="Microsoft JhengHei" w:cs="Microsoft JhengHei"/>
              <w:szCs w:val="24"/>
            </w:rPr>
            <w:fldChar w:fldCharType="separate"/>
          </w:r>
          <w:r>
            <w:rPr>
              <w:rFonts w:hint="default"/>
            </w:rPr>
            <w:t xml:space="preserve">1.2. </w:t>
          </w:r>
          <w:r>
            <w:t>报告依据</w:t>
          </w:r>
          <w:r>
            <w:tab/>
          </w:r>
          <w:r>
            <w:fldChar w:fldCharType="begin"/>
          </w:r>
          <w:r>
            <w:instrText xml:space="preserve"> PAGEREF _Toc5731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5463659">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_Toc8703 </w:instrText>
          </w:r>
          <w:r>
            <w:rPr>
              <w:rFonts w:hint="eastAsia" w:ascii="Microsoft JhengHei" w:hAnsi="Microsoft JhengHei" w:eastAsia="Microsoft JhengHei" w:cs="Microsoft JhengHei"/>
              <w:szCs w:val="24"/>
            </w:rPr>
            <w:fldChar w:fldCharType="separate"/>
          </w:r>
          <w:r>
            <w:rPr>
              <w:rFonts w:hint="default"/>
            </w:rPr>
            <w:t xml:space="preserve">1.3. </w:t>
          </w:r>
          <w:r>
            <w:t>演练概况</w:t>
          </w:r>
          <w:r>
            <w:tab/>
          </w:r>
          <w:r>
            <w:fldChar w:fldCharType="begin"/>
          </w:r>
          <w:r>
            <w:instrText xml:space="preserve"> PAGEREF _Toc8703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8724877">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_Toc1198 </w:instrText>
          </w:r>
          <w:r>
            <w:rPr>
              <w:rFonts w:hint="eastAsia" w:ascii="Microsoft JhengHei" w:hAnsi="Microsoft JhengHei" w:eastAsia="Microsoft JhengHei" w:cs="Microsoft JhengHei"/>
              <w:szCs w:val="24"/>
            </w:rPr>
            <w:fldChar w:fldCharType="separate"/>
          </w:r>
          <w:r>
            <w:rPr>
              <w:rFonts w:hint="default"/>
            </w:rPr>
            <w:t xml:space="preserve">2. </w:t>
          </w:r>
          <w:r>
            <w:t>演练组织与实施</w:t>
          </w:r>
          <w:r>
            <w:tab/>
          </w:r>
          <w:r>
            <w:fldChar w:fldCharType="begin"/>
          </w:r>
          <w:r>
            <w:instrText xml:space="preserve"> PAGEREF _Toc1198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E02DD44">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_Toc18887 </w:instrText>
          </w:r>
          <w:r>
            <w:rPr>
              <w:rFonts w:hint="eastAsia" w:ascii="Microsoft JhengHei" w:hAnsi="Microsoft JhengHei" w:eastAsia="Microsoft JhengHei" w:cs="Microsoft JhengHei"/>
              <w:szCs w:val="24"/>
            </w:rPr>
            <w:fldChar w:fldCharType="separate"/>
          </w:r>
          <w:r>
            <w:rPr>
              <w:rFonts w:hint="default"/>
            </w:rPr>
            <w:t xml:space="preserve">2.1. </w:t>
          </w:r>
          <w:r>
            <w:t>演练组织</w:t>
          </w:r>
          <w:r>
            <w:tab/>
          </w:r>
          <w:r>
            <w:fldChar w:fldCharType="begin"/>
          </w:r>
          <w:r>
            <w:instrText xml:space="preserve"> PAGEREF _Toc18887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9CAD8CD">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_Toc31229 </w:instrText>
          </w:r>
          <w:r>
            <w:rPr>
              <w:rFonts w:hint="eastAsia" w:ascii="Microsoft JhengHei" w:hAnsi="Microsoft JhengHei" w:eastAsia="Microsoft JhengHei" w:cs="Microsoft JhengHei"/>
              <w:szCs w:val="24"/>
            </w:rPr>
            <w:fldChar w:fldCharType="separate"/>
          </w:r>
          <w:r>
            <w:rPr>
              <w:rFonts w:hint="default"/>
            </w:rPr>
            <w:t xml:space="preserve">2.2. </w:t>
          </w:r>
          <w:r>
            <w:t>演练场景</w:t>
          </w:r>
          <w:r>
            <w:tab/>
          </w:r>
          <w:r>
            <w:fldChar w:fldCharType="begin"/>
          </w:r>
          <w:r>
            <w:instrText xml:space="preserve"> PAGEREF _Toc31229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BABA833">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_Toc22024 </w:instrText>
          </w:r>
          <w:r>
            <w:rPr>
              <w:rFonts w:hint="eastAsia" w:ascii="Microsoft JhengHei" w:hAnsi="Microsoft JhengHei" w:eastAsia="Microsoft JhengHei" w:cs="Microsoft JhengHei"/>
              <w:szCs w:val="24"/>
            </w:rPr>
            <w:fldChar w:fldCharType="separate"/>
          </w:r>
          <w:r>
            <w:rPr>
              <w:rFonts w:hint="default"/>
            </w:rPr>
            <w:t xml:space="preserve">2.3. </w:t>
          </w:r>
          <w:r>
            <w:t>演练实施过程</w:t>
          </w:r>
          <w:r>
            <w:tab/>
          </w:r>
          <w:r>
            <w:fldChar w:fldCharType="begin"/>
          </w:r>
          <w:r>
            <w:instrText xml:space="preserve"> PAGEREF _Toc22024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FB7DE42">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_Toc31314 </w:instrText>
          </w:r>
          <w:r>
            <w:rPr>
              <w:rFonts w:hint="eastAsia" w:ascii="Microsoft JhengHei" w:hAnsi="Microsoft JhengHei" w:eastAsia="Microsoft JhengHei" w:cs="Microsoft JhengHei"/>
              <w:szCs w:val="24"/>
            </w:rPr>
            <w:fldChar w:fldCharType="separate"/>
          </w:r>
          <w:r>
            <w:rPr>
              <w:rFonts w:hint="default"/>
            </w:rPr>
            <w:t xml:space="preserve">3. </w:t>
          </w:r>
          <w:r>
            <w:t>演练评估</w:t>
          </w:r>
          <w:r>
            <w:tab/>
          </w:r>
          <w:r>
            <w:fldChar w:fldCharType="begin"/>
          </w:r>
          <w:r>
            <w:instrText xml:space="preserve"> PAGEREF _Toc31314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2125D85A">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_Toc10470 </w:instrText>
          </w:r>
          <w:r>
            <w:rPr>
              <w:rFonts w:hint="eastAsia" w:ascii="Microsoft JhengHei" w:hAnsi="Microsoft JhengHei" w:eastAsia="Microsoft JhengHei" w:cs="Microsoft JhengHei"/>
              <w:szCs w:val="24"/>
            </w:rPr>
            <w:fldChar w:fldCharType="separate"/>
          </w:r>
          <w:r>
            <w:rPr>
              <w:rFonts w:hint="default"/>
            </w:rPr>
            <w:t xml:space="preserve">3.1. </w:t>
          </w:r>
          <w:r>
            <w:t>评估标准与方法</w:t>
          </w:r>
          <w:r>
            <w:tab/>
          </w:r>
          <w:r>
            <w:fldChar w:fldCharType="begin"/>
          </w:r>
          <w:r>
            <w:instrText xml:space="preserve"> PAGEREF _Toc10470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40BEB83">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_Toc15550 </w:instrText>
          </w:r>
          <w:r>
            <w:rPr>
              <w:rFonts w:hint="eastAsia" w:ascii="Microsoft JhengHei" w:hAnsi="Microsoft JhengHei" w:eastAsia="Microsoft JhengHei" w:cs="Microsoft JhengHei"/>
              <w:szCs w:val="24"/>
            </w:rPr>
            <w:fldChar w:fldCharType="separate"/>
          </w:r>
          <w:r>
            <w:rPr>
              <w:rFonts w:hint="default"/>
            </w:rPr>
            <w:t xml:space="preserve">3.2. </w:t>
          </w:r>
          <w:r>
            <w:t>响应时效评估</w:t>
          </w:r>
          <w:r>
            <w:tab/>
          </w:r>
          <w:r>
            <w:fldChar w:fldCharType="begin"/>
          </w:r>
          <w:r>
            <w:instrText xml:space="preserve"> PAGEREF _Toc15550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3F38305">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_Toc3241 </w:instrText>
          </w:r>
          <w:r>
            <w:rPr>
              <w:rFonts w:hint="eastAsia" w:ascii="Microsoft JhengHei" w:hAnsi="Microsoft JhengHei" w:eastAsia="Microsoft JhengHei" w:cs="Microsoft JhengHei"/>
              <w:szCs w:val="24"/>
            </w:rPr>
            <w:fldChar w:fldCharType="separate"/>
          </w:r>
          <w:r>
            <w:rPr>
              <w:rFonts w:hint="default"/>
            </w:rPr>
            <w:t xml:space="preserve">3.3. </w:t>
          </w:r>
          <w:r>
            <w:t>操作规范性评估</w:t>
          </w:r>
          <w:r>
            <w:tab/>
          </w:r>
          <w:r>
            <w:fldChar w:fldCharType="begin"/>
          </w:r>
          <w:r>
            <w:instrText xml:space="preserve"> PAGEREF _Toc3241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C56B977">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_Toc31748 </w:instrText>
          </w:r>
          <w:r>
            <w:rPr>
              <w:rFonts w:hint="eastAsia" w:ascii="Microsoft JhengHei" w:hAnsi="Microsoft JhengHei" w:eastAsia="Microsoft JhengHei" w:cs="Microsoft JhengHei"/>
              <w:szCs w:val="24"/>
            </w:rPr>
            <w:fldChar w:fldCharType="separate"/>
          </w:r>
          <w:r>
            <w:rPr>
              <w:rFonts w:hint="default"/>
            </w:rPr>
            <w:t xml:space="preserve">3.4. </w:t>
          </w:r>
          <w:r>
            <w:t>恢复效果评估</w:t>
          </w:r>
          <w:r>
            <w:tab/>
          </w:r>
          <w:r>
            <w:fldChar w:fldCharType="begin"/>
          </w:r>
          <w:r>
            <w:instrText xml:space="preserve"> PAGEREF _Toc31748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49F5C54B">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_Toc19538 </w:instrText>
          </w:r>
          <w:r>
            <w:rPr>
              <w:rFonts w:hint="eastAsia" w:ascii="Microsoft JhengHei" w:hAnsi="Microsoft JhengHei" w:eastAsia="Microsoft JhengHei" w:cs="Microsoft JhengHei"/>
              <w:szCs w:val="24"/>
            </w:rPr>
            <w:fldChar w:fldCharType="separate"/>
          </w:r>
          <w:r>
            <w:rPr>
              <w:rFonts w:hint="default"/>
            </w:rPr>
            <w:t xml:space="preserve">4. </w:t>
          </w:r>
          <w:r>
            <w:t>应急预案验证</w:t>
          </w:r>
          <w:r>
            <w:tab/>
          </w:r>
          <w:r>
            <w:fldChar w:fldCharType="begin"/>
          </w:r>
          <w:r>
            <w:instrText xml:space="preserve"> PAGEREF _Toc19538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4A547B51">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_Toc3387 </w:instrText>
          </w:r>
          <w:r>
            <w:rPr>
              <w:rFonts w:hint="eastAsia" w:ascii="Microsoft JhengHei" w:hAnsi="Microsoft JhengHei" w:eastAsia="Microsoft JhengHei" w:cs="Microsoft JhengHei"/>
              <w:szCs w:val="24"/>
            </w:rPr>
            <w:fldChar w:fldCharType="separate"/>
          </w:r>
          <w:r>
            <w:rPr>
              <w:rFonts w:hint="default"/>
            </w:rPr>
            <w:t xml:space="preserve">4.1. </w:t>
          </w:r>
          <w:r>
            <w:t>应急预案条款验证</w:t>
          </w:r>
          <w:r>
            <w:tab/>
          </w:r>
          <w:r>
            <w:fldChar w:fldCharType="begin"/>
          </w:r>
          <w:r>
            <w:instrText xml:space="preserve"> PAGEREF _Toc3387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785855CB">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_Toc20018 </w:instrText>
          </w:r>
          <w:r>
            <w:rPr>
              <w:rFonts w:hint="eastAsia" w:ascii="Microsoft JhengHei" w:hAnsi="Microsoft JhengHei" w:eastAsia="Microsoft JhengHei" w:cs="Microsoft JhengHei"/>
              <w:szCs w:val="24"/>
            </w:rPr>
            <w:fldChar w:fldCharType="separate"/>
          </w:r>
          <w:r>
            <w:rPr>
              <w:rFonts w:hint="default"/>
            </w:rPr>
            <w:t xml:space="preserve">4.2. </w:t>
          </w:r>
          <w:r>
            <w:t>应急预案整体评价</w:t>
          </w:r>
          <w:r>
            <w:tab/>
          </w:r>
          <w:r>
            <w:fldChar w:fldCharType="begin"/>
          </w:r>
          <w:r>
            <w:instrText xml:space="preserve"> PAGEREF _Toc20018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2080913A">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_Toc29863 </w:instrText>
          </w:r>
          <w:r>
            <w:rPr>
              <w:rFonts w:hint="eastAsia" w:ascii="Microsoft JhengHei" w:hAnsi="Microsoft JhengHei" w:eastAsia="Microsoft JhengHei" w:cs="Microsoft JhengHei"/>
              <w:szCs w:val="24"/>
            </w:rPr>
            <w:fldChar w:fldCharType="separate"/>
          </w:r>
          <w:r>
            <w:rPr>
              <w:rFonts w:hint="default"/>
            </w:rPr>
            <w:t xml:space="preserve">5. </w:t>
          </w:r>
          <w:r>
            <w:t>存在的问题与改进措施</w:t>
          </w:r>
          <w:r>
            <w:tab/>
          </w:r>
          <w:r>
            <w:fldChar w:fldCharType="begin"/>
          </w:r>
          <w:r>
            <w:instrText xml:space="preserve"> PAGEREF _Toc29863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74BA34DC">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_Toc10222 </w:instrText>
          </w:r>
          <w:r>
            <w:rPr>
              <w:rFonts w:hint="eastAsia" w:ascii="Microsoft JhengHei" w:hAnsi="Microsoft JhengHei" w:eastAsia="Microsoft JhengHei" w:cs="Microsoft JhengHei"/>
              <w:szCs w:val="24"/>
            </w:rPr>
            <w:fldChar w:fldCharType="separate"/>
          </w:r>
          <w:r>
            <w:rPr>
              <w:rFonts w:hint="default"/>
            </w:rPr>
            <w:t xml:space="preserve">5.1. </w:t>
          </w:r>
          <w:r>
            <w:t>主要问题</w:t>
          </w:r>
          <w:r>
            <w:tab/>
          </w:r>
          <w:r>
            <w:fldChar w:fldCharType="begin"/>
          </w:r>
          <w:r>
            <w:instrText xml:space="preserve"> PAGEREF _Toc10222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102ADF70">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_Toc12824 </w:instrText>
          </w:r>
          <w:r>
            <w:rPr>
              <w:rFonts w:hint="eastAsia" w:ascii="Microsoft JhengHei" w:hAnsi="Microsoft JhengHei" w:eastAsia="Microsoft JhengHei" w:cs="Microsoft JhengHei"/>
              <w:szCs w:val="24"/>
            </w:rPr>
            <w:fldChar w:fldCharType="separate"/>
          </w:r>
          <w:r>
            <w:rPr>
              <w:rFonts w:hint="default"/>
            </w:rPr>
            <w:t xml:space="preserve">5.2. </w:t>
          </w:r>
          <w:r>
            <w:t>改进措施</w:t>
          </w:r>
          <w:r>
            <w:tab/>
          </w:r>
          <w:r>
            <w:fldChar w:fldCharType="begin"/>
          </w:r>
          <w:r>
            <w:instrText xml:space="preserve"> PAGEREF _Toc12824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A7094A4">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_Toc8138 </w:instrText>
          </w:r>
          <w:r>
            <w:rPr>
              <w:rFonts w:hint="eastAsia" w:ascii="Microsoft JhengHei" w:hAnsi="Microsoft JhengHei" w:eastAsia="Microsoft JhengHei" w:cs="Microsoft JhengHei"/>
              <w:szCs w:val="24"/>
            </w:rPr>
            <w:fldChar w:fldCharType="separate"/>
          </w:r>
          <w:r>
            <w:rPr>
              <w:rFonts w:hint="default"/>
            </w:rPr>
            <w:t xml:space="preserve">6. </w:t>
          </w:r>
          <w:r>
            <w:t>应急预案改进计划</w:t>
          </w:r>
          <w:r>
            <w:tab/>
          </w:r>
          <w:r>
            <w:fldChar w:fldCharType="begin"/>
          </w:r>
          <w:r>
            <w:instrText xml:space="preserve"> PAGEREF _Toc8138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4F3FFC4C">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_Toc2454 </w:instrText>
          </w:r>
          <w:r>
            <w:rPr>
              <w:rFonts w:hint="eastAsia" w:ascii="Microsoft JhengHei" w:hAnsi="Microsoft JhengHei" w:eastAsia="Microsoft JhengHei" w:cs="Microsoft JhengHei"/>
              <w:szCs w:val="24"/>
            </w:rPr>
            <w:fldChar w:fldCharType="separate"/>
          </w:r>
          <w:r>
            <w:rPr>
              <w:rFonts w:hint="default"/>
            </w:rPr>
            <w:t xml:space="preserve">6.1. </w:t>
          </w:r>
          <w:r>
            <w:t>预案修订建议</w:t>
          </w:r>
          <w:r>
            <w:tab/>
          </w:r>
          <w:r>
            <w:fldChar w:fldCharType="begin"/>
          </w:r>
          <w:r>
            <w:instrText xml:space="preserve"> PAGEREF _Toc2454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02B1385">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_Toc27961 </w:instrText>
          </w:r>
          <w:r>
            <w:rPr>
              <w:rFonts w:hint="eastAsia" w:ascii="Microsoft JhengHei" w:hAnsi="Microsoft JhengHei" w:eastAsia="Microsoft JhengHei" w:cs="Microsoft JhengHei"/>
              <w:szCs w:val="24"/>
            </w:rPr>
            <w:fldChar w:fldCharType="separate"/>
          </w:r>
          <w:r>
            <w:rPr>
              <w:rFonts w:hint="default"/>
            </w:rPr>
            <w:t xml:space="preserve">6.2. </w:t>
          </w:r>
          <w:r>
            <w:t>预案修订安排</w:t>
          </w:r>
          <w:r>
            <w:tab/>
          </w:r>
          <w:r>
            <w:fldChar w:fldCharType="begin"/>
          </w:r>
          <w:r>
            <w:instrText xml:space="preserve"> PAGEREF _Toc27961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B63C816">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_Toc29224 </w:instrText>
          </w:r>
          <w:r>
            <w:rPr>
              <w:rFonts w:hint="eastAsia" w:ascii="Microsoft JhengHei" w:hAnsi="Microsoft JhengHei" w:eastAsia="Microsoft JhengHei" w:cs="Microsoft JhengHei"/>
              <w:szCs w:val="24"/>
            </w:rPr>
            <w:fldChar w:fldCharType="separate"/>
          </w:r>
          <w:r>
            <w:rPr>
              <w:rFonts w:hint="default"/>
            </w:rPr>
            <w:t xml:space="preserve">7. </w:t>
          </w:r>
          <w:r>
            <w:t>总结</w:t>
          </w:r>
          <w:r>
            <w:tab/>
          </w:r>
          <w:r>
            <w:fldChar w:fldCharType="begin"/>
          </w:r>
          <w:r>
            <w:instrText xml:space="preserve"> PAGEREF _Toc29224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6F504B23">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_Toc23300 </w:instrText>
          </w:r>
          <w:r>
            <w:rPr>
              <w:rFonts w:hint="eastAsia" w:ascii="Microsoft JhengHei" w:hAnsi="Microsoft JhengHei" w:eastAsia="Microsoft JhengHei" w:cs="Microsoft JhengHei"/>
              <w:szCs w:val="24"/>
            </w:rPr>
            <w:fldChar w:fldCharType="separate"/>
          </w:r>
          <w:r>
            <w:rPr>
              <w:rFonts w:hint="default"/>
            </w:rPr>
            <w:t xml:space="preserve">7.1. </w:t>
          </w:r>
          <w:r>
            <w:t>演练总体评价</w:t>
          </w:r>
          <w:r>
            <w:tab/>
          </w:r>
          <w:r>
            <w:fldChar w:fldCharType="begin"/>
          </w:r>
          <w:r>
            <w:instrText xml:space="preserve"> PAGEREF _Toc23300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668A3835">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_Toc25577 </w:instrText>
          </w:r>
          <w:r>
            <w:rPr>
              <w:rFonts w:hint="eastAsia" w:ascii="Microsoft JhengHei" w:hAnsi="Microsoft JhengHei" w:eastAsia="Microsoft JhengHei" w:cs="Microsoft JhengHei"/>
              <w:szCs w:val="24"/>
            </w:rPr>
            <w:fldChar w:fldCharType="separate"/>
          </w:r>
          <w:r>
            <w:rPr>
              <w:rFonts w:hint="default"/>
            </w:rPr>
            <w:t xml:space="preserve">7.2. </w:t>
          </w:r>
          <w:r>
            <w:t>主要经验</w:t>
          </w:r>
          <w:r>
            <w:tab/>
          </w:r>
          <w:r>
            <w:fldChar w:fldCharType="begin"/>
          </w:r>
          <w:r>
            <w:instrText xml:space="preserve"> PAGEREF _Toc25577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684E3CCD">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_Toc16256 </w:instrText>
          </w:r>
          <w:r>
            <w:rPr>
              <w:rFonts w:hint="eastAsia" w:ascii="Microsoft JhengHei" w:hAnsi="Microsoft JhengHei" w:eastAsia="Microsoft JhengHei" w:cs="Microsoft JhengHei"/>
              <w:szCs w:val="24"/>
            </w:rPr>
            <w:fldChar w:fldCharType="separate"/>
          </w:r>
          <w:r>
            <w:rPr>
              <w:rFonts w:hint="default"/>
            </w:rPr>
            <w:t xml:space="preserve">7.3. </w:t>
          </w:r>
          <w:r>
            <w:t>后续工作</w:t>
          </w:r>
          <w:r>
            <w:tab/>
          </w:r>
          <w:r>
            <w:fldChar w:fldCharType="begin"/>
          </w:r>
          <w:r>
            <w:instrText xml:space="preserve"> PAGEREF _Toc16256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1B0920A5">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_Toc18389 </w:instrText>
          </w:r>
          <w:r>
            <w:rPr>
              <w:rFonts w:hint="eastAsia" w:ascii="Microsoft JhengHei" w:hAnsi="Microsoft JhengHei" w:eastAsia="Microsoft JhengHei" w:cs="Microsoft JhengHei"/>
              <w:szCs w:val="24"/>
            </w:rPr>
            <w:fldChar w:fldCharType="separate"/>
          </w:r>
          <w:r>
            <w:rPr>
              <w:rFonts w:hint="default"/>
            </w:rPr>
            <w:t xml:space="preserve">8. </w:t>
          </w:r>
          <w:r>
            <w:t>附件</w:t>
          </w:r>
          <w:r>
            <w:tab/>
          </w:r>
          <w:r>
            <w:fldChar w:fldCharType="begin"/>
          </w:r>
          <w:r>
            <w:instrText xml:space="preserve"> PAGEREF _Toc18389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5A0908F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0D2344B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43D4176D">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65D09A5F">
      <w:pPr>
        <w:pStyle w:val="12"/>
        <w:keepNext w:val="0"/>
        <w:keepLines w:val="0"/>
        <w:pageBreakBefore w:val="0"/>
        <w:widowControl w:val="0"/>
        <w:kinsoku w:val="0"/>
        <w:wordWrap/>
        <w:overflowPunct/>
        <w:topLinePunct w:val="0"/>
        <w:autoSpaceDE w:val="0"/>
        <w:autoSpaceDN w:val="0"/>
        <w:bidi w:val="0"/>
        <w:adjustRightInd w:val="0"/>
        <w:snapToGrid w:val="0"/>
        <w:spacing w:line="264" w:lineRule="auto"/>
        <w:textAlignment w:val="baseline"/>
      </w:pPr>
    </w:p>
    <w:p w14:paraId="5724489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黑体" w:hAnsi="黑体" w:eastAsia="黑体" w:cs="黑体"/>
          <w:spacing w:val="-8"/>
          <w:sz w:val="30"/>
          <w:szCs w:val="30"/>
        </w:rPr>
      </w:pPr>
      <w:r>
        <w:rPr>
          <w:rFonts w:ascii="黑体" w:hAnsi="黑体" w:eastAsia="黑体" w:cs="黑体"/>
          <w:spacing w:val="-8"/>
          <w:sz w:val="30"/>
          <w:szCs w:val="30"/>
        </w:rPr>
        <w:br w:type="page"/>
      </w:r>
    </w:p>
    <w:p w14:paraId="78F5D62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0"/>
      <w:bookmarkStart w:id="5" w:name="_Toc25255"/>
      <w:r>
        <w:t>报告概述</w:t>
      </w:r>
      <w:bookmarkEnd w:id="4"/>
      <w:bookmarkEnd w:id="5"/>
    </w:p>
    <w:p w14:paraId="0C2D2D6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1"/>
      <w:bookmarkStart w:id="7" w:name="_Toc182"/>
      <w:r>
        <w:t>报告目的</w:t>
      </w:r>
      <w:bookmarkEnd w:id="6"/>
      <w:bookmarkEnd w:id="7"/>
    </w:p>
    <w:p w14:paraId="6AD2444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本报告是对淮安生态文化旅游区财政局机房硬件维保项目应急演练工作的总结，旨在回顾演练实施情况，评估应急响应能力，分析存在的问题，提出改进措施，持续完善应急预案和应急响应机制。</w:t>
      </w:r>
    </w:p>
    <w:p w14:paraId="5A01382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2"/>
      <w:bookmarkStart w:id="9" w:name="_Toc5731"/>
      <w:r>
        <w:t>报告依据</w:t>
      </w:r>
      <w:bookmarkEnd w:id="8"/>
      <w:bookmarkEnd w:id="9"/>
    </w:p>
    <w:p w14:paraId="72A4812B">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《运维服务合同书》</w:t>
      </w:r>
    </w:p>
    <w:p w14:paraId="2ACCBD19">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《淮安生态新城信息系统运维服务项目应急预案》</w:t>
      </w:r>
    </w:p>
    <w:p w14:paraId="47C94A25">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《淮安生态新城信息系统运维服务项目应急演练大纲》</w:t>
      </w:r>
    </w:p>
    <w:p w14:paraId="348F0E81">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《淮安生态新城信息系统运维服务项目应急演练计划》</w:t>
      </w:r>
    </w:p>
    <w:p w14:paraId="2FC8583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3"/>
      <w:bookmarkStart w:id="11" w:name="_Toc8703"/>
      <w:r>
        <w:t>演练概况</w:t>
      </w:r>
      <w:bookmarkEnd w:id="10"/>
      <w:bookmarkEnd w:id="11"/>
    </w:p>
    <w:p w14:paraId="73B4865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本次演练于2025年12月</w:t>
      </w:r>
      <w:r>
        <w:rPr>
          <w:rFonts w:hint="eastAsia"/>
          <w:lang w:val="en-US" w:eastAsia="zh-CN"/>
        </w:rPr>
        <w:t>15</w:t>
      </w:r>
      <w:r>
        <w:t>日在淮安生态文旅区财政局机房举行，采用模拟故障演练形式，模拟服务器硬盘故障场景，检验项目团队的应急响应能力和系统恢复能力。</w:t>
      </w:r>
    </w:p>
    <w:p w14:paraId="272C979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4"/>
      <w:bookmarkStart w:id="13" w:name="_Toc1198"/>
      <w:r>
        <w:t>演练组织与实施</w:t>
      </w:r>
      <w:bookmarkEnd w:id="12"/>
      <w:bookmarkEnd w:id="13"/>
    </w:p>
    <w:p w14:paraId="007F977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5"/>
      <w:bookmarkStart w:id="15" w:name="_Toc18887"/>
      <w:r>
        <w:t>演练组织</w:t>
      </w:r>
      <w:bookmarkEnd w:id="14"/>
      <w:bookmarkEnd w:id="15"/>
    </w:p>
    <w:p w14:paraId="39024EE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根据《应急预案》和《应急演练大纲》的规定，本次演练成立了演练领导小组、演练执行小组、演练评估小组，并邀请了甲方接口人作为观察员参与。</w:t>
      </w:r>
    </w:p>
    <w:p w14:paraId="0527C2D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领导小组由项目负责人王朋担任总指挥，负责演练的整体策划、指挥和协调。演练执行小组由运维工程师李伟、网络工程师张强、服务台徐丽组成，负责故障排查、诊断和恢复操作。演练评估小组由质量部经理郑云担任，负责全程观察和记录演练过程。甲方接口人作为观察员见证了演练全过程。</w:t>
      </w:r>
    </w:p>
    <w:p w14:paraId="12D8810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6"/>
      <w:bookmarkStart w:id="17" w:name="_Toc31229"/>
      <w:r>
        <w:t>演练场景</w:t>
      </w:r>
      <w:bookmarkEnd w:id="16"/>
      <w:bookmarkEnd w:id="17"/>
    </w:p>
    <w:p w14:paraId="6283183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本次演练选择服务器硬盘故障恢复演练场景。模拟用友财务服务器的一块硬盘出现故障告警，系统仍可运行但存在数据丢失风险。该设备承载财政财务系统，为核心业务系统，重要性为高。</w:t>
      </w:r>
    </w:p>
    <w:p w14:paraId="682BF98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前15日，项目负责人向甲方提交了演练申请，说明了演练时间、场景、内容和对业务的影响，经甲方书面同意后执行。演练前7日，完成了演练方案的细化编制，准备了备用硬盘、螺丝刀、防静电手环等物资，并对参与人员进行了演练交底。</w:t>
      </w:r>
    </w:p>
    <w:p w14:paraId="5878098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7"/>
      <w:bookmarkStart w:id="19" w:name="_Toc22024"/>
      <w:r>
        <w:t>演练实施过程</w:t>
      </w:r>
      <w:bookmarkEnd w:id="18"/>
      <w:bookmarkEnd w:id="19"/>
    </w:p>
    <w:p w14:paraId="34514A0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演练于2025年12月</w:t>
      </w:r>
      <w:r>
        <w:rPr>
          <w:rFonts w:hint="eastAsia"/>
          <w:lang w:val="en-US" w:eastAsia="zh-CN"/>
        </w:rPr>
        <w:t>15</w:t>
      </w:r>
      <w:r>
        <w:t>日上午正式开始。</w:t>
      </w:r>
    </w:p>
    <w:p w14:paraId="0DB6DE4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演练启动阶段，总指挥宣布演练开始，评估人员开始计时和观察。</w:t>
      </w:r>
    </w:p>
    <w:p w14:paraId="2E773AE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故障模拟与发现阶段，现场指挥触发服务器硬盘故障告警信号，监控系统检测到异常，自动触发告警通知服务台。告警触发及时，监控系统工作正常。</w:t>
      </w:r>
    </w:p>
    <w:p w14:paraId="2C83F4E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报告与受理阶段，服务台人员在</w:t>
      </w:r>
      <w:r>
        <w:rPr>
          <w:rFonts w:hint="eastAsia"/>
          <w:lang w:val="en-US" w:eastAsia="zh-CN"/>
        </w:rPr>
        <w:t>15</w:t>
      </w:r>
      <w:r>
        <w:t>分钟内确认接收，记录了事件信息（发现时间、故障现象、影响范围），生成事件记录单，并立即通知现场指挥。服务台响应时间符合≤15分钟的要求，事件记录完整。</w:t>
      </w:r>
    </w:p>
    <w:p w14:paraId="119D423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分析与派单阶段，现场指挥接到通知后，根据《应急预案》第3条分级标准，将事件判定为II级（较大事件），并派单给运维工程师。事件定级准确，派单及时。</w:t>
      </w:r>
    </w:p>
    <w:p w14:paraId="1E3C52E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到场排查阶段，运维工程师在接到派单后</w:t>
      </w:r>
      <w:r>
        <w:rPr>
          <w:rFonts w:hint="eastAsia"/>
          <w:lang w:val="en-US" w:eastAsia="zh-CN"/>
        </w:rPr>
        <w:t>2小时</w:t>
      </w:r>
      <w:r>
        <w:t>到达现场，到场后向服务台报备到达时间，开始排查诊断。通过检查硬盘状态灯、查看系统日志等方式，确认硬盘故障。到场时间符合≤4小时的要求，排查诊断准确。</w:t>
      </w:r>
    </w:p>
    <w:p w14:paraId="2E1B24E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备件调拨阶段，确认故障后，运维工程师联系备件库申请调拨备用硬盘。备件库在接到申请后启动紧急调拨流程，于</w:t>
      </w:r>
      <w:r>
        <w:rPr>
          <w:rFonts w:hint="eastAsia"/>
          <w:lang w:val="en-US" w:eastAsia="zh-CN"/>
        </w:rPr>
        <w:t>40</w:t>
      </w:r>
      <w:r>
        <w:t>分钟内将备用硬盘送至现场。备件调拨流程顺畅，备件可用。</w:t>
      </w:r>
    </w:p>
    <w:p w14:paraId="622A8FC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故障恢复阶段，备用硬盘到位后，运维工程师执行更换操作：断开服务器业务（提前通知甲方），更换故障硬盘，触发RAID重建，确认重建正常。更换完成后，将故障硬盘标记并回收。操作规范，恢复时间符合要求。</w:t>
      </w:r>
    </w:p>
    <w:p w14:paraId="0AA551A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业务验证阶段，故障恢复后，运维工程师进行了业务功能验证，确认系统正常运行、数据完整正确。验证通过后，甲方接口人确认恢复。</w:t>
      </w:r>
    </w:p>
    <w:p w14:paraId="0A8DBDC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演练结束阶段，甲方确认恢复后，总指挥宣布演练结束，评估人员汇总各环节时间节点和评估结果。</w:t>
      </w:r>
    </w:p>
    <w:p w14:paraId="0DEAE22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8"/>
      <w:bookmarkStart w:id="21" w:name="_Toc31314"/>
      <w:r>
        <w:t>演练评估</w:t>
      </w:r>
      <w:bookmarkEnd w:id="20"/>
      <w:bookmarkEnd w:id="21"/>
    </w:p>
    <w:p w14:paraId="66D04FE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9"/>
      <w:bookmarkStart w:id="23" w:name="_Toc10470"/>
      <w:r>
        <w:t>评估标准与方法</w:t>
      </w:r>
      <w:bookmarkEnd w:id="22"/>
      <w:bookmarkEnd w:id="23"/>
    </w:p>
    <w:p w14:paraId="3D71632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根据《应急演练大纲》第7条的规定，本次演练从响应时效、操作规范性、恢复效果三个方面进行评估。评估小组全程观察演练过程，记录每个环节的时间节点，填写《应急演练评估表》。</w:t>
      </w:r>
    </w:p>
    <w:p w14:paraId="4A30B8D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0"/>
      <w:bookmarkStart w:id="25" w:name="_Toc15550"/>
      <w:r>
        <w:t>响应时效评估</w:t>
      </w:r>
      <w:bookmarkEnd w:id="24"/>
      <w:bookmarkEnd w:id="25"/>
    </w:p>
    <w:tbl>
      <w:tblPr>
        <w:tblStyle w:val="20"/>
        <w:tblW w:w="859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262"/>
        <w:gridCol w:w="1521"/>
        <w:gridCol w:w="2176"/>
        <w:gridCol w:w="1632"/>
      </w:tblGrid>
      <w:tr w14:paraId="7C91BE2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26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DF56C1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评估项目</w:t>
            </w:r>
          </w:p>
        </w:tc>
        <w:tc>
          <w:tcPr>
            <w:tcW w:w="152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3C6185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目标值</w:t>
            </w:r>
          </w:p>
        </w:tc>
        <w:tc>
          <w:tcPr>
            <w:tcW w:w="217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AA1195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实际值</w:t>
            </w:r>
          </w:p>
        </w:tc>
        <w:tc>
          <w:tcPr>
            <w:tcW w:w="163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327832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是否达标</w:t>
            </w:r>
          </w:p>
        </w:tc>
      </w:tr>
      <w:tr w14:paraId="35EDEEE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26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C24130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服务台确认接收时间</w:t>
            </w:r>
          </w:p>
        </w:tc>
        <w:tc>
          <w:tcPr>
            <w:tcW w:w="15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21957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≤15分钟</w:t>
            </w:r>
          </w:p>
        </w:tc>
        <w:tc>
          <w:tcPr>
            <w:tcW w:w="217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A9E43E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12</w:t>
            </w:r>
            <w:r>
              <w:t>分钟</w:t>
            </w:r>
          </w:p>
        </w:tc>
        <w:tc>
          <w:tcPr>
            <w:tcW w:w="163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B877CE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eastAsia="宋体"/>
                <w:lang w:val="en-US" w:eastAsia="zh-CN"/>
              </w:rPr>
            </w:pPr>
            <w:r>
              <w:rPr>
                <w:rFonts w:hint="eastAsia"/>
                <w:lang w:val="en-US" w:eastAsia="zh-CN"/>
              </w:rPr>
              <w:t>完成</w:t>
            </w:r>
          </w:p>
        </w:tc>
      </w:tr>
      <w:tr w14:paraId="3FA0B32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26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4FF05D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工程师到场时间</w:t>
            </w:r>
          </w:p>
        </w:tc>
        <w:tc>
          <w:tcPr>
            <w:tcW w:w="15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51377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≤4小时</w:t>
            </w:r>
          </w:p>
        </w:tc>
        <w:tc>
          <w:tcPr>
            <w:tcW w:w="217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557D4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2</w:t>
            </w:r>
            <w:r>
              <w:t>小时</w:t>
            </w:r>
          </w:p>
        </w:tc>
        <w:tc>
          <w:tcPr>
            <w:tcW w:w="163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721D0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rPr>
                <w:rFonts w:hint="eastAsia"/>
                <w:lang w:val="en-US" w:eastAsia="zh-CN"/>
              </w:rPr>
              <w:t>完成</w:t>
            </w:r>
          </w:p>
        </w:tc>
      </w:tr>
      <w:tr w14:paraId="3AF9F04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26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BC0C34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业务恢复时间</w:t>
            </w:r>
          </w:p>
        </w:tc>
        <w:tc>
          <w:tcPr>
            <w:tcW w:w="152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06DF02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≤8小时</w:t>
            </w:r>
          </w:p>
        </w:tc>
        <w:tc>
          <w:tcPr>
            <w:tcW w:w="217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351BE3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3</w:t>
            </w:r>
            <w:r>
              <w:t>小时</w:t>
            </w:r>
            <w:r>
              <w:rPr>
                <w:rFonts w:hint="eastAsia"/>
                <w:lang w:val="en-US" w:eastAsia="zh-CN"/>
              </w:rPr>
              <w:t>20</w:t>
            </w:r>
            <w:r>
              <w:t>分钟</w:t>
            </w:r>
          </w:p>
        </w:tc>
        <w:tc>
          <w:tcPr>
            <w:tcW w:w="163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6854D2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rPr>
                <w:rFonts w:hint="eastAsia"/>
                <w:lang w:val="en-US" w:eastAsia="zh-CN"/>
              </w:rPr>
              <w:t>完成</w:t>
            </w:r>
          </w:p>
        </w:tc>
      </w:tr>
    </w:tbl>
    <w:p w14:paraId="3E580BA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1"/>
      <w:bookmarkStart w:id="27" w:name="_Toc3241"/>
      <w:r>
        <w:t>操作规范性评估</w:t>
      </w:r>
      <w:bookmarkEnd w:id="26"/>
      <w:bookmarkEnd w:id="27"/>
    </w:p>
    <w:tbl>
      <w:tblPr>
        <w:tblStyle w:val="20"/>
        <w:tblW w:w="859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331"/>
        <w:gridCol w:w="2260"/>
      </w:tblGrid>
      <w:tr w14:paraId="571007F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33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29C01B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评估项目</w:t>
            </w:r>
          </w:p>
        </w:tc>
        <w:tc>
          <w:tcPr>
            <w:tcW w:w="226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D85DD0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评估结果</w:t>
            </w:r>
          </w:p>
        </w:tc>
      </w:tr>
      <w:tr w14:paraId="62DC31C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C927B7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是否按应急预案流程执行</w:t>
            </w:r>
          </w:p>
        </w:tc>
        <w:tc>
          <w:tcPr>
            <w:tcW w:w="226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95E12A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是</w:t>
            </w:r>
          </w:p>
        </w:tc>
      </w:tr>
      <w:tr w14:paraId="2ACCF95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830727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操作记录是否完整、准确</w:t>
            </w:r>
          </w:p>
        </w:tc>
        <w:tc>
          <w:tcPr>
            <w:tcW w:w="226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98BE29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是</w:t>
            </w:r>
          </w:p>
        </w:tc>
      </w:tr>
      <w:tr w14:paraId="6397441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B1C847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与甲方的沟通是否及时、规范</w:t>
            </w:r>
          </w:p>
        </w:tc>
        <w:tc>
          <w:tcPr>
            <w:tcW w:w="226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B85063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是</w:t>
            </w:r>
          </w:p>
        </w:tc>
      </w:tr>
      <w:tr w14:paraId="44AAFFE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3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AEF273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操作前是否确认业务影响</w:t>
            </w:r>
          </w:p>
        </w:tc>
        <w:tc>
          <w:tcPr>
            <w:tcW w:w="226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543EDD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是</w:t>
            </w:r>
          </w:p>
        </w:tc>
      </w:tr>
    </w:tbl>
    <w:p w14:paraId="69BECE8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2"/>
      <w:bookmarkStart w:id="29" w:name="_Toc31748"/>
      <w:r>
        <w:t>恢复效果评估</w:t>
      </w:r>
      <w:bookmarkEnd w:id="28"/>
      <w:bookmarkEnd w:id="29"/>
    </w:p>
    <w:tbl>
      <w:tblPr>
        <w:tblStyle w:val="20"/>
        <w:tblW w:w="859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5907"/>
        <w:gridCol w:w="2684"/>
      </w:tblGrid>
      <w:tr w14:paraId="320DFD7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590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328F57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评估项目</w:t>
            </w:r>
          </w:p>
        </w:tc>
        <w:tc>
          <w:tcPr>
            <w:tcW w:w="268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9A5C64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评估结果</w:t>
            </w:r>
          </w:p>
        </w:tc>
      </w:tr>
      <w:tr w14:paraId="6E0A415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D011AA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业务功能是否完全恢复</w:t>
            </w:r>
          </w:p>
        </w:tc>
        <w:tc>
          <w:tcPr>
            <w:tcW w:w="26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FC9ACF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是</w:t>
            </w:r>
          </w:p>
        </w:tc>
      </w:tr>
      <w:tr w14:paraId="350E1A7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709486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数据是否完整、一致</w:t>
            </w:r>
          </w:p>
        </w:tc>
        <w:tc>
          <w:tcPr>
            <w:tcW w:w="26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570F5E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是</w:t>
            </w:r>
          </w:p>
        </w:tc>
      </w:tr>
      <w:tr w14:paraId="5D5F07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FD6D23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甲方是否确认恢复成功</w:t>
            </w:r>
          </w:p>
        </w:tc>
        <w:tc>
          <w:tcPr>
            <w:tcW w:w="268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77B1A5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是</w:t>
            </w:r>
          </w:p>
        </w:tc>
      </w:tr>
    </w:tbl>
    <w:p w14:paraId="6890357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3"/>
      <w:bookmarkStart w:id="31" w:name="_Toc19538"/>
      <w:r>
        <w:t>应急预案验证</w:t>
      </w:r>
      <w:bookmarkEnd w:id="30"/>
      <w:bookmarkEnd w:id="31"/>
    </w:p>
    <w:p w14:paraId="56DCA92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4"/>
      <w:bookmarkStart w:id="33" w:name="_Toc3387"/>
      <w:r>
        <w:t>应急预案条款验证</w:t>
      </w:r>
      <w:bookmarkEnd w:id="32"/>
      <w:bookmarkEnd w:id="33"/>
    </w:p>
    <w:p w14:paraId="34D578C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根据《应急预案》第9条“应急预案对照”的要求，本次演练对应急预案的各关键条款进行了验证：</w:t>
      </w:r>
    </w:p>
    <w:p w14:paraId="6547D70A">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r>
        <w:rPr>
          <w:rStyle w:val="44"/>
        </w:rPr>
        <w:t>演练中各角色职责清晰，分工明确，应急组织架构运转正常。验证通过。</w:t>
      </w:r>
    </w:p>
    <w:p w14:paraId="4FE1B965">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r>
        <w:rPr>
          <w:rStyle w:val="44"/>
        </w:rPr>
        <w:t>现场指挥对事件等级的判定准确（II级），分级标准适用。验证通过。</w:t>
      </w:r>
    </w:p>
    <w:p w14:paraId="265FF69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r>
        <w:rPr>
          <w:rStyle w:val="44"/>
        </w:rPr>
        <w:t>服务台在15分钟内确认接收，事件记录完整，符合预案要求。验证通过。</w:t>
      </w:r>
    </w:p>
    <w:p w14:paraId="32F6EACC">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r>
        <w:rPr>
          <w:rStyle w:val="44"/>
        </w:rPr>
        <w:t>II级事件处置流程执行到位，到场时间、排查诊断、恢复操作均符合预案要求。验证通过。</w:t>
      </w:r>
    </w:p>
    <w:p w14:paraId="33837B4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r>
        <w:rPr>
          <w:rStyle w:val="44"/>
        </w:rPr>
        <w:t>业务验证完整，甲方确认恢复，符合预案要求。验证通过。</w:t>
      </w:r>
    </w:p>
    <w:p w14:paraId="20C35EC7">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r>
        <w:rPr>
          <w:rStyle w:val="44"/>
        </w:rPr>
        <w:t>备件调拨流程顺畅，备用硬盘在要求时间内到位。验证通过。</w:t>
      </w:r>
    </w:p>
    <w:p w14:paraId="7127C19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r>
        <w:rPr>
          <w:rStyle w:val="44"/>
        </w:rPr>
        <w:t>演练期间通讯渠道畅通，信息传递及时。验证通过。</w:t>
      </w:r>
    </w:p>
    <w:p w14:paraId="4AFCA7B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5"/>
      <w:bookmarkStart w:id="35" w:name="_Toc20018"/>
      <w:r>
        <w:t>应急预案整体评价</w:t>
      </w:r>
      <w:bookmarkEnd w:id="34"/>
      <w:bookmarkEnd w:id="35"/>
    </w:p>
    <w:p w14:paraId="5074A3B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次演练验证了《应急预案》的完整性和可操作性。应急预案中各条款与实际操作基本一致，应急组织架构合理，事件分级标准适用，响应流程清晰，保障措施有效。应急预案能够指导项目团队在突发事件下开展应急响应和处置工作。</w:t>
      </w:r>
    </w:p>
    <w:p w14:paraId="2CC05A3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16"/>
      <w:bookmarkStart w:id="37" w:name="_Toc29863"/>
      <w:r>
        <w:t>存在的问题与改进措施</w:t>
      </w:r>
      <w:bookmarkEnd w:id="36"/>
      <w:bookmarkEnd w:id="37"/>
    </w:p>
    <w:p w14:paraId="214F27C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7"/>
      <w:bookmarkStart w:id="39" w:name="_Toc10222"/>
      <w:r>
        <w:t>主要问题</w:t>
      </w:r>
      <w:bookmarkEnd w:id="38"/>
      <w:bookmarkEnd w:id="39"/>
    </w:p>
    <w:p w14:paraId="2E97588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本次演练中发现以下问题：</w:t>
      </w:r>
    </w:p>
    <w:p w14:paraId="5C7D1936">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问题一：服务台确认接收时间有波动</w:t>
      </w:r>
    </w:p>
    <w:p w14:paraId="37EDFB0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在演练中，服务台确认接收时间为</w:t>
      </w:r>
      <w:r>
        <w:rPr>
          <w:rFonts w:hint="eastAsia"/>
          <w:lang w:val="en-US" w:eastAsia="zh-CN"/>
        </w:rPr>
        <w:t>12</w:t>
      </w:r>
      <w:r>
        <w:t>分钟，虽然达标，但接近目标值上限。日常工作中可能存在响应不及时的风险。</w:t>
      </w:r>
    </w:p>
    <w:p w14:paraId="460C6072">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问题二：备件调拨沟通环节可优化</w:t>
      </w:r>
    </w:p>
    <w:p w14:paraId="054EB87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演练中备件调拨流程顺畅，但沟通环节涉及多人多次确认，存在信息传递效率提升空间。</w:t>
      </w:r>
    </w:p>
    <w:p w14:paraId="26474AA8">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问题三：演练记录表格需完善</w:t>
      </w:r>
    </w:p>
    <w:p w14:paraId="068FC4B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演练过程中使用的记录表格部分字段不够清晰，导致记录人员填写时存在疑问，影响了记录效率。</w:t>
      </w:r>
    </w:p>
    <w:p w14:paraId="2DC35B6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heading_18"/>
      <w:bookmarkStart w:id="41" w:name="_Toc12824"/>
      <w:r>
        <w:t>改进措施</w:t>
      </w:r>
      <w:bookmarkEnd w:id="40"/>
      <w:bookmarkEnd w:id="41"/>
    </w:p>
    <w:p w14:paraId="3595B12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针对上述问题，制定以下改进措施：</w:t>
      </w:r>
    </w:p>
    <w:tbl>
      <w:tblPr>
        <w:tblStyle w:val="20"/>
        <w:tblW w:w="859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05"/>
        <w:gridCol w:w="1896"/>
        <w:gridCol w:w="3858"/>
        <w:gridCol w:w="946"/>
        <w:gridCol w:w="1186"/>
      </w:tblGrid>
      <w:tr w14:paraId="41658F2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0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8A0DC4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40F81C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问题</w:t>
            </w:r>
          </w:p>
        </w:tc>
        <w:tc>
          <w:tcPr>
            <w:tcW w:w="385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9BFDB7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改进措施</w:t>
            </w:r>
          </w:p>
        </w:tc>
        <w:tc>
          <w:tcPr>
            <w:tcW w:w="94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8B2E52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18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6C799F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完成时限</w:t>
            </w:r>
          </w:p>
        </w:tc>
      </w:tr>
      <w:tr w14:paraId="631E6A3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92F068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3D5250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服务台确认接收时间有波动</w:t>
            </w:r>
          </w:p>
        </w:tc>
        <w:tc>
          <w:tcPr>
            <w:tcW w:w="385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79F3C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加强服务台人员培训，优化告警接收流程，建立告警分级提醒机制</w:t>
            </w:r>
          </w:p>
        </w:tc>
        <w:tc>
          <w:tcPr>
            <w:tcW w:w="94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32DFA1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徐丽</w:t>
            </w:r>
          </w:p>
        </w:tc>
        <w:tc>
          <w:tcPr>
            <w:tcW w:w="11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991D2B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2026年1月</w:t>
            </w:r>
          </w:p>
        </w:tc>
      </w:tr>
      <w:tr w14:paraId="14733C5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B91C67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F4AA12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备件调拨沟通环节可优化</w:t>
            </w:r>
          </w:p>
        </w:tc>
        <w:tc>
          <w:tcPr>
            <w:tcW w:w="385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A975C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简化备件调拨沟通流程，建立备件紧急调拨绿色通道</w:t>
            </w:r>
          </w:p>
        </w:tc>
        <w:tc>
          <w:tcPr>
            <w:tcW w:w="94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051DDB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李强</w:t>
            </w:r>
          </w:p>
        </w:tc>
        <w:tc>
          <w:tcPr>
            <w:tcW w:w="11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2ED490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2026年1月</w:t>
            </w:r>
          </w:p>
        </w:tc>
      </w:tr>
      <w:tr w14:paraId="5724FC6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E958E9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89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39A1CA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演练记录表格需完善</w:t>
            </w:r>
          </w:p>
        </w:tc>
        <w:tc>
          <w:tcPr>
            <w:tcW w:w="385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A4DA82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优化演练记录表格设计，增加填写说明，对记录人员进行专项培训</w:t>
            </w:r>
          </w:p>
        </w:tc>
        <w:tc>
          <w:tcPr>
            <w:tcW w:w="94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8E0F95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郑云</w:t>
            </w:r>
          </w:p>
        </w:tc>
        <w:tc>
          <w:tcPr>
            <w:tcW w:w="118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431484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w:t>
            </w:r>
          </w:p>
        </w:tc>
      </w:tr>
    </w:tbl>
    <w:p w14:paraId="1796905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19"/>
      <w:bookmarkStart w:id="43" w:name="_Toc8138"/>
      <w:r>
        <w:t>应急预案改进计划</w:t>
      </w:r>
      <w:bookmarkEnd w:id="42"/>
      <w:bookmarkEnd w:id="43"/>
    </w:p>
    <w:p w14:paraId="407574F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0"/>
      <w:bookmarkStart w:id="45" w:name="_Toc2454"/>
      <w:r>
        <w:t>预案修订建议</w:t>
      </w:r>
      <w:bookmarkEnd w:id="44"/>
      <w:bookmarkEnd w:id="45"/>
    </w:p>
    <w:p w14:paraId="68A852DA">
      <w:pPr>
        <w:pStyle w:val="29"/>
        <w:bidi w:val="0"/>
      </w:pPr>
      <w:r>
        <w:t>根据本次演练发现的问题，建议对《应急预案》进行以下修订：</w:t>
      </w:r>
    </w:p>
    <w:p w14:paraId="6868040F">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在第4.3条“报告与受理”中，增加服务台告警分级提醒的具体要求</w:t>
      </w:r>
    </w:p>
    <w:p w14:paraId="2D398A2A">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在第5.2条“备件保障”中，细化紧急调拨流程的沟通环节</w:t>
      </w:r>
    </w:p>
    <w:p w14:paraId="42125DD5">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在附件中更新演练记录表格模板</w:t>
      </w:r>
    </w:p>
    <w:p w14:paraId="077042E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6" w:name="heading_21"/>
      <w:bookmarkStart w:id="47" w:name="_Toc27961"/>
      <w:r>
        <w:t>预案修订安排</w:t>
      </w:r>
      <w:bookmarkEnd w:id="46"/>
      <w:bookmarkEnd w:id="47"/>
    </w:p>
    <w:p w14:paraId="6AA3163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预案修订由项目负责人王朋负责，于2026年1月完成修订，经质量部审核后报甲方备案。</w:t>
      </w:r>
    </w:p>
    <w:p w14:paraId="6288E7E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8" w:name="heading_22"/>
      <w:bookmarkStart w:id="49" w:name="_Toc29224"/>
      <w:r>
        <w:t>总结</w:t>
      </w:r>
      <w:bookmarkEnd w:id="48"/>
      <w:bookmarkEnd w:id="49"/>
    </w:p>
    <w:p w14:paraId="4B8E605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0" w:name="heading_23"/>
      <w:bookmarkStart w:id="51" w:name="_Toc23300"/>
      <w:r>
        <w:t>演练总体评价</w:t>
      </w:r>
      <w:bookmarkEnd w:id="50"/>
      <w:bookmarkEnd w:id="51"/>
    </w:p>
    <w:p w14:paraId="009A5DB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次应急演练严格按照《应急预案》《应急演练大纲》和《应急演练计划》的要求执行，各环节按计划顺利实施。演练组织有序，职责分工明确，响应时效符合要求，操作规范，恢复效果良好。应急预案的有效性和可操作性得到了验证。</w:t>
      </w:r>
    </w:p>
    <w:p w14:paraId="52B2ADB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2" w:name="heading_24"/>
      <w:bookmarkStart w:id="53" w:name="_Toc25577"/>
      <w:r>
        <w:t>主要经验</w:t>
      </w:r>
      <w:bookmarkEnd w:id="52"/>
      <w:bookmarkEnd w:id="53"/>
    </w:p>
    <w:p w14:paraId="4EA3CF17">
      <w:pPr>
        <w:pStyle w:val="42"/>
        <w:numPr>
          <w:ilvl w:val="0"/>
          <w:numId w:val="6"/>
        </w:numPr>
        <w:bidi w:val="0"/>
      </w:pPr>
      <w:r>
        <w:t>演练前充分准备是成功的关键，包括提前与甲方沟通、物资准备、人员交底等</w:t>
      </w:r>
    </w:p>
    <w:p w14:paraId="3C900035">
      <w:pPr>
        <w:pStyle w:val="42"/>
        <w:numPr>
          <w:ilvl w:val="0"/>
          <w:numId w:val="6"/>
        </w:numPr>
        <w:bidi w:val="0"/>
      </w:pPr>
      <w:r>
        <w:t>应急组织架构设计合理，各角色职责清晰，保障了演练的顺利执行</w:t>
      </w:r>
    </w:p>
    <w:p w14:paraId="4E58C248">
      <w:pPr>
        <w:pStyle w:val="42"/>
        <w:numPr>
          <w:ilvl w:val="0"/>
          <w:numId w:val="6"/>
        </w:numPr>
        <w:bidi w:val="0"/>
      </w:pPr>
      <w:r>
        <w:t>备件储备和调拨机制有效，为硬件故障恢复提供了保障</w:t>
      </w:r>
    </w:p>
    <w:p w14:paraId="454B8727">
      <w:pPr>
        <w:pStyle w:val="42"/>
        <w:numPr>
          <w:ilvl w:val="0"/>
          <w:numId w:val="6"/>
        </w:numPr>
        <w:bidi w:val="0"/>
      </w:pPr>
      <w:r>
        <w:t>监控系统和通讯渠道运行正常，为应急响应提供了技术支持</w:t>
      </w:r>
    </w:p>
    <w:p w14:paraId="01C90F8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heading_25"/>
      <w:bookmarkStart w:id="55" w:name="_Toc16256"/>
      <w:r>
        <w:t>后续工作</w:t>
      </w:r>
      <w:bookmarkEnd w:id="54"/>
      <w:bookmarkEnd w:id="55"/>
    </w:p>
    <w:p w14:paraId="75A44D7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演练结束后，项目组将按照改进措施逐项落实整改，于2026年1月完成应急预案修订。同时，将演练经验和教训纳入公司知识库，供其他项目参考。</w:t>
      </w:r>
    </w:p>
    <w:p w14:paraId="4230CBA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6" w:name="heading_26"/>
      <w:bookmarkStart w:id="57" w:name="_Toc18389"/>
      <w:r>
        <w:t>附件</w:t>
      </w:r>
      <w:bookmarkEnd w:id="56"/>
      <w:bookmarkEnd w:id="57"/>
    </w:p>
    <w:p w14:paraId="1B0AB8B7">
      <w:pPr>
        <w:pStyle w:val="4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附件一：《应急演练记录表》</w:t>
      </w:r>
    </w:p>
    <w:p w14:paraId="53AFA956">
      <w:pPr>
        <w:pStyle w:val="4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附件二：《应急演练评估表》</w:t>
      </w:r>
    </w:p>
    <w:p w14:paraId="11AC6267">
      <w:pPr>
        <w:pStyle w:val="4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附件三：《应急演练物资清单》</w:t>
      </w:r>
    </w:p>
    <w:p w14:paraId="650421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31" w:right="1746" w:bottom="1417"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114344D"/>
    <w:multiLevelType w:val="singleLevel"/>
    <w:tmpl w:val="9114344D"/>
    <w:lvl w:ilvl="0" w:tentative="0">
      <w:start w:val="1"/>
      <w:numFmt w:val="decimal"/>
      <w:lvlText w:val="%1."/>
      <w:lvlJc w:val="left"/>
      <w:pPr>
        <w:ind w:left="425" w:hanging="425"/>
      </w:pPr>
      <w:rPr>
        <w:rFonts w:hint="default"/>
      </w:rPr>
    </w:lvl>
  </w:abstractNum>
  <w:abstractNum w:abstractNumId="2">
    <w:nsid w:val="DC8650F8"/>
    <w:multiLevelType w:val="singleLevel"/>
    <w:tmpl w:val="DC8650F8"/>
    <w:lvl w:ilvl="0" w:tentative="0">
      <w:start w:val="1"/>
      <w:numFmt w:val="decimal"/>
      <w:lvlText w:val="%1."/>
      <w:lvlJc w:val="left"/>
      <w:pPr>
        <w:ind w:left="425" w:hanging="425"/>
      </w:pPr>
      <w:rPr>
        <w:rFonts w:hint="default"/>
      </w:rPr>
    </w:lvl>
  </w:abstractNum>
  <w:abstractNum w:abstractNumId="3">
    <w:nsid w:val="DDEDB56A"/>
    <w:multiLevelType w:val="singleLevel"/>
    <w:tmpl w:val="DDEDB56A"/>
    <w:lvl w:ilvl="0" w:tentative="0">
      <w:start w:val="1"/>
      <w:numFmt w:val="decimal"/>
      <w:lvlText w:val="%1."/>
      <w:lvlJc w:val="left"/>
      <w:pPr>
        <w:ind w:left="425" w:hanging="425"/>
      </w:pPr>
      <w:rPr>
        <w:rFonts w:hint="default"/>
      </w:rPr>
    </w:lvl>
  </w:abstractNum>
  <w:abstractNum w:abstractNumId="4">
    <w:nsid w:val="F76F92FA"/>
    <w:multiLevelType w:val="singleLevel"/>
    <w:tmpl w:val="F76F92FA"/>
    <w:lvl w:ilvl="0" w:tentative="0">
      <w:start w:val="1"/>
      <w:numFmt w:val="decimal"/>
      <w:lvlText w:val="%1."/>
      <w:lvlJc w:val="left"/>
      <w:pPr>
        <w:ind w:left="425" w:hanging="425"/>
      </w:pPr>
      <w:rPr>
        <w:rFonts w:hint="default"/>
      </w:rPr>
    </w:lvl>
  </w:abstractNum>
  <w:abstractNum w:abstractNumId="5">
    <w:nsid w:val="22690015"/>
    <w:multiLevelType w:val="singleLevel"/>
    <w:tmpl w:val="22690015"/>
    <w:lvl w:ilvl="0" w:tentative="0">
      <w:start w:val="1"/>
      <w:numFmt w:val="decimal"/>
      <w:lvlText w:val="%1."/>
      <w:lvlJc w:val="left"/>
      <w:pPr>
        <w:ind w:left="425" w:hanging="425"/>
      </w:pPr>
      <w:rPr>
        <w:rFonts w:hint="default"/>
      </w:rPr>
    </w:lvl>
  </w:abstractNum>
  <w:abstractNum w:abstractNumId="6">
    <w:nsid w:val="60652C8A"/>
    <w:multiLevelType w:val="singleLevel"/>
    <w:tmpl w:val="60652C8A"/>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4"/>
  </w:num>
  <w:num w:numId="4">
    <w:abstractNumId w:val="6"/>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027CD"/>
    <w:rsid w:val="0127542D"/>
    <w:rsid w:val="0F27645B"/>
    <w:rsid w:val="14221993"/>
    <w:rsid w:val="16526560"/>
    <w:rsid w:val="17A50911"/>
    <w:rsid w:val="1D512C40"/>
    <w:rsid w:val="25F16828"/>
    <w:rsid w:val="26DD3326"/>
    <w:rsid w:val="2CA156F3"/>
    <w:rsid w:val="33D44600"/>
    <w:rsid w:val="37476E97"/>
    <w:rsid w:val="3801798E"/>
    <w:rsid w:val="3D163594"/>
    <w:rsid w:val="41AA0C03"/>
    <w:rsid w:val="4373037D"/>
    <w:rsid w:val="438D20D6"/>
    <w:rsid w:val="492D5972"/>
    <w:rsid w:val="4E5C7274"/>
    <w:rsid w:val="517B21F2"/>
    <w:rsid w:val="5621502B"/>
    <w:rsid w:val="5B13515F"/>
    <w:rsid w:val="5E5B12F6"/>
    <w:rsid w:val="6A3749EE"/>
    <w:rsid w:val="6BF6265F"/>
    <w:rsid w:val="6DE36C13"/>
    <w:rsid w:val="6FDE316A"/>
    <w:rsid w:val="72206225"/>
    <w:rsid w:val="7611190E"/>
    <w:rsid w:val="77F201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文档修订信息"/>
    <w:basedOn w:val="1"/>
    <w:qFormat/>
    <w:uiPriority w:val="0"/>
    <w:pPr>
      <w:widowControl w:val="0"/>
      <w:ind w:firstLine="470" w:firstLineChars="200"/>
      <w:jc w:val="center"/>
    </w:pPr>
    <w:rPr>
      <w:rFonts w:hint="eastAsia" w:ascii="Arial" w:hAnsi="Arial"/>
      <w:b/>
      <w:bCs/>
      <w:sz w:val="24"/>
      <w:lang w:eastAsia="zh-CN"/>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40"/>
    <w:qFormat/>
    <w:uiPriority w:val="0"/>
    <w:pPr>
      <w:spacing w:before="100" w:after="90" w:line="360" w:lineRule="auto"/>
    </w:pPr>
    <w:rPr>
      <w:rFonts w:ascii="Arial" w:hAnsi="Arial" w:eastAsia="宋体"/>
      <w:sz w:val="32"/>
    </w:rPr>
  </w:style>
  <w:style w:type="paragraph" w:customStyle="1" w:styleId="29">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7"/>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4">
    <w:name w:val="柴_文档名"/>
    <w:basedOn w:val="19"/>
    <w:qFormat/>
    <w:uiPriority w:val="0"/>
    <w:pPr>
      <w:spacing w:after="900" w:afterLines="900"/>
    </w:pPr>
    <w:rPr>
      <w:rFonts w:ascii="黑体" w:hAnsi="黑体" w:eastAsia="黑体" w:cs="黑体"/>
      <w:bCs/>
      <w:spacing w:val="-7"/>
      <w:sz w:val="52"/>
      <w:szCs w:val="52"/>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28"/>
    <w:qFormat/>
    <w:uiPriority w:val="0"/>
    <w:rPr>
      <w:rFonts w:ascii="Arial" w:hAnsi="Arial" w:eastAsia="宋体"/>
      <w:sz w:val="32"/>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29"/>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3173</Words>
  <Characters>3325</Characters>
  <Lines>0</Lines>
  <Paragraphs>0</Paragraphs>
  <TotalTime>0</TotalTime>
  <ScaleCrop>false</ScaleCrop>
  <LinksUpToDate>false</LinksUpToDate>
  <CharactersWithSpaces>3444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2025-08-21T18:44:00Z</dcterms:created>
  <dc:creator>18442</dc:creator>
  <cp:lastModifiedBy>郝宇</cp:lastModifiedBy>
  <dcterms:modified xsi:type="dcterms:W3CDTF">2026-04-16T15:41:20Z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2025-08-21T16:43:53Z</vt:filetime>
  </property>
  <property fmtid="{D5CDD505-2E9C-101B-9397-08002B2CF9AE}" pid="3" name="CRO">
    <vt:lpwstr>wqlLaW5nc29mdCBQREYgdG8gV1BTIDExNQ</vt:lpwstr>
  </property>
  <property fmtid="{D5CDD505-2E9C-101B-9397-08002B2CF9AE}" pid="4" name="ICV">
    <vt:lpwstr>0C903783E5F34BE1B567F9BC6DC182FD_12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