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07C32">
      <w:pPr>
        <w:pStyle w:val="31"/>
        <w:bidi w:val="0"/>
      </w:pPr>
      <w:bookmarkStart w:id="0" w:name="_Toc16167"/>
      <w:bookmarkStart w:id="1" w:name="_Toc22420"/>
    </w:p>
    <w:p w14:paraId="040472FA">
      <w:pPr>
        <w:pStyle w:val="31"/>
        <w:bidi w:val="0"/>
      </w:pPr>
      <w:bookmarkStart w:id="2" w:name="_Toc2321"/>
      <w:r>
        <w:t>运维服务能力管理制度</w:t>
      </w:r>
      <w:bookmarkEnd w:id="0"/>
      <w:bookmarkEnd w:id="1"/>
      <w:bookmarkEnd w:id="2"/>
    </w:p>
    <w:p w14:paraId="631B8721">
      <w:pPr>
        <w:pStyle w:val="32"/>
        <w:bidi w:val="0"/>
      </w:pPr>
      <w:bookmarkStart w:id="3" w:name="_Toc11996"/>
      <w:r>
        <w:t>江苏云储智能科技有限公司</w:t>
      </w:r>
      <w:bookmarkEnd w:id="3"/>
    </w:p>
    <w:p w14:paraId="66733217">
      <w:pPr>
        <w:keepNext w:val="0"/>
        <w:keepLines w:val="0"/>
        <w:pageBreakBefore w:val="0"/>
        <w:widowControl w:val="0"/>
        <w:kinsoku w:val="0"/>
        <w:wordWrap/>
        <w:overflowPunct/>
        <w:topLinePunct w:val="0"/>
        <w:autoSpaceDE w:val="0"/>
        <w:autoSpaceDN w:val="0"/>
        <w:bidi w:val="0"/>
        <w:adjustRightInd w:val="0"/>
        <w:snapToGrid w:val="0"/>
        <w:spacing w:before="224" w:line="220" w:lineRule="auto"/>
        <w:ind w:left="2925"/>
        <w:textAlignment w:val="baseline"/>
        <w:rPr>
          <w:rFonts w:ascii="宋体" w:hAnsi="宋体" w:eastAsia="宋体" w:cs="宋体"/>
          <w:sz w:val="36"/>
          <w:szCs w:val="36"/>
        </w:rPr>
      </w:pPr>
      <w:r>
        <w:rPr>
          <w:rFonts w:ascii="宋体" w:hAnsi="宋体" w:eastAsia="宋体" w:cs="宋体"/>
          <w:spacing w:val="-11"/>
          <w:sz w:val="36"/>
          <w:szCs w:val="36"/>
        </w:rPr>
        <w:t>2025年1月4日</w:t>
      </w:r>
    </w:p>
    <w:p w14:paraId="6E2F5774">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宋体" w:hAnsi="宋体" w:eastAsia="宋体" w:cs="宋体"/>
          <w:sz w:val="36"/>
          <w:szCs w:val="36"/>
        </w:rPr>
        <w:sectPr>
          <w:pgSz w:w="11906" w:h="16839"/>
          <w:pgMar w:top="1431" w:right="1785" w:bottom="0" w:left="1785" w:header="0" w:footer="0" w:gutter="0"/>
          <w:cols w:space="720" w:num="1"/>
        </w:sectPr>
      </w:pPr>
    </w:p>
    <w:p w14:paraId="130E6C12">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620"/>
        <w:textAlignment w:val="baseline"/>
        <w:outlineLvl w:val="1"/>
        <w:rPr>
          <w:rFonts w:ascii="宋体" w:hAnsi="宋体" w:eastAsia="宋体" w:cs="宋体"/>
          <w:sz w:val="28"/>
          <w:szCs w:val="28"/>
        </w:rPr>
      </w:pPr>
      <w:bookmarkStart w:id="4" w:name="_Toc16758"/>
      <w:bookmarkStart w:id="5" w:name="_Toc3072"/>
      <w:bookmarkStart w:id="6" w:name="_Toc2915"/>
      <w:r>
        <w:rPr>
          <w:rFonts w:ascii="宋体" w:hAnsi="宋体" w:eastAsia="宋体" w:cs="宋体"/>
          <w:spacing w:val="-3"/>
          <w:sz w:val="28"/>
          <w:szCs w:val="28"/>
        </w:rPr>
        <w:t>文档信息</w:t>
      </w:r>
      <w:bookmarkEnd w:id="4"/>
      <w:bookmarkEnd w:id="5"/>
      <w:bookmarkEnd w:id="6"/>
    </w:p>
    <w:tbl>
      <w:tblPr>
        <w:tblStyle w:val="24"/>
        <w:tblW w:w="8646" w:type="dxa"/>
        <w:tblInd w:w="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4"/>
        <w:gridCol w:w="1558"/>
        <w:gridCol w:w="2123"/>
        <w:gridCol w:w="1699"/>
        <w:gridCol w:w="1562"/>
      </w:tblGrid>
      <w:tr w14:paraId="079E66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704" w:type="dxa"/>
          </w:tcPr>
          <w:p w14:paraId="0EC5FA57">
            <w:pPr>
              <w:keepNext w:val="0"/>
              <w:keepLines w:val="0"/>
              <w:pageBreakBefore w:val="0"/>
              <w:widowControl w:val="0"/>
              <w:kinsoku w:val="0"/>
              <w:wordWrap/>
              <w:overflowPunct/>
              <w:topLinePunct w:val="0"/>
              <w:autoSpaceDE w:val="0"/>
              <w:autoSpaceDN w:val="0"/>
              <w:bidi w:val="0"/>
              <w:adjustRightInd w:val="0"/>
              <w:snapToGrid w:val="0"/>
              <w:spacing w:before="125" w:line="220" w:lineRule="auto"/>
              <w:ind w:left="136"/>
              <w:textAlignment w:val="baseline"/>
              <w:rPr>
                <w:rFonts w:ascii="宋体" w:hAnsi="宋体" w:eastAsia="宋体" w:cs="宋体"/>
                <w:sz w:val="24"/>
                <w:szCs w:val="24"/>
              </w:rPr>
            </w:pPr>
            <w:r>
              <w:rPr>
                <w:rFonts w:ascii="宋体" w:hAnsi="宋体" w:eastAsia="宋体" w:cs="宋体"/>
                <w:spacing w:val="-2"/>
                <w:sz w:val="24"/>
                <w:szCs w:val="24"/>
              </w:rPr>
              <w:t>文档名称编号</w:t>
            </w:r>
          </w:p>
        </w:tc>
        <w:tc>
          <w:tcPr>
            <w:tcW w:w="6942" w:type="dxa"/>
            <w:gridSpan w:val="4"/>
          </w:tcPr>
          <w:p w14:paraId="2E7829C2">
            <w:pPr>
              <w:keepNext w:val="0"/>
              <w:keepLines w:val="0"/>
              <w:pageBreakBefore w:val="0"/>
              <w:widowControl w:val="0"/>
              <w:kinsoku w:val="0"/>
              <w:wordWrap/>
              <w:overflowPunct/>
              <w:topLinePunct w:val="0"/>
              <w:autoSpaceDE w:val="0"/>
              <w:autoSpaceDN w:val="0"/>
              <w:bidi w:val="0"/>
              <w:adjustRightInd w:val="0"/>
              <w:snapToGrid w:val="0"/>
              <w:spacing w:before="125" w:line="220" w:lineRule="auto"/>
              <w:ind w:left="109"/>
              <w:textAlignment w:val="baseline"/>
              <w:rPr>
                <w:rFonts w:ascii="宋体" w:hAnsi="宋体" w:eastAsia="宋体" w:cs="宋体"/>
                <w:sz w:val="24"/>
                <w:szCs w:val="24"/>
              </w:rPr>
            </w:pPr>
            <w:r>
              <w:rPr>
                <w:rFonts w:ascii="宋体" w:hAnsi="宋体" w:eastAsia="宋体" w:cs="宋体"/>
                <w:spacing w:val="-1"/>
                <w:sz w:val="24"/>
                <w:szCs w:val="24"/>
              </w:rPr>
              <w:t>运维服务能力管理制度（JSYC-ITSS-NLGLZD）</w:t>
            </w:r>
          </w:p>
        </w:tc>
      </w:tr>
      <w:tr w14:paraId="710A4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704" w:type="dxa"/>
          </w:tcPr>
          <w:p w14:paraId="69BF313C">
            <w:pPr>
              <w:keepNext w:val="0"/>
              <w:keepLines w:val="0"/>
              <w:pageBreakBefore w:val="0"/>
              <w:widowControl w:val="0"/>
              <w:kinsoku w:val="0"/>
              <w:wordWrap/>
              <w:overflowPunct/>
              <w:topLinePunct w:val="0"/>
              <w:autoSpaceDE w:val="0"/>
              <w:autoSpaceDN w:val="0"/>
              <w:bidi w:val="0"/>
              <w:adjustRightInd w:val="0"/>
              <w:snapToGrid w:val="0"/>
              <w:spacing w:before="122" w:line="220" w:lineRule="auto"/>
              <w:ind w:left="376"/>
              <w:textAlignment w:val="baseline"/>
              <w:rPr>
                <w:rFonts w:ascii="宋体" w:hAnsi="宋体" w:eastAsia="宋体" w:cs="宋体"/>
                <w:sz w:val="24"/>
                <w:szCs w:val="24"/>
              </w:rPr>
            </w:pPr>
            <w:r>
              <w:rPr>
                <w:rFonts w:ascii="宋体" w:hAnsi="宋体" w:eastAsia="宋体" w:cs="宋体"/>
                <w:spacing w:val="-3"/>
                <w:sz w:val="24"/>
                <w:szCs w:val="24"/>
              </w:rPr>
              <w:t>编制单位</w:t>
            </w:r>
          </w:p>
        </w:tc>
        <w:tc>
          <w:tcPr>
            <w:tcW w:w="6942" w:type="dxa"/>
            <w:gridSpan w:val="4"/>
          </w:tcPr>
          <w:p w14:paraId="28D1377B">
            <w:pPr>
              <w:keepNext w:val="0"/>
              <w:keepLines w:val="0"/>
              <w:pageBreakBefore w:val="0"/>
              <w:widowControl w:val="0"/>
              <w:kinsoku w:val="0"/>
              <w:wordWrap/>
              <w:overflowPunct/>
              <w:topLinePunct w:val="0"/>
              <w:autoSpaceDE w:val="0"/>
              <w:autoSpaceDN w:val="0"/>
              <w:bidi w:val="0"/>
              <w:adjustRightInd w:val="0"/>
              <w:snapToGrid w:val="0"/>
              <w:spacing w:before="122" w:line="219" w:lineRule="auto"/>
              <w:ind w:left="109"/>
              <w:textAlignment w:val="baseline"/>
              <w:rPr>
                <w:rFonts w:ascii="宋体" w:hAnsi="宋体" w:eastAsia="宋体" w:cs="宋体"/>
                <w:sz w:val="24"/>
                <w:szCs w:val="24"/>
              </w:rPr>
            </w:pPr>
            <w:r>
              <w:rPr>
                <w:rFonts w:ascii="宋体" w:hAnsi="宋体" w:eastAsia="宋体" w:cs="宋体"/>
                <w:spacing w:val="-1"/>
                <w:sz w:val="24"/>
                <w:szCs w:val="24"/>
              </w:rPr>
              <w:t>江苏云储智能科技有限公司</w:t>
            </w:r>
          </w:p>
        </w:tc>
      </w:tr>
      <w:tr w14:paraId="3509B9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704" w:type="dxa"/>
          </w:tcPr>
          <w:p w14:paraId="0FBECF28">
            <w:pPr>
              <w:keepNext w:val="0"/>
              <w:keepLines w:val="0"/>
              <w:pageBreakBefore w:val="0"/>
              <w:widowControl w:val="0"/>
              <w:kinsoku w:val="0"/>
              <w:wordWrap/>
              <w:overflowPunct/>
              <w:topLinePunct w:val="0"/>
              <w:autoSpaceDE w:val="0"/>
              <w:autoSpaceDN w:val="0"/>
              <w:bidi w:val="0"/>
              <w:adjustRightInd w:val="0"/>
              <w:snapToGrid w:val="0"/>
              <w:spacing w:before="123" w:line="219" w:lineRule="auto"/>
              <w:ind w:left="376"/>
              <w:textAlignment w:val="baseline"/>
              <w:rPr>
                <w:rFonts w:ascii="宋体" w:hAnsi="宋体" w:eastAsia="宋体" w:cs="宋体"/>
                <w:sz w:val="24"/>
                <w:szCs w:val="24"/>
              </w:rPr>
            </w:pPr>
            <w:r>
              <w:rPr>
                <w:rFonts w:ascii="宋体" w:hAnsi="宋体" w:eastAsia="宋体" w:cs="宋体"/>
                <w:spacing w:val="-3"/>
                <w:sz w:val="24"/>
                <w:szCs w:val="24"/>
              </w:rPr>
              <w:t>文档版本</w:t>
            </w:r>
          </w:p>
        </w:tc>
        <w:tc>
          <w:tcPr>
            <w:tcW w:w="1558" w:type="dxa"/>
          </w:tcPr>
          <w:p w14:paraId="7677D0A7">
            <w:pPr>
              <w:keepNext w:val="0"/>
              <w:keepLines w:val="0"/>
              <w:pageBreakBefore w:val="0"/>
              <w:widowControl w:val="0"/>
              <w:kinsoku w:val="0"/>
              <w:wordWrap/>
              <w:overflowPunct/>
              <w:topLinePunct w:val="0"/>
              <w:autoSpaceDE w:val="0"/>
              <w:autoSpaceDN w:val="0"/>
              <w:bidi w:val="0"/>
              <w:adjustRightInd w:val="0"/>
              <w:snapToGrid w:val="0"/>
              <w:spacing w:before="123" w:line="219" w:lineRule="auto"/>
              <w:ind w:left="302"/>
              <w:textAlignment w:val="baseline"/>
              <w:rPr>
                <w:rFonts w:ascii="宋体" w:hAnsi="宋体" w:eastAsia="宋体" w:cs="宋体"/>
                <w:sz w:val="24"/>
                <w:szCs w:val="24"/>
              </w:rPr>
            </w:pPr>
            <w:r>
              <w:rPr>
                <w:rFonts w:ascii="宋体" w:hAnsi="宋体" w:eastAsia="宋体" w:cs="宋体"/>
                <w:spacing w:val="-2"/>
                <w:sz w:val="24"/>
                <w:szCs w:val="24"/>
              </w:rPr>
              <w:t>版本日期</w:t>
            </w:r>
          </w:p>
        </w:tc>
        <w:tc>
          <w:tcPr>
            <w:tcW w:w="2123" w:type="dxa"/>
          </w:tcPr>
          <w:p w14:paraId="7136EB14">
            <w:pPr>
              <w:keepNext w:val="0"/>
              <w:keepLines w:val="0"/>
              <w:pageBreakBefore w:val="0"/>
              <w:widowControl w:val="0"/>
              <w:kinsoku w:val="0"/>
              <w:wordWrap/>
              <w:overflowPunct/>
              <w:topLinePunct w:val="0"/>
              <w:autoSpaceDE w:val="0"/>
              <w:autoSpaceDN w:val="0"/>
              <w:bidi w:val="0"/>
              <w:adjustRightInd w:val="0"/>
              <w:snapToGrid w:val="0"/>
              <w:spacing w:before="123" w:line="219" w:lineRule="auto"/>
              <w:ind w:left="587"/>
              <w:textAlignment w:val="baseline"/>
              <w:rPr>
                <w:rFonts w:ascii="宋体" w:hAnsi="宋体" w:eastAsia="宋体" w:cs="宋体"/>
                <w:sz w:val="24"/>
                <w:szCs w:val="24"/>
              </w:rPr>
            </w:pPr>
            <w:r>
              <w:rPr>
                <w:rFonts w:ascii="宋体" w:hAnsi="宋体" w:eastAsia="宋体" w:cs="宋体"/>
                <w:spacing w:val="-2"/>
                <w:sz w:val="24"/>
                <w:szCs w:val="24"/>
              </w:rPr>
              <w:t>版本说明</w:t>
            </w:r>
          </w:p>
        </w:tc>
        <w:tc>
          <w:tcPr>
            <w:tcW w:w="1699" w:type="dxa"/>
          </w:tcPr>
          <w:p w14:paraId="34885ACA">
            <w:pPr>
              <w:keepNext w:val="0"/>
              <w:keepLines w:val="0"/>
              <w:pageBreakBefore w:val="0"/>
              <w:widowControl w:val="0"/>
              <w:kinsoku w:val="0"/>
              <w:wordWrap/>
              <w:overflowPunct/>
              <w:topLinePunct w:val="0"/>
              <w:autoSpaceDE w:val="0"/>
              <w:autoSpaceDN w:val="0"/>
              <w:bidi w:val="0"/>
              <w:adjustRightInd w:val="0"/>
              <w:snapToGrid w:val="0"/>
              <w:spacing w:before="124" w:line="220" w:lineRule="auto"/>
              <w:ind w:left="557"/>
              <w:textAlignment w:val="baseline"/>
              <w:rPr>
                <w:rFonts w:ascii="宋体" w:hAnsi="宋体" w:eastAsia="宋体" w:cs="宋体"/>
                <w:sz w:val="24"/>
                <w:szCs w:val="24"/>
              </w:rPr>
            </w:pPr>
            <w:r>
              <w:rPr>
                <w:rFonts w:ascii="宋体" w:hAnsi="宋体" w:eastAsia="宋体" w:cs="宋体"/>
                <w:spacing w:val="-6"/>
                <w:sz w:val="24"/>
                <w:szCs w:val="24"/>
              </w:rPr>
              <w:t>作</w:t>
            </w:r>
            <w:r>
              <w:rPr>
                <w:rFonts w:ascii="宋体" w:hAnsi="宋体" w:eastAsia="宋体" w:cs="宋体"/>
                <w:spacing w:val="11"/>
                <w:sz w:val="24"/>
                <w:szCs w:val="24"/>
              </w:rPr>
              <w:t xml:space="preserve"> </w:t>
            </w:r>
            <w:r>
              <w:rPr>
                <w:rFonts w:ascii="宋体" w:hAnsi="宋体" w:eastAsia="宋体" w:cs="宋体"/>
                <w:spacing w:val="-6"/>
                <w:sz w:val="24"/>
                <w:szCs w:val="24"/>
              </w:rPr>
              <w:t>者</w:t>
            </w:r>
          </w:p>
        </w:tc>
        <w:tc>
          <w:tcPr>
            <w:tcW w:w="1562" w:type="dxa"/>
          </w:tcPr>
          <w:p w14:paraId="59977F10">
            <w:pPr>
              <w:keepNext w:val="0"/>
              <w:keepLines w:val="0"/>
              <w:pageBreakBefore w:val="0"/>
              <w:widowControl w:val="0"/>
              <w:kinsoku w:val="0"/>
              <w:wordWrap/>
              <w:overflowPunct/>
              <w:topLinePunct w:val="0"/>
              <w:autoSpaceDE w:val="0"/>
              <w:autoSpaceDN w:val="0"/>
              <w:bidi w:val="0"/>
              <w:adjustRightInd w:val="0"/>
              <w:snapToGrid w:val="0"/>
              <w:spacing w:before="124" w:line="220" w:lineRule="auto"/>
              <w:ind w:left="560"/>
              <w:textAlignment w:val="baseline"/>
              <w:rPr>
                <w:rFonts w:ascii="宋体" w:hAnsi="宋体" w:eastAsia="宋体" w:cs="宋体"/>
                <w:sz w:val="24"/>
                <w:szCs w:val="24"/>
              </w:rPr>
            </w:pPr>
            <w:r>
              <w:rPr>
                <w:rFonts w:ascii="宋体" w:hAnsi="宋体" w:eastAsia="宋体" w:cs="宋体"/>
                <w:spacing w:val="-6"/>
                <w:sz w:val="24"/>
                <w:szCs w:val="24"/>
              </w:rPr>
              <w:t>审核</w:t>
            </w:r>
          </w:p>
        </w:tc>
      </w:tr>
      <w:tr w14:paraId="764CA3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2C0FB8D0">
            <w:pPr>
              <w:keepNext w:val="0"/>
              <w:keepLines w:val="0"/>
              <w:pageBreakBefore w:val="0"/>
              <w:widowControl w:val="0"/>
              <w:kinsoku w:val="0"/>
              <w:wordWrap/>
              <w:overflowPunct/>
              <w:topLinePunct w:val="0"/>
              <w:autoSpaceDE w:val="0"/>
              <w:autoSpaceDN w:val="0"/>
              <w:bidi w:val="0"/>
              <w:adjustRightInd w:val="0"/>
              <w:snapToGrid w:val="0"/>
              <w:spacing w:before="102" w:line="239" w:lineRule="auto"/>
              <w:ind w:left="638"/>
              <w:textAlignment w:val="baseline"/>
              <w:rPr>
                <w:rFonts w:ascii="宋体" w:hAnsi="宋体" w:eastAsia="宋体" w:cs="宋体"/>
                <w:sz w:val="21"/>
                <w:szCs w:val="21"/>
              </w:rPr>
            </w:pPr>
            <w:r>
              <w:rPr>
                <w:rFonts w:ascii="宋体" w:hAnsi="宋体" w:eastAsia="宋体" w:cs="宋体"/>
                <w:spacing w:val="-1"/>
                <w:sz w:val="21"/>
                <w:szCs w:val="21"/>
              </w:rPr>
              <w:t>V1.0</w:t>
            </w:r>
          </w:p>
        </w:tc>
        <w:tc>
          <w:tcPr>
            <w:tcW w:w="1558" w:type="dxa"/>
          </w:tcPr>
          <w:p w14:paraId="228CC13A">
            <w:pPr>
              <w:keepNext w:val="0"/>
              <w:keepLines w:val="0"/>
              <w:pageBreakBefore w:val="0"/>
              <w:widowControl w:val="0"/>
              <w:kinsoku w:val="0"/>
              <w:wordWrap/>
              <w:overflowPunct/>
              <w:topLinePunct w:val="0"/>
              <w:autoSpaceDE w:val="0"/>
              <w:autoSpaceDN w:val="0"/>
              <w:bidi w:val="0"/>
              <w:adjustRightInd w:val="0"/>
              <w:snapToGrid w:val="0"/>
              <w:spacing w:before="102"/>
              <w:ind w:left="362"/>
              <w:textAlignment w:val="baseline"/>
              <w:rPr>
                <w:rFonts w:ascii="宋体" w:hAnsi="宋体" w:eastAsia="宋体" w:cs="宋体"/>
                <w:sz w:val="21"/>
                <w:szCs w:val="21"/>
              </w:rPr>
            </w:pPr>
            <w:r>
              <w:rPr>
                <w:rFonts w:ascii="宋体" w:hAnsi="宋体" w:eastAsia="宋体" w:cs="宋体"/>
                <w:spacing w:val="-2"/>
                <w:sz w:val="21"/>
                <w:szCs w:val="21"/>
              </w:rPr>
              <w:t>2025-1-4</w:t>
            </w:r>
          </w:p>
        </w:tc>
        <w:tc>
          <w:tcPr>
            <w:tcW w:w="2123" w:type="dxa"/>
          </w:tcPr>
          <w:p w14:paraId="01EBC89A">
            <w:pPr>
              <w:keepNext w:val="0"/>
              <w:keepLines w:val="0"/>
              <w:pageBreakBefore w:val="0"/>
              <w:widowControl w:val="0"/>
              <w:kinsoku w:val="0"/>
              <w:wordWrap/>
              <w:overflowPunct/>
              <w:topLinePunct w:val="0"/>
              <w:autoSpaceDE w:val="0"/>
              <w:autoSpaceDN w:val="0"/>
              <w:bidi w:val="0"/>
              <w:adjustRightInd w:val="0"/>
              <w:snapToGrid w:val="0"/>
              <w:spacing w:before="72" w:line="219" w:lineRule="auto"/>
              <w:ind w:left="648"/>
              <w:textAlignment w:val="baseline"/>
              <w:rPr>
                <w:rFonts w:ascii="宋体" w:hAnsi="宋体" w:eastAsia="宋体" w:cs="宋体"/>
                <w:sz w:val="21"/>
                <w:szCs w:val="21"/>
              </w:rPr>
            </w:pPr>
            <w:r>
              <w:rPr>
                <w:rFonts w:ascii="宋体" w:hAnsi="宋体" w:eastAsia="宋体" w:cs="宋体"/>
                <w:spacing w:val="-3"/>
                <w:sz w:val="21"/>
                <w:szCs w:val="21"/>
              </w:rPr>
              <w:t>发布版本</w:t>
            </w:r>
          </w:p>
        </w:tc>
        <w:tc>
          <w:tcPr>
            <w:tcW w:w="1699" w:type="dxa"/>
          </w:tcPr>
          <w:p w14:paraId="00440F37">
            <w:pPr>
              <w:keepNext w:val="0"/>
              <w:keepLines w:val="0"/>
              <w:pageBreakBefore w:val="0"/>
              <w:widowControl w:val="0"/>
              <w:kinsoku w:val="0"/>
              <w:wordWrap/>
              <w:overflowPunct/>
              <w:topLinePunct w:val="0"/>
              <w:autoSpaceDE w:val="0"/>
              <w:autoSpaceDN w:val="0"/>
              <w:bidi w:val="0"/>
              <w:adjustRightInd w:val="0"/>
              <w:snapToGrid w:val="0"/>
              <w:spacing w:before="73" w:line="220" w:lineRule="auto"/>
              <w:ind w:left="551"/>
              <w:textAlignment w:val="baseline"/>
              <w:rPr>
                <w:rFonts w:hint="eastAsia" w:ascii="宋体" w:hAnsi="宋体" w:eastAsia="宋体" w:cs="宋体"/>
                <w:sz w:val="21"/>
                <w:szCs w:val="21"/>
                <w:lang w:eastAsia="zh-CN"/>
              </w:rPr>
            </w:pPr>
            <w:r>
              <w:rPr>
                <w:rFonts w:hint="eastAsia" w:ascii="宋体" w:hAnsi="宋体" w:eastAsia="宋体" w:cs="宋体"/>
                <w:spacing w:val="-5"/>
                <w:sz w:val="21"/>
                <w:szCs w:val="21"/>
                <w:lang w:val="en-US" w:eastAsia="zh-CN"/>
              </w:rPr>
              <w:t>郑云</w:t>
            </w:r>
          </w:p>
        </w:tc>
        <w:tc>
          <w:tcPr>
            <w:tcW w:w="1562" w:type="dxa"/>
          </w:tcPr>
          <w:p w14:paraId="39147486">
            <w:pPr>
              <w:keepNext w:val="0"/>
              <w:keepLines w:val="0"/>
              <w:pageBreakBefore w:val="0"/>
              <w:widowControl w:val="0"/>
              <w:kinsoku w:val="0"/>
              <w:wordWrap/>
              <w:overflowPunct/>
              <w:topLinePunct w:val="0"/>
              <w:autoSpaceDE w:val="0"/>
              <w:autoSpaceDN w:val="0"/>
              <w:bidi w:val="0"/>
              <w:adjustRightInd w:val="0"/>
              <w:snapToGrid w:val="0"/>
              <w:spacing w:before="72" w:line="220" w:lineRule="auto"/>
              <w:ind w:left="476"/>
              <w:textAlignment w:val="baseline"/>
              <w:rPr>
                <w:rFonts w:ascii="宋体" w:hAnsi="宋体" w:eastAsia="宋体" w:cs="宋体"/>
                <w:sz w:val="21"/>
                <w:szCs w:val="21"/>
              </w:rPr>
            </w:pPr>
            <w:r>
              <w:rPr>
                <w:rFonts w:ascii="宋体" w:hAnsi="宋体" w:eastAsia="宋体" w:cs="宋体"/>
                <w:spacing w:val="-3"/>
                <w:sz w:val="21"/>
                <w:szCs w:val="21"/>
              </w:rPr>
              <w:t>史晓玲</w:t>
            </w:r>
          </w:p>
        </w:tc>
      </w:tr>
      <w:tr w14:paraId="34B153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6653F70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8" w:type="dxa"/>
          </w:tcPr>
          <w:p w14:paraId="7CED47A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123" w:type="dxa"/>
          </w:tcPr>
          <w:p w14:paraId="7CA8D66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9" w:type="dxa"/>
          </w:tcPr>
          <w:p w14:paraId="364C31C4">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14:paraId="1A591CF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7716F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2C77A16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8" w:type="dxa"/>
          </w:tcPr>
          <w:p w14:paraId="3FA34E1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123" w:type="dxa"/>
          </w:tcPr>
          <w:p w14:paraId="6D0CEB5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9" w:type="dxa"/>
          </w:tcPr>
          <w:p w14:paraId="121E8352">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14:paraId="1A5AA71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45C6D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46FE18FA">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8" w:type="dxa"/>
          </w:tcPr>
          <w:p w14:paraId="66A9667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123" w:type="dxa"/>
          </w:tcPr>
          <w:p w14:paraId="1325EE7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9" w:type="dxa"/>
          </w:tcPr>
          <w:p w14:paraId="1DE1EB0E">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14:paraId="5BF0A76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3670F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19067A90">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8" w:type="dxa"/>
          </w:tcPr>
          <w:p w14:paraId="31C1B96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123" w:type="dxa"/>
          </w:tcPr>
          <w:p w14:paraId="7D761F23">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9" w:type="dxa"/>
          </w:tcPr>
          <w:p w14:paraId="3DA3F94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14:paraId="6DCC162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r w14:paraId="0A26AE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04" w:type="dxa"/>
          </w:tcPr>
          <w:p w14:paraId="5C51E1CB">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8" w:type="dxa"/>
          </w:tcPr>
          <w:p w14:paraId="7E0652CC">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123" w:type="dxa"/>
          </w:tcPr>
          <w:p w14:paraId="6C8C77E6">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699" w:type="dxa"/>
          </w:tcPr>
          <w:p w14:paraId="4A7E61ED">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62" w:type="dxa"/>
          </w:tcPr>
          <w:p w14:paraId="5841DFB8">
            <w:pPr>
              <w:pStyle w:val="25"/>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14:paraId="31C581EC">
      <w:pPr>
        <w:pStyle w:val="12"/>
        <w:keepNext w:val="0"/>
        <w:keepLines w:val="0"/>
        <w:pageBreakBefore w:val="0"/>
        <w:widowControl w:val="0"/>
        <w:kinsoku w:val="0"/>
        <w:wordWrap/>
        <w:overflowPunct/>
        <w:topLinePunct w:val="0"/>
        <w:autoSpaceDE w:val="0"/>
        <w:autoSpaceDN w:val="0"/>
        <w:bidi w:val="0"/>
        <w:adjustRightInd w:val="0"/>
        <w:snapToGrid w:val="0"/>
        <w:textAlignment w:val="baseline"/>
      </w:pPr>
    </w:p>
    <w:p w14:paraId="75DB6B5E">
      <w:pPr>
        <w:keepNext w:val="0"/>
        <w:keepLines w:val="0"/>
        <w:pageBreakBefore w:val="0"/>
        <w:widowControl w:val="0"/>
        <w:kinsoku w:val="0"/>
        <w:wordWrap/>
        <w:overflowPunct/>
        <w:topLinePunct w:val="0"/>
        <w:autoSpaceDE w:val="0"/>
        <w:autoSpaceDN w:val="0"/>
        <w:bidi w:val="0"/>
        <w:adjustRightInd w:val="0"/>
        <w:snapToGrid w:val="0"/>
        <w:textAlignment w:val="baseline"/>
        <w:sectPr>
          <w:pgSz w:w="11906" w:h="16839"/>
          <w:pgMar w:top="1431" w:right="1440" w:bottom="0" w:left="1785" w:header="0" w:footer="0" w:gutter="0"/>
          <w:cols w:space="720" w:num="1"/>
        </w:sectPr>
      </w:pPr>
    </w:p>
    <w:sdt>
      <w:sdtPr>
        <w:rPr>
          <w:rFonts w:ascii="宋体" w:hAnsi="宋体" w:eastAsia="宋体" w:cs="Arial"/>
          <w:snapToGrid w:val="0"/>
          <w:color w:val="000000"/>
          <w:kern w:val="0"/>
          <w:sz w:val="21"/>
          <w:szCs w:val="21"/>
          <w:lang w:val="en-US" w:eastAsia="en-US" w:bidi="ar-SA"/>
        </w:rPr>
        <w:id w:val="147465396"/>
        <w:docPartObj>
          <w:docPartGallery w:val="Table of Contents"/>
          <w:docPartUnique/>
        </w:docPartObj>
      </w:sdtPr>
      <w:sdtEndPr>
        <w:rPr>
          <w:rFonts w:ascii="Arial" w:hAnsi="Arial" w:eastAsia="Arial" w:cs="Arial"/>
          <w:snapToGrid w:val="0"/>
          <w:color w:val="000000"/>
          <w:kern w:val="0"/>
          <w:sz w:val="21"/>
          <w:szCs w:val="21"/>
          <w:lang w:val="en-US" w:eastAsia="en-US" w:bidi="ar-SA"/>
        </w:rPr>
      </w:sdtEndPr>
      <w:sdtContent>
        <w:p w14:paraId="70E4C706">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4E7368BB">
          <w:pPr>
            <w:pStyle w:val="16"/>
            <w:tabs>
              <w:tab w:val="right" w:leader="dot" w:pos="8485"/>
            </w:tabs>
          </w:pPr>
          <w:r>
            <w:fldChar w:fldCharType="begin"/>
          </w:r>
          <w:r>
            <w:instrText xml:space="preserve">TOC \o "1-3" \h \u </w:instrText>
          </w:r>
          <w:r>
            <w:fldChar w:fldCharType="separate"/>
          </w:r>
          <w:r>
            <w:fldChar w:fldCharType="begin"/>
          </w:r>
          <w:r>
            <w:instrText xml:space="preserve"> HYPERLINK \l _Toc2321 </w:instrText>
          </w:r>
          <w:r>
            <w:fldChar w:fldCharType="separate"/>
          </w:r>
          <w:r>
            <w:t>运维服务能力管理制度</w:t>
          </w:r>
          <w:r>
            <w:tab/>
          </w:r>
          <w:r>
            <w:fldChar w:fldCharType="begin"/>
          </w:r>
          <w:r>
            <w:instrText xml:space="preserve"> PAGEREF _Toc2321 \h </w:instrText>
          </w:r>
          <w:r>
            <w:fldChar w:fldCharType="separate"/>
          </w:r>
          <w:r>
            <w:t>1</w:t>
          </w:r>
          <w:r>
            <w:fldChar w:fldCharType="end"/>
          </w:r>
          <w:r>
            <w:fldChar w:fldCharType="end"/>
          </w:r>
        </w:p>
        <w:p w14:paraId="12570A06">
          <w:pPr>
            <w:pStyle w:val="16"/>
            <w:tabs>
              <w:tab w:val="right" w:leader="dot" w:pos="8485"/>
            </w:tabs>
          </w:pPr>
          <w:r>
            <w:fldChar w:fldCharType="begin"/>
          </w:r>
          <w:r>
            <w:instrText xml:space="preserve"> HYPERLINK \l _Toc11996 </w:instrText>
          </w:r>
          <w:r>
            <w:fldChar w:fldCharType="separate"/>
          </w:r>
          <w:r>
            <w:t>江苏云储智能科技有限公司</w:t>
          </w:r>
          <w:r>
            <w:tab/>
          </w:r>
          <w:r>
            <w:fldChar w:fldCharType="begin"/>
          </w:r>
          <w:r>
            <w:instrText xml:space="preserve"> PAGEREF _Toc11996 \h </w:instrText>
          </w:r>
          <w:r>
            <w:fldChar w:fldCharType="separate"/>
          </w:r>
          <w:r>
            <w:t>1</w:t>
          </w:r>
          <w:r>
            <w:fldChar w:fldCharType="end"/>
          </w:r>
          <w:r>
            <w:fldChar w:fldCharType="end"/>
          </w:r>
        </w:p>
        <w:p w14:paraId="60E0D764">
          <w:pPr>
            <w:pStyle w:val="17"/>
            <w:tabs>
              <w:tab w:val="right" w:leader="dot" w:pos="8485"/>
            </w:tabs>
          </w:pPr>
          <w:r>
            <w:fldChar w:fldCharType="begin"/>
          </w:r>
          <w:r>
            <w:instrText xml:space="preserve"> HYPERLINK \l _Toc2915 </w:instrText>
          </w:r>
          <w:r>
            <w:fldChar w:fldCharType="separate"/>
          </w:r>
          <w:r>
            <w:rPr>
              <w:rFonts w:ascii="宋体" w:hAnsi="宋体" w:eastAsia="宋体" w:cs="宋体"/>
              <w:spacing w:val="-3"/>
              <w:szCs w:val="28"/>
            </w:rPr>
            <w:t>文档信息</w:t>
          </w:r>
          <w:r>
            <w:tab/>
          </w:r>
          <w:r>
            <w:fldChar w:fldCharType="begin"/>
          </w:r>
          <w:r>
            <w:instrText xml:space="preserve"> PAGEREF _Toc2915 \h </w:instrText>
          </w:r>
          <w:r>
            <w:fldChar w:fldCharType="separate"/>
          </w:r>
          <w:r>
            <w:t>2</w:t>
          </w:r>
          <w:r>
            <w:fldChar w:fldCharType="end"/>
          </w:r>
          <w:r>
            <w:fldChar w:fldCharType="end"/>
          </w:r>
        </w:p>
        <w:p w14:paraId="1C9AC652">
          <w:pPr>
            <w:pStyle w:val="16"/>
            <w:tabs>
              <w:tab w:val="right" w:leader="dot" w:pos="8485"/>
            </w:tabs>
          </w:pPr>
          <w:r>
            <w:fldChar w:fldCharType="begin"/>
          </w:r>
          <w:r>
            <w:instrText xml:space="preserve"> HYPERLINK \l _Toc6601 </w:instrText>
          </w:r>
          <w:r>
            <w:fldChar w:fldCharType="separate"/>
          </w:r>
          <w:r>
            <w:rPr>
              <w:rFonts w:hint="default"/>
            </w:rPr>
            <w:t xml:space="preserve">1. </w:t>
          </w:r>
          <w:r>
            <w:t>目的</w:t>
          </w:r>
          <w:r>
            <w:tab/>
          </w:r>
          <w:r>
            <w:fldChar w:fldCharType="begin"/>
          </w:r>
          <w:r>
            <w:instrText xml:space="preserve"> PAGEREF _Toc6601 \h </w:instrText>
          </w:r>
          <w:r>
            <w:fldChar w:fldCharType="separate"/>
          </w:r>
          <w:r>
            <w:t>6</w:t>
          </w:r>
          <w:r>
            <w:fldChar w:fldCharType="end"/>
          </w:r>
          <w:r>
            <w:fldChar w:fldCharType="end"/>
          </w:r>
        </w:p>
        <w:p w14:paraId="59F946EA">
          <w:pPr>
            <w:pStyle w:val="16"/>
            <w:tabs>
              <w:tab w:val="right" w:leader="dot" w:pos="8485"/>
            </w:tabs>
          </w:pPr>
          <w:r>
            <w:fldChar w:fldCharType="begin"/>
          </w:r>
          <w:r>
            <w:instrText xml:space="preserve"> HYPERLINK \l _Toc6556 </w:instrText>
          </w:r>
          <w:r>
            <w:fldChar w:fldCharType="separate"/>
          </w:r>
          <w:r>
            <w:rPr>
              <w:rFonts w:hint="default"/>
            </w:rPr>
            <w:t xml:space="preserve">2. </w:t>
          </w:r>
          <w:r>
            <w:t>适用范围</w:t>
          </w:r>
          <w:r>
            <w:tab/>
          </w:r>
          <w:r>
            <w:fldChar w:fldCharType="begin"/>
          </w:r>
          <w:r>
            <w:instrText xml:space="preserve"> PAGEREF _Toc6556 \h </w:instrText>
          </w:r>
          <w:r>
            <w:fldChar w:fldCharType="separate"/>
          </w:r>
          <w:r>
            <w:t>6</w:t>
          </w:r>
          <w:r>
            <w:fldChar w:fldCharType="end"/>
          </w:r>
          <w:r>
            <w:fldChar w:fldCharType="end"/>
          </w:r>
        </w:p>
        <w:p w14:paraId="36903C45">
          <w:pPr>
            <w:pStyle w:val="16"/>
            <w:tabs>
              <w:tab w:val="right" w:leader="dot" w:pos="8485"/>
            </w:tabs>
          </w:pPr>
          <w:r>
            <w:fldChar w:fldCharType="begin"/>
          </w:r>
          <w:r>
            <w:instrText xml:space="preserve"> HYPERLINK \l _Toc5188 </w:instrText>
          </w:r>
          <w:r>
            <w:fldChar w:fldCharType="separate"/>
          </w:r>
          <w:r>
            <w:rPr>
              <w:rFonts w:hint="default"/>
            </w:rPr>
            <w:t xml:space="preserve">3. </w:t>
          </w:r>
          <w:r>
            <w:t>引用文件</w:t>
          </w:r>
          <w:r>
            <w:tab/>
          </w:r>
          <w:r>
            <w:fldChar w:fldCharType="begin"/>
          </w:r>
          <w:r>
            <w:instrText xml:space="preserve"> PAGEREF _Toc5188 \h </w:instrText>
          </w:r>
          <w:r>
            <w:fldChar w:fldCharType="separate"/>
          </w:r>
          <w:r>
            <w:t>6</w:t>
          </w:r>
          <w:r>
            <w:fldChar w:fldCharType="end"/>
          </w:r>
          <w:r>
            <w:fldChar w:fldCharType="end"/>
          </w:r>
        </w:p>
        <w:p w14:paraId="5EA9AB92">
          <w:pPr>
            <w:pStyle w:val="16"/>
            <w:tabs>
              <w:tab w:val="right" w:leader="dot" w:pos="8485"/>
            </w:tabs>
          </w:pPr>
          <w:r>
            <w:fldChar w:fldCharType="begin"/>
          </w:r>
          <w:r>
            <w:instrText xml:space="preserve"> HYPERLINK \l _Toc1113 </w:instrText>
          </w:r>
          <w:r>
            <w:fldChar w:fldCharType="separate"/>
          </w:r>
          <w:r>
            <w:rPr>
              <w:rFonts w:hint="default"/>
            </w:rPr>
            <w:t xml:space="preserve">4. </w:t>
          </w:r>
          <w:r>
            <w:t>运维服务战略与组织</w:t>
          </w:r>
          <w:r>
            <w:tab/>
          </w:r>
          <w:r>
            <w:fldChar w:fldCharType="begin"/>
          </w:r>
          <w:r>
            <w:instrText xml:space="preserve"> PAGEREF _Toc1113 \h </w:instrText>
          </w:r>
          <w:r>
            <w:fldChar w:fldCharType="separate"/>
          </w:r>
          <w:r>
            <w:t>6</w:t>
          </w:r>
          <w:r>
            <w:fldChar w:fldCharType="end"/>
          </w:r>
          <w:r>
            <w:fldChar w:fldCharType="end"/>
          </w:r>
        </w:p>
        <w:p w14:paraId="6DAB06D0">
          <w:pPr>
            <w:pStyle w:val="17"/>
            <w:tabs>
              <w:tab w:val="right" w:leader="dot" w:pos="8485"/>
            </w:tabs>
          </w:pPr>
          <w:r>
            <w:fldChar w:fldCharType="begin"/>
          </w:r>
          <w:r>
            <w:instrText xml:space="preserve"> HYPERLINK \l _Toc26784 </w:instrText>
          </w:r>
          <w:r>
            <w:fldChar w:fldCharType="separate"/>
          </w:r>
          <w:r>
            <w:rPr>
              <w:rFonts w:hint="default"/>
            </w:rPr>
            <w:t xml:space="preserve">4.1. </w:t>
          </w:r>
          <w:r>
            <w:t>服务目标</w:t>
          </w:r>
          <w:r>
            <w:tab/>
          </w:r>
          <w:r>
            <w:fldChar w:fldCharType="begin"/>
          </w:r>
          <w:r>
            <w:instrText xml:space="preserve"> PAGEREF _Toc26784 \h </w:instrText>
          </w:r>
          <w:r>
            <w:fldChar w:fldCharType="separate"/>
          </w:r>
          <w:r>
            <w:t>6</w:t>
          </w:r>
          <w:r>
            <w:fldChar w:fldCharType="end"/>
          </w:r>
          <w:r>
            <w:fldChar w:fldCharType="end"/>
          </w:r>
        </w:p>
        <w:p w14:paraId="57CED17B">
          <w:pPr>
            <w:pStyle w:val="17"/>
            <w:tabs>
              <w:tab w:val="right" w:leader="dot" w:pos="8485"/>
            </w:tabs>
          </w:pPr>
          <w:r>
            <w:fldChar w:fldCharType="begin"/>
          </w:r>
          <w:r>
            <w:instrText xml:space="preserve"> HYPERLINK \l _Toc24612 </w:instrText>
          </w:r>
          <w:r>
            <w:fldChar w:fldCharType="separate"/>
          </w:r>
          <w:r>
            <w:rPr>
              <w:rFonts w:hint="default"/>
            </w:rPr>
            <w:t xml:space="preserve">4.2. </w:t>
          </w:r>
          <w:r>
            <w:t>运维服务战略</w:t>
          </w:r>
          <w:r>
            <w:tab/>
          </w:r>
          <w:r>
            <w:fldChar w:fldCharType="begin"/>
          </w:r>
          <w:r>
            <w:instrText xml:space="preserve"> PAGEREF _Toc24612 \h </w:instrText>
          </w:r>
          <w:r>
            <w:fldChar w:fldCharType="separate"/>
          </w:r>
          <w:r>
            <w:t>6</w:t>
          </w:r>
          <w:r>
            <w:fldChar w:fldCharType="end"/>
          </w:r>
          <w:r>
            <w:fldChar w:fldCharType="end"/>
          </w:r>
        </w:p>
        <w:p w14:paraId="0C61FD77">
          <w:pPr>
            <w:pStyle w:val="16"/>
            <w:tabs>
              <w:tab w:val="right" w:leader="dot" w:pos="8485"/>
            </w:tabs>
          </w:pPr>
          <w:r>
            <w:fldChar w:fldCharType="begin"/>
          </w:r>
          <w:r>
            <w:instrText xml:space="preserve"> HYPERLINK \l _Toc1725 </w:instrText>
          </w:r>
          <w:r>
            <w:fldChar w:fldCharType="separate"/>
          </w:r>
          <w:r>
            <w:rPr>
              <w:rFonts w:hint="default"/>
            </w:rPr>
            <w:t xml:space="preserve">5. </w:t>
          </w:r>
          <w:r>
            <w:t>运行维护服务能力管理</w:t>
          </w:r>
          <w:r>
            <w:tab/>
          </w:r>
          <w:r>
            <w:fldChar w:fldCharType="begin"/>
          </w:r>
          <w:r>
            <w:instrText xml:space="preserve"> PAGEREF _Toc1725 \h </w:instrText>
          </w:r>
          <w:r>
            <w:fldChar w:fldCharType="separate"/>
          </w:r>
          <w:r>
            <w:t>7</w:t>
          </w:r>
          <w:r>
            <w:fldChar w:fldCharType="end"/>
          </w:r>
          <w:r>
            <w:fldChar w:fldCharType="end"/>
          </w:r>
        </w:p>
        <w:p w14:paraId="0E54550A">
          <w:pPr>
            <w:pStyle w:val="17"/>
            <w:tabs>
              <w:tab w:val="right" w:leader="dot" w:pos="8485"/>
            </w:tabs>
          </w:pPr>
          <w:r>
            <w:fldChar w:fldCharType="begin"/>
          </w:r>
          <w:r>
            <w:instrText xml:space="preserve"> HYPERLINK \l _Toc15603 </w:instrText>
          </w:r>
          <w:r>
            <w:fldChar w:fldCharType="separate"/>
          </w:r>
          <w:r>
            <w:rPr>
              <w:rFonts w:hint="default"/>
            </w:rPr>
            <w:t xml:space="preserve">5.1. </w:t>
          </w:r>
          <w:r>
            <w:t>策划</w:t>
          </w:r>
          <w:r>
            <w:tab/>
          </w:r>
          <w:r>
            <w:fldChar w:fldCharType="begin"/>
          </w:r>
          <w:r>
            <w:instrText xml:space="preserve"> PAGEREF _Toc15603 \h </w:instrText>
          </w:r>
          <w:r>
            <w:fldChar w:fldCharType="separate"/>
          </w:r>
          <w:r>
            <w:t>7</w:t>
          </w:r>
          <w:r>
            <w:fldChar w:fldCharType="end"/>
          </w:r>
          <w:r>
            <w:fldChar w:fldCharType="end"/>
          </w:r>
        </w:p>
        <w:p w14:paraId="522202B7">
          <w:pPr>
            <w:pStyle w:val="13"/>
            <w:tabs>
              <w:tab w:val="right" w:leader="dot" w:pos="8485"/>
            </w:tabs>
          </w:pPr>
          <w:r>
            <w:fldChar w:fldCharType="begin"/>
          </w:r>
          <w:r>
            <w:instrText xml:space="preserve"> HYPERLINK \l _Toc26626 </w:instrText>
          </w:r>
          <w:r>
            <w:fldChar w:fldCharType="separate"/>
          </w:r>
          <w:r>
            <w:rPr>
              <w:rFonts w:hint="default"/>
            </w:rPr>
            <w:t xml:space="preserve">5.1.1. </w:t>
          </w:r>
          <w:r>
            <w:t>运维服务目录管理</w:t>
          </w:r>
          <w:r>
            <w:tab/>
          </w:r>
          <w:r>
            <w:fldChar w:fldCharType="begin"/>
          </w:r>
          <w:r>
            <w:instrText xml:space="preserve"> PAGEREF _Toc26626 \h </w:instrText>
          </w:r>
          <w:r>
            <w:fldChar w:fldCharType="separate"/>
          </w:r>
          <w:r>
            <w:t>7</w:t>
          </w:r>
          <w:r>
            <w:fldChar w:fldCharType="end"/>
          </w:r>
          <w:r>
            <w:fldChar w:fldCharType="end"/>
          </w:r>
        </w:p>
        <w:p w14:paraId="5328F763">
          <w:pPr>
            <w:pStyle w:val="13"/>
            <w:tabs>
              <w:tab w:val="right" w:leader="dot" w:pos="8485"/>
            </w:tabs>
          </w:pPr>
          <w:r>
            <w:fldChar w:fldCharType="begin"/>
          </w:r>
          <w:r>
            <w:instrText xml:space="preserve"> HYPERLINK \l _Toc23213 </w:instrText>
          </w:r>
          <w:r>
            <w:fldChar w:fldCharType="separate"/>
          </w:r>
          <w:r>
            <w:rPr>
              <w:rFonts w:hint="default"/>
            </w:rPr>
            <w:t xml:space="preserve">5.1.2. </w:t>
          </w:r>
          <w:r>
            <w:t>运维服务能力计划</w:t>
          </w:r>
          <w:r>
            <w:tab/>
          </w:r>
          <w:r>
            <w:fldChar w:fldCharType="begin"/>
          </w:r>
          <w:r>
            <w:instrText xml:space="preserve"> PAGEREF _Toc23213 \h </w:instrText>
          </w:r>
          <w:r>
            <w:fldChar w:fldCharType="separate"/>
          </w:r>
          <w:r>
            <w:t>7</w:t>
          </w:r>
          <w:r>
            <w:fldChar w:fldCharType="end"/>
          </w:r>
          <w:r>
            <w:fldChar w:fldCharType="end"/>
          </w:r>
        </w:p>
        <w:p w14:paraId="6C6D9D89">
          <w:pPr>
            <w:pStyle w:val="13"/>
            <w:tabs>
              <w:tab w:val="right" w:leader="dot" w:pos="8485"/>
            </w:tabs>
          </w:pPr>
          <w:r>
            <w:fldChar w:fldCharType="begin"/>
          </w:r>
          <w:r>
            <w:instrText xml:space="preserve"> HYPERLINK \l _Toc20562 </w:instrText>
          </w:r>
          <w:r>
            <w:fldChar w:fldCharType="separate"/>
          </w:r>
          <w:r>
            <w:rPr>
              <w:rFonts w:hint="default"/>
            </w:rPr>
            <w:t xml:space="preserve">5.1.3. </w:t>
          </w:r>
          <w:r>
            <w:t>运维服务质量计划</w:t>
          </w:r>
          <w:r>
            <w:tab/>
          </w:r>
          <w:r>
            <w:fldChar w:fldCharType="begin"/>
          </w:r>
          <w:r>
            <w:instrText xml:space="preserve"> PAGEREF _Toc20562 \h </w:instrText>
          </w:r>
          <w:r>
            <w:fldChar w:fldCharType="separate"/>
          </w:r>
          <w:r>
            <w:t>8</w:t>
          </w:r>
          <w:r>
            <w:fldChar w:fldCharType="end"/>
          </w:r>
          <w:r>
            <w:fldChar w:fldCharType="end"/>
          </w:r>
        </w:p>
        <w:p w14:paraId="6FE586F9">
          <w:pPr>
            <w:pStyle w:val="17"/>
            <w:tabs>
              <w:tab w:val="right" w:leader="dot" w:pos="8485"/>
            </w:tabs>
          </w:pPr>
          <w:r>
            <w:fldChar w:fldCharType="begin"/>
          </w:r>
          <w:r>
            <w:instrText xml:space="preserve"> HYPERLINK \l _Toc19168 </w:instrText>
          </w:r>
          <w:r>
            <w:fldChar w:fldCharType="separate"/>
          </w:r>
          <w:r>
            <w:rPr>
              <w:rFonts w:hint="default"/>
            </w:rPr>
            <w:t xml:space="preserve">5.2. </w:t>
          </w:r>
          <w:r>
            <w:t>实施</w:t>
          </w:r>
          <w:r>
            <w:tab/>
          </w:r>
          <w:r>
            <w:fldChar w:fldCharType="begin"/>
          </w:r>
          <w:r>
            <w:instrText xml:space="preserve"> PAGEREF _Toc19168 \h </w:instrText>
          </w:r>
          <w:r>
            <w:fldChar w:fldCharType="separate"/>
          </w:r>
          <w:r>
            <w:t>8</w:t>
          </w:r>
          <w:r>
            <w:fldChar w:fldCharType="end"/>
          </w:r>
          <w:r>
            <w:fldChar w:fldCharType="end"/>
          </w:r>
        </w:p>
        <w:p w14:paraId="4408ECF6">
          <w:pPr>
            <w:pStyle w:val="17"/>
            <w:tabs>
              <w:tab w:val="right" w:leader="dot" w:pos="8485"/>
            </w:tabs>
          </w:pPr>
          <w:r>
            <w:fldChar w:fldCharType="begin"/>
          </w:r>
          <w:r>
            <w:instrText xml:space="preserve"> HYPERLINK \l _Toc15216 </w:instrText>
          </w:r>
          <w:r>
            <w:fldChar w:fldCharType="separate"/>
          </w:r>
          <w:r>
            <w:rPr>
              <w:rFonts w:hint="default"/>
            </w:rPr>
            <w:t xml:space="preserve">5.3. </w:t>
          </w:r>
          <w:r>
            <w:t>检查</w:t>
          </w:r>
          <w:r>
            <w:tab/>
          </w:r>
          <w:r>
            <w:fldChar w:fldCharType="begin"/>
          </w:r>
          <w:r>
            <w:instrText xml:space="preserve"> PAGEREF _Toc15216 \h </w:instrText>
          </w:r>
          <w:r>
            <w:fldChar w:fldCharType="separate"/>
          </w:r>
          <w:r>
            <w:t>8</w:t>
          </w:r>
          <w:r>
            <w:fldChar w:fldCharType="end"/>
          </w:r>
          <w:r>
            <w:fldChar w:fldCharType="end"/>
          </w:r>
        </w:p>
        <w:p w14:paraId="64053E2A">
          <w:pPr>
            <w:pStyle w:val="13"/>
            <w:tabs>
              <w:tab w:val="right" w:leader="dot" w:pos="8485"/>
            </w:tabs>
          </w:pPr>
          <w:r>
            <w:fldChar w:fldCharType="begin"/>
          </w:r>
          <w:r>
            <w:instrText xml:space="preserve"> HYPERLINK \l _Toc12549 </w:instrText>
          </w:r>
          <w:r>
            <w:fldChar w:fldCharType="separate"/>
          </w:r>
          <w:r>
            <w:rPr>
              <w:rFonts w:hint="default"/>
            </w:rPr>
            <w:t xml:space="preserve">5.3.1. </w:t>
          </w:r>
          <w:r>
            <w:t>内审</w:t>
          </w:r>
          <w:r>
            <w:tab/>
          </w:r>
          <w:r>
            <w:fldChar w:fldCharType="begin"/>
          </w:r>
          <w:r>
            <w:instrText xml:space="preserve"> PAGEREF _Toc12549 \h </w:instrText>
          </w:r>
          <w:r>
            <w:fldChar w:fldCharType="separate"/>
          </w:r>
          <w:r>
            <w:t>9</w:t>
          </w:r>
          <w:r>
            <w:fldChar w:fldCharType="end"/>
          </w:r>
          <w:r>
            <w:fldChar w:fldCharType="end"/>
          </w:r>
        </w:p>
        <w:p w14:paraId="73802E1E">
          <w:pPr>
            <w:pStyle w:val="13"/>
            <w:tabs>
              <w:tab w:val="right" w:leader="dot" w:pos="8485"/>
            </w:tabs>
          </w:pPr>
          <w:r>
            <w:fldChar w:fldCharType="begin"/>
          </w:r>
          <w:r>
            <w:instrText xml:space="preserve"> HYPERLINK \l _Toc680 </w:instrText>
          </w:r>
          <w:r>
            <w:fldChar w:fldCharType="separate"/>
          </w:r>
          <w:r>
            <w:rPr>
              <w:rFonts w:hint="default"/>
            </w:rPr>
            <w:t xml:space="preserve">5.3.2. </w:t>
          </w:r>
          <w:r>
            <w:t>管理评审</w:t>
          </w:r>
          <w:r>
            <w:tab/>
          </w:r>
          <w:r>
            <w:fldChar w:fldCharType="begin"/>
          </w:r>
          <w:r>
            <w:instrText xml:space="preserve"> PAGEREF _Toc680 \h </w:instrText>
          </w:r>
          <w:r>
            <w:fldChar w:fldCharType="separate"/>
          </w:r>
          <w:r>
            <w:t>9</w:t>
          </w:r>
          <w:r>
            <w:fldChar w:fldCharType="end"/>
          </w:r>
          <w:r>
            <w:fldChar w:fldCharType="end"/>
          </w:r>
        </w:p>
        <w:p w14:paraId="45082E0B">
          <w:pPr>
            <w:pStyle w:val="13"/>
            <w:tabs>
              <w:tab w:val="right" w:leader="dot" w:pos="8485"/>
            </w:tabs>
          </w:pPr>
          <w:r>
            <w:fldChar w:fldCharType="begin"/>
          </w:r>
          <w:r>
            <w:instrText xml:space="preserve"> HYPERLINK \l _Toc7688 </w:instrText>
          </w:r>
          <w:r>
            <w:fldChar w:fldCharType="separate"/>
          </w:r>
          <w:r>
            <w:rPr>
              <w:rFonts w:hint="default"/>
            </w:rPr>
            <w:t xml:space="preserve">5.3.3. </w:t>
          </w:r>
          <w:r>
            <w:t>客户满意度</w:t>
          </w:r>
          <w:r>
            <w:tab/>
          </w:r>
          <w:r>
            <w:fldChar w:fldCharType="begin"/>
          </w:r>
          <w:r>
            <w:instrText xml:space="preserve"> PAGEREF _Toc7688 \h </w:instrText>
          </w:r>
          <w:r>
            <w:fldChar w:fldCharType="separate"/>
          </w:r>
          <w:r>
            <w:t>10</w:t>
          </w:r>
          <w:r>
            <w:fldChar w:fldCharType="end"/>
          </w:r>
          <w:r>
            <w:fldChar w:fldCharType="end"/>
          </w:r>
        </w:p>
        <w:p w14:paraId="6703E706">
          <w:pPr>
            <w:pStyle w:val="17"/>
            <w:tabs>
              <w:tab w:val="right" w:leader="dot" w:pos="8485"/>
            </w:tabs>
          </w:pPr>
          <w:r>
            <w:fldChar w:fldCharType="begin"/>
          </w:r>
          <w:r>
            <w:instrText xml:space="preserve"> HYPERLINK \l _Toc25795 </w:instrText>
          </w:r>
          <w:r>
            <w:fldChar w:fldCharType="separate"/>
          </w:r>
          <w:r>
            <w:rPr>
              <w:rFonts w:hint="default"/>
            </w:rPr>
            <w:t xml:space="preserve">5.4. </w:t>
          </w:r>
          <w:r>
            <w:t>改进</w:t>
          </w:r>
          <w:r>
            <w:tab/>
          </w:r>
          <w:r>
            <w:fldChar w:fldCharType="begin"/>
          </w:r>
          <w:r>
            <w:instrText xml:space="preserve"> PAGEREF _Toc25795 \h </w:instrText>
          </w:r>
          <w:r>
            <w:fldChar w:fldCharType="separate"/>
          </w:r>
          <w:r>
            <w:t>10</w:t>
          </w:r>
          <w:r>
            <w:fldChar w:fldCharType="end"/>
          </w:r>
          <w:r>
            <w:fldChar w:fldCharType="end"/>
          </w:r>
        </w:p>
        <w:p w14:paraId="4669B603">
          <w:pPr>
            <w:pStyle w:val="16"/>
            <w:tabs>
              <w:tab w:val="right" w:leader="dot" w:pos="8485"/>
            </w:tabs>
          </w:pPr>
          <w:r>
            <w:fldChar w:fldCharType="begin"/>
          </w:r>
          <w:r>
            <w:instrText xml:space="preserve"> HYPERLINK \l _Toc10477 </w:instrText>
          </w:r>
          <w:r>
            <w:fldChar w:fldCharType="separate"/>
          </w:r>
          <w:r>
            <w:rPr>
              <w:rFonts w:hint="default"/>
            </w:rPr>
            <w:t xml:space="preserve">6. </w:t>
          </w:r>
          <w:r>
            <w:t>交付</w:t>
          </w:r>
          <w:r>
            <w:tab/>
          </w:r>
          <w:r>
            <w:fldChar w:fldCharType="begin"/>
          </w:r>
          <w:r>
            <w:instrText xml:space="preserve"> PAGEREF _Toc10477 \h </w:instrText>
          </w:r>
          <w:r>
            <w:fldChar w:fldCharType="separate"/>
          </w:r>
          <w:r>
            <w:t>10</w:t>
          </w:r>
          <w:r>
            <w:fldChar w:fldCharType="end"/>
          </w:r>
          <w:r>
            <w:fldChar w:fldCharType="end"/>
          </w:r>
        </w:p>
        <w:p w14:paraId="71BF41D3">
          <w:pPr>
            <w:pStyle w:val="17"/>
            <w:tabs>
              <w:tab w:val="right" w:leader="dot" w:pos="8485"/>
            </w:tabs>
          </w:pPr>
          <w:r>
            <w:fldChar w:fldCharType="begin"/>
          </w:r>
          <w:r>
            <w:instrText xml:space="preserve"> HYPERLINK \l _Toc10892 </w:instrText>
          </w:r>
          <w:r>
            <w:fldChar w:fldCharType="separate"/>
          </w:r>
          <w:r>
            <w:rPr>
              <w:rFonts w:hint="default"/>
            </w:rPr>
            <w:t xml:space="preserve">6.1. </w:t>
          </w:r>
          <w:r>
            <w:t>交付策划</w:t>
          </w:r>
          <w:r>
            <w:tab/>
          </w:r>
          <w:r>
            <w:fldChar w:fldCharType="begin"/>
          </w:r>
          <w:r>
            <w:instrText xml:space="preserve"> PAGEREF _Toc10892 \h </w:instrText>
          </w:r>
          <w:r>
            <w:fldChar w:fldCharType="separate"/>
          </w:r>
          <w:r>
            <w:t>10</w:t>
          </w:r>
          <w:r>
            <w:fldChar w:fldCharType="end"/>
          </w:r>
          <w:r>
            <w:fldChar w:fldCharType="end"/>
          </w:r>
        </w:p>
        <w:p w14:paraId="7DD56260">
          <w:pPr>
            <w:pStyle w:val="17"/>
            <w:tabs>
              <w:tab w:val="right" w:leader="dot" w:pos="8485"/>
            </w:tabs>
          </w:pPr>
          <w:r>
            <w:fldChar w:fldCharType="begin"/>
          </w:r>
          <w:r>
            <w:instrText xml:space="preserve"> HYPERLINK \l _Toc13772 </w:instrText>
          </w:r>
          <w:r>
            <w:fldChar w:fldCharType="separate"/>
          </w:r>
          <w:r>
            <w:rPr>
              <w:rFonts w:hint="default"/>
            </w:rPr>
            <w:t xml:space="preserve">6.2. </w:t>
          </w:r>
          <w:r>
            <w:t>交付实施</w:t>
          </w:r>
          <w:r>
            <w:tab/>
          </w:r>
          <w:r>
            <w:fldChar w:fldCharType="begin"/>
          </w:r>
          <w:r>
            <w:instrText xml:space="preserve"> PAGEREF _Toc13772 \h </w:instrText>
          </w:r>
          <w:r>
            <w:fldChar w:fldCharType="separate"/>
          </w:r>
          <w:r>
            <w:t>11</w:t>
          </w:r>
          <w:r>
            <w:fldChar w:fldCharType="end"/>
          </w:r>
          <w:r>
            <w:fldChar w:fldCharType="end"/>
          </w:r>
        </w:p>
        <w:p w14:paraId="78D17BA5">
          <w:pPr>
            <w:pStyle w:val="17"/>
            <w:tabs>
              <w:tab w:val="right" w:leader="dot" w:pos="8485"/>
            </w:tabs>
          </w:pPr>
          <w:r>
            <w:fldChar w:fldCharType="begin"/>
          </w:r>
          <w:r>
            <w:instrText xml:space="preserve"> HYPERLINK \l _Toc13413 </w:instrText>
          </w:r>
          <w:r>
            <w:fldChar w:fldCharType="separate"/>
          </w:r>
          <w:r>
            <w:rPr>
              <w:rFonts w:hint="default"/>
            </w:rPr>
            <w:t xml:space="preserve">6.3. </w:t>
          </w:r>
          <w:r>
            <w:t>交付检查</w:t>
          </w:r>
          <w:r>
            <w:tab/>
          </w:r>
          <w:r>
            <w:fldChar w:fldCharType="begin"/>
          </w:r>
          <w:r>
            <w:instrText xml:space="preserve"> PAGEREF _Toc13413 \h </w:instrText>
          </w:r>
          <w:r>
            <w:fldChar w:fldCharType="separate"/>
          </w:r>
          <w:r>
            <w:t>11</w:t>
          </w:r>
          <w:r>
            <w:fldChar w:fldCharType="end"/>
          </w:r>
          <w:r>
            <w:fldChar w:fldCharType="end"/>
          </w:r>
        </w:p>
        <w:p w14:paraId="67B17F3B">
          <w:pPr>
            <w:pStyle w:val="17"/>
            <w:tabs>
              <w:tab w:val="right" w:leader="dot" w:pos="8485"/>
            </w:tabs>
          </w:pPr>
          <w:r>
            <w:fldChar w:fldCharType="begin"/>
          </w:r>
          <w:r>
            <w:instrText xml:space="preserve"> HYPERLINK \l _Toc9593 </w:instrText>
          </w:r>
          <w:r>
            <w:fldChar w:fldCharType="separate"/>
          </w:r>
          <w:r>
            <w:rPr>
              <w:rFonts w:hint="default"/>
            </w:rPr>
            <w:t xml:space="preserve">6.4. </w:t>
          </w:r>
          <w:r>
            <w:t>交付改进</w:t>
          </w:r>
          <w:r>
            <w:tab/>
          </w:r>
          <w:r>
            <w:fldChar w:fldCharType="begin"/>
          </w:r>
          <w:r>
            <w:instrText xml:space="preserve"> PAGEREF _Toc9593 \h </w:instrText>
          </w:r>
          <w:r>
            <w:fldChar w:fldCharType="separate"/>
          </w:r>
          <w:r>
            <w:t>11</w:t>
          </w:r>
          <w:r>
            <w:fldChar w:fldCharType="end"/>
          </w:r>
          <w:r>
            <w:fldChar w:fldCharType="end"/>
          </w:r>
        </w:p>
        <w:p w14:paraId="40656DAC">
          <w:pPr>
            <w:pStyle w:val="16"/>
            <w:tabs>
              <w:tab w:val="right" w:leader="dot" w:pos="8485"/>
            </w:tabs>
          </w:pPr>
          <w:r>
            <w:fldChar w:fldCharType="begin"/>
          </w:r>
          <w:r>
            <w:instrText xml:space="preserve"> HYPERLINK \l _Toc25038 </w:instrText>
          </w:r>
          <w:r>
            <w:fldChar w:fldCharType="separate"/>
          </w:r>
          <w:r>
            <w:rPr>
              <w:rFonts w:hint="default"/>
            </w:rPr>
            <w:t xml:space="preserve">7. </w:t>
          </w:r>
          <w:r>
            <w:t>应急</w:t>
          </w:r>
          <w:r>
            <w:tab/>
          </w:r>
          <w:r>
            <w:fldChar w:fldCharType="begin"/>
          </w:r>
          <w:r>
            <w:instrText xml:space="preserve"> PAGEREF _Toc25038 \h </w:instrText>
          </w:r>
          <w:r>
            <w:fldChar w:fldCharType="separate"/>
          </w:r>
          <w:r>
            <w:t>11</w:t>
          </w:r>
          <w:r>
            <w:fldChar w:fldCharType="end"/>
          </w:r>
          <w:r>
            <w:fldChar w:fldCharType="end"/>
          </w:r>
        </w:p>
        <w:p w14:paraId="208CCF8E">
          <w:pPr>
            <w:pStyle w:val="17"/>
            <w:tabs>
              <w:tab w:val="right" w:leader="dot" w:pos="8485"/>
            </w:tabs>
          </w:pPr>
          <w:r>
            <w:fldChar w:fldCharType="begin"/>
          </w:r>
          <w:r>
            <w:instrText xml:space="preserve"> HYPERLINK \l _Toc15247 </w:instrText>
          </w:r>
          <w:r>
            <w:fldChar w:fldCharType="separate"/>
          </w:r>
          <w:r>
            <w:rPr>
              <w:rFonts w:hint="default"/>
            </w:rPr>
            <w:t xml:space="preserve">7.1. </w:t>
          </w:r>
          <w:r>
            <w:t>应急准备</w:t>
          </w:r>
          <w:r>
            <w:tab/>
          </w:r>
          <w:r>
            <w:fldChar w:fldCharType="begin"/>
          </w:r>
          <w:r>
            <w:instrText xml:space="preserve"> PAGEREF _Toc15247 \h </w:instrText>
          </w:r>
          <w:r>
            <w:fldChar w:fldCharType="separate"/>
          </w:r>
          <w:r>
            <w:t>11</w:t>
          </w:r>
          <w:r>
            <w:fldChar w:fldCharType="end"/>
          </w:r>
          <w:r>
            <w:fldChar w:fldCharType="end"/>
          </w:r>
        </w:p>
        <w:p w14:paraId="1053E7F0">
          <w:pPr>
            <w:pStyle w:val="13"/>
            <w:tabs>
              <w:tab w:val="right" w:leader="dot" w:pos="8485"/>
            </w:tabs>
          </w:pPr>
          <w:r>
            <w:fldChar w:fldCharType="begin"/>
          </w:r>
          <w:r>
            <w:instrText xml:space="preserve"> HYPERLINK \l _Toc2497 </w:instrText>
          </w:r>
          <w:r>
            <w:fldChar w:fldCharType="separate"/>
          </w:r>
          <w:r>
            <w:rPr>
              <w:rFonts w:hint="default"/>
            </w:rPr>
            <w:t xml:space="preserve">7.1.1. </w:t>
          </w:r>
          <w:r>
            <w:t>应急响应组织</w:t>
          </w:r>
          <w:r>
            <w:tab/>
          </w:r>
          <w:r>
            <w:fldChar w:fldCharType="begin"/>
          </w:r>
          <w:r>
            <w:instrText xml:space="preserve"> PAGEREF _Toc2497 \h </w:instrText>
          </w:r>
          <w:r>
            <w:fldChar w:fldCharType="separate"/>
          </w:r>
          <w:r>
            <w:t>12</w:t>
          </w:r>
          <w:r>
            <w:fldChar w:fldCharType="end"/>
          </w:r>
          <w:r>
            <w:fldChar w:fldCharType="end"/>
          </w:r>
        </w:p>
        <w:p w14:paraId="1128BF5A">
          <w:pPr>
            <w:pStyle w:val="13"/>
            <w:tabs>
              <w:tab w:val="right" w:leader="dot" w:pos="8485"/>
            </w:tabs>
          </w:pPr>
          <w:r>
            <w:fldChar w:fldCharType="begin"/>
          </w:r>
          <w:r>
            <w:instrText xml:space="preserve"> HYPERLINK \l _Toc13754 </w:instrText>
          </w:r>
          <w:r>
            <w:fldChar w:fldCharType="separate"/>
          </w:r>
          <w:r>
            <w:rPr>
              <w:rFonts w:hint="default"/>
            </w:rPr>
            <w:t xml:space="preserve">7.1.2. </w:t>
          </w:r>
          <w:r>
            <w:t>应急响应制度</w:t>
          </w:r>
          <w:r>
            <w:tab/>
          </w:r>
          <w:r>
            <w:fldChar w:fldCharType="begin"/>
          </w:r>
          <w:r>
            <w:instrText xml:space="preserve"> PAGEREF _Toc13754 \h </w:instrText>
          </w:r>
          <w:r>
            <w:fldChar w:fldCharType="separate"/>
          </w:r>
          <w:r>
            <w:t>12</w:t>
          </w:r>
          <w:r>
            <w:fldChar w:fldCharType="end"/>
          </w:r>
          <w:r>
            <w:fldChar w:fldCharType="end"/>
          </w:r>
        </w:p>
        <w:p w14:paraId="012BCFAF">
          <w:pPr>
            <w:pStyle w:val="13"/>
            <w:tabs>
              <w:tab w:val="right" w:leader="dot" w:pos="8485"/>
            </w:tabs>
          </w:pPr>
          <w:r>
            <w:fldChar w:fldCharType="begin"/>
          </w:r>
          <w:r>
            <w:instrText xml:space="preserve"> HYPERLINK \l _Toc13138 </w:instrText>
          </w:r>
          <w:r>
            <w:fldChar w:fldCharType="separate"/>
          </w:r>
          <w:r>
            <w:rPr>
              <w:rFonts w:hint="default"/>
            </w:rPr>
            <w:t xml:space="preserve">7.1.3. </w:t>
          </w:r>
          <w:r>
            <w:t>风险评估与改进</w:t>
          </w:r>
          <w:r>
            <w:tab/>
          </w:r>
          <w:r>
            <w:fldChar w:fldCharType="begin"/>
          </w:r>
          <w:r>
            <w:instrText xml:space="preserve"> PAGEREF _Toc13138 \h </w:instrText>
          </w:r>
          <w:r>
            <w:fldChar w:fldCharType="separate"/>
          </w:r>
          <w:r>
            <w:t>12</w:t>
          </w:r>
          <w:r>
            <w:fldChar w:fldCharType="end"/>
          </w:r>
          <w:r>
            <w:fldChar w:fldCharType="end"/>
          </w:r>
        </w:p>
        <w:p w14:paraId="560C45AE">
          <w:pPr>
            <w:pStyle w:val="13"/>
            <w:tabs>
              <w:tab w:val="right" w:leader="dot" w:pos="8485"/>
            </w:tabs>
          </w:pPr>
          <w:r>
            <w:fldChar w:fldCharType="begin"/>
          </w:r>
          <w:r>
            <w:instrText xml:space="preserve"> HYPERLINK \l _Toc9845 </w:instrText>
          </w:r>
          <w:r>
            <w:fldChar w:fldCharType="separate"/>
          </w:r>
          <w:r>
            <w:rPr>
              <w:rFonts w:hint="default"/>
            </w:rPr>
            <w:t xml:space="preserve">7.1.4. </w:t>
          </w:r>
          <w:r>
            <w:t>应急事件级别划分</w:t>
          </w:r>
          <w:r>
            <w:tab/>
          </w:r>
          <w:r>
            <w:fldChar w:fldCharType="begin"/>
          </w:r>
          <w:r>
            <w:instrText xml:space="preserve"> PAGEREF _Toc9845 \h </w:instrText>
          </w:r>
          <w:r>
            <w:fldChar w:fldCharType="separate"/>
          </w:r>
          <w:r>
            <w:t>13</w:t>
          </w:r>
          <w:r>
            <w:fldChar w:fldCharType="end"/>
          </w:r>
          <w:r>
            <w:fldChar w:fldCharType="end"/>
          </w:r>
        </w:p>
        <w:p w14:paraId="2D2597A8">
          <w:pPr>
            <w:pStyle w:val="13"/>
            <w:tabs>
              <w:tab w:val="right" w:leader="dot" w:pos="8485"/>
            </w:tabs>
          </w:pPr>
          <w:r>
            <w:fldChar w:fldCharType="begin"/>
          </w:r>
          <w:r>
            <w:instrText xml:space="preserve"> HYPERLINK \l _Toc30712 </w:instrText>
          </w:r>
          <w:r>
            <w:fldChar w:fldCharType="separate"/>
          </w:r>
          <w:r>
            <w:rPr>
              <w:rFonts w:hint="default"/>
            </w:rPr>
            <w:t xml:space="preserve">7.1.5. </w:t>
          </w:r>
          <w:r>
            <w:t>应急响应预案制定</w:t>
          </w:r>
          <w:r>
            <w:tab/>
          </w:r>
          <w:r>
            <w:fldChar w:fldCharType="begin"/>
          </w:r>
          <w:r>
            <w:instrText xml:space="preserve"> PAGEREF _Toc30712 \h </w:instrText>
          </w:r>
          <w:r>
            <w:fldChar w:fldCharType="separate"/>
          </w:r>
          <w:r>
            <w:t>13</w:t>
          </w:r>
          <w:r>
            <w:fldChar w:fldCharType="end"/>
          </w:r>
          <w:r>
            <w:fldChar w:fldCharType="end"/>
          </w:r>
        </w:p>
        <w:p w14:paraId="5639E0DE">
          <w:pPr>
            <w:pStyle w:val="17"/>
            <w:tabs>
              <w:tab w:val="right" w:leader="dot" w:pos="8485"/>
            </w:tabs>
          </w:pPr>
          <w:r>
            <w:fldChar w:fldCharType="begin"/>
          </w:r>
          <w:r>
            <w:instrText xml:space="preserve"> HYPERLINK \l _Toc30362 </w:instrText>
          </w:r>
          <w:r>
            <w:fldChar w:fldCharType="separate"/>
          </w:r>
          <w:r>
            <w:rPr>
              <w:rFonts w:hint="default"/>
            </w:rPr>
            <w:t xml:space="preserve">7.2. </w:t>
          </w:r>
          <w:r>
            <w:t>监测与预警</w:t>
          </w:r>
          <w:r>
            <w:tab/>
          </w:r>
          <w:r>
            <w:fldChar w:fldCharType="begin"/>
          </w:r>
          <w:r>
            <w:instrText xml:space="preserve"> PAGEREF _Toc30362 \h </w:instrText>
          </w:r>
          <w:r>
            <w:fldChar w:fldCharType="separate"/>
          </w:r>
          <w:r>
            <w:t>14</w:t>
          </w:r>
          <w:r>
            <w:fldChar w:fldCharType="end"/>
          </w:r>
          <w:r>
            <w:fldChar w:fldCharType="end"/>
          </w:r>
        </w:p>
        <w:p w14:paraId="4A0F9898">
          <w:pPr>
            <w:pStyle w:val="13"/>
            <w:tabs>
              <w:tab w:val="right" w:leader="dot" w:pos="8485"/>
            </w:tabs>
          </w:pPr>
          <w:r>
            <w:fldChar w:fldCharType="begin"/>
          </w:r>
          <w:r>
            <w:instrText xml:space="preserve"> HYPERLINK \l _Toc1380 </w:instrText>
          </w:r>
          <w:r>
            <w:fldChar w:fldCharType="separate"/>
          </w:r>
          <w:r>
            <w:rPr>
              <w:rFonts w:hint="default"/>
            </w:rPr>
            <w:t xml:space="preserve">7.2.1. </w:t>
          </w:r>
          <w:r>
            <w:t>日常监测与预警</w:t>
          </w:r>
          <w:r>
            <w:tab/>
          </w:r>
          <w:r>
            <w:fldChar w:fldCharType="begin"/>
          </w:r>
          <w:r>
            <w:instrText xml:space="preserve"> PAGEREF _Toc1380 \h </w:instrText>
          </w:r>
          <w:r>
            <w:fldChar w:fldCharType="separate"/>
          </w:r>
          <w:r>
            <w:t>14</w:t>
          </w:r>
          <w:r>
            <w:fldChar w:fldCharType="end"/>
          </w:r>
          <w:r>
            <w:fldChar w:fldCharType="end"/>
          </w:r>
        </w:p>
        <w:p w14:paraId="75A2F8F6">
          <w:pPr>
            <w:pStyle w:val="13"/>
            <w:tabs>
              <w:tab w:val="right" w:leader="dot" w:pos="8485"/>
            </w:tabs>
          </w:pPr>
          <w:r>
            <w:fldChar w:fldCharType="begin"/>
          </w:r>
          <w:r>
            <w:instrText xml:space="preserve"> HYPERLINK \l _Toc19562 </w:instrText>
          </w:r>
          <w:r>
            <w:fldChar w:fldCharType="separate"/>
          </w:r>
          <w:r>
            <w:rPr>
              <w:rFonts w:hint="default"/>
            </w:rPr>
            <w:t xml:space="preserve">7.2.2. </w:t>
          </w:r>
          <w:r>
            <w:t>事件评估</w:t>
          </w:r>
          <w:r>
            <w:tab/>
          </w:r>
          <w:r>
            <w:fldChar w:fldCharType="begin"/>
          </w:r>
          <w:r>
            <w:instrText xml:space="preserve"> PAGEREF _Toc19562 \h </w:instrText>
          </w:r>
          <w:r>
            <w:fldChar w:fldCharType="separate"/>
          </w:r>
          <w:r>
            <w:t>15</w:t>
          </w:r>
          <w:r>
            <w:fldChar w:fldCharType="end"/>
          </w:r>
          <w:r>
            <w:fldChar w:fldCharType="end"/>
          </w:r>
        </w:p>
        <w:p w14:paraId="2636F732">
          <w:pPr>
            <w:pStyle w:val="17"/>
            <w:tabs>
              <w:tab w:val="right" w:leader="dot" w:pos="8485"/>
            </w:tabs>
          </w:pPr>
          <w:r>
            <w:fldChar w:fldCharType="begin"/>
          </w:r>
          <w:r>
            <w:instrText xml:space="preserve"> HYPERLINK \l _Toc8918 </w:instrText>
          </w:r>
          <w:r>
            <w:fldChar w:fldCharType="separate"/>
          </w:r>
          <w:r>
            <w:rPr>
              <w:rFonts w:hint="default"/>
            </w:rPr>
            <w:t xml:space="preserve">7.3. </w:t>
          </w:r>
          <w:r>
            <w:t>应急处置</w:t>
          </w:r>
          <w:r>
            <w:tab/>
          </w:r>
          <w:r>
            <w:fldChar w:fldCharType="begin"/>
          </w:r>
          <w:r>
            <w:instrText xml:space="preserve"> PAGEREF _Toc8918 \h </w:instrText>
          </w:r>
          <w:r>
            <w:fldChar w:fldCharType="separate"/>
          </w:r>
          <w:r>
            <w:t>15</w:t>
          </w:r>
          <w:r>
            <w:fldChar w:fldCharType="end"/>
          </w:r>
          <w:r>
            <w:fldChar w:fldCharType="end"/>
          </w:r>
        </w:p>
        <w:p w14:paraId="1BEC16BD">
          <w:pPr>
            <w:pStyle w:val="13"/>
            <w:tabs>
              <w:tab w:val="right" w:leader="dot" w:pos="8485"/>
            </w:tabs>
          </w:pPr>
          <w:r>
            <w:fldChar w:fldCharType="begin"/>
          </w:r>
          <w:r>
            <w:instrText xml:space="preserve"> HYPERLINK \l _Toc19462 </w:instrText>
          </w:r>
          <w:r>
            <w:fldChar w:fldCharType="separate"/>
          </w:r>
          <w:r>
            <w:rPr>
              <w:rFonts w:hint="default"/>
            </w:rPr>
            <w:t xml:space="preserve">7.3.1. </w:t>
          </w:r>
          <w:r>
            <w:t>排查与诊断</w:t>
          </w:r>
          <w:r>
            <w:tab/>
          </w:r>
          <w:r>
            <w:fldChar w:fldCharType="begin"/>
          </w:r>
          <w:r>
            <w:instrText xml:space="preserve"> PAGEREF _Toc19462 \h </w:instrText>
          </w:r>
          <w:r>
            <w:fldChar w:fldCharType="separate"/>
          </w:r>
          <w:r>
            <w:t>15</w:t>
          </w:r>
          <w:r>
            <w:fldChar w:fldCharType="end"/>
          </w:r>
          <w:r>
            <w:fldChar w:fldCharType="end"/>
          </w:r>
        </w:p>
        <w:p w14:paraId="325B9B97">
          <w:pPr>
            <w:pStyle w:val="13"/>
            <w:tabs>
              <w:tab w:val="right" w:leader="dot" w:pos="8485"/>
            </w:tabs>
          </w:pPr>
          <w:r>
            <w:fldChar w:fldCharType="begin"/>
          </w:r>
          <w:r>
            <w:instrText xml:space="preserve"> HYPERLINK \l _Toc32332 </w:instrText>
          </w:r>
          <w:r>
            <w:fldChar w:fldCharType="separate"/>
          </w:r>
          <w:r>
            <w:rPr>
              <w:rFonts w:hint="default"/>
            </w:rPr>
            <w:t xml:space="preserve">7.3.2. </w:t>
          </w:r>
          <w:r>
            <w:t>处理与恢复</w:t>
          </w:r>
          <w:r>
            <w:tab/>
          </w:r>
          <w:r>
            <w:fldChar w:fldCharType="begin"/>
          </w:r>
          <w:r>
            <w:instrText xml:space="preserve"> PAGEREF _Toc32332 \h </w:instrText>
          </w:r>
          <w:r>
            <w:fldChar w:fldCharType="separate"/>
          </w:r>
          <w:r>
            <w:t>15</w:t>
          </w:r>
          <w:r>
            <w:fldChar w:fldCharType="end"/>
          </w:r>
          <w:r>
            <w:fldChar w:fldCharType="end"/>
          </w:r>
        </w:p>
        <w:p w14:paraId="52C9427F">
          <w:pPr>
            <w:pStyle w:val="13"/>
            <w:tabs>
              <w:tab w:val="right" w:leader="dot" w:pos="8485"/>
            </w:tabs>
          </w:pPr>
          <w:r>
            <w:fldChar w:fldCharType="begin"/>
          </w:r>
          <w:r>
            <w:instrText xml:space="preserve"> HYPERLINK \l _Toc1127 </w:instrText>
          </w:r>
          <w:r>
            <w:fldChar w:fldCharType="separate"/>
          </w:r>
          <w:r>
            <w:rPr>
              <w:rFonts w:hint="default"/>
            </w:rPr>
            <w:t xml:space="preserve">7.3.3. </w:t>
          </w:r>
          <w:r>
            <w:t>事件升级</w:t>
          </w:r>
          <w:r>
            <w:tab/>
          </w:r>
          <w:r>
            <w:fldChar w:fldCharType="begin"/>
          </w:r>
          <w:r>
            <w:instrText xml:space="preserve"> PAGEREF _Toc1127 \h </w:instrText>
          </w:r>
          <w:r>
            <w:fldChar w:fldCharType="separate"/>
          </w:r>
          <w:r>
            <w:t>15</w:t>
          </w:r>
          <w:r>
            <w:fldChar w:fldCharType="end"/>
          </w:r>
          <w:r>
            <w:fldChar w:fldCharType="end"/>
          </w:r>
        </w:p>
        <w:p w14:paraId="3AACC810">
          <w:pPr>
            <w:pStyle w:val="13"/>
            <w:tabs>
              <w:tab w:val="right" w:leader="dot" w:pos="8485"/>
            </w:tabs>
          </w:pPr>
          <w:r>
            <w:fldChar w:fldCharType="begin"/>
          </w:r>
          <w:r>
            <w:instrText xml:space="preserve"> HYPERLINK \l _Toc26628 </w:instrText>
          </w:r>
          <w:r>
            <w:fldChar w:fldCharType="separate"/>
          </w:r>
          <w:r>
            <w:rPr>
              <w:rFonts w:hint="default"/>
            </w:rPr>
            <w:t xml:space="preserve">7.3.4. </w:t>
          </w:r>
          <w:r>
            <w:t>信息通报</w:t>
          </w:r>
          <w:r>
            <w:tab/>
          </w:r>
          <w:r>
            <w:fldChar w:fldCharType="begin"/>
          </w:r>
          <w:r>
            <w:instrText xml:space="preserve"> PAGEREF _Toc26628 \h </w:instrText>
          </w:r>
          <w:r>
            <w:fldChar w:fldCharType="separate"/>
          </w:r>
          <w:r>
            <w:t>16</w:t>
          </w:r>
          <w:r>
            <w:fldChar w:fldCharType="end"/>
          </w:r>
          <w:r>
            <w:fldChar w:fldCharType="end"/>
          </w:r>
        </w:p>
        <w:p w14:paraId="7CC0F73A">
          <w:pPr>
            <w:pStyle w:val="13"/>
            <w:tabs>
              <w:tab w:val="right" w:leader="dot" w:pos="8485"/>
            </w:tabs>
          </w:pPr>
          <w:r>
            <w:fldChar w:fldCharType="begin"/>
          </w:r>
          <w:r>
            <w:instrText xml:space="preserve"> HYPERLINK \l _Toc13651 </w:instrText>
          </w:r>
          <w:r>
            <w:fldChar w:fldCharType="separate"/>
          </w:r>
          <w:r>
            <w:rPr>
              <w:rFonts w:hint="default"/>
            </w:rPr>
            <w:t xml:space="preserve">7.3.5. </w:t>
          </w:r>
          <w:r>
            <w:t>持续服务</w:t>
          </w:r>
          <w:r>
            <w:tab/>
          </w:r>
          <w:r>
            <w:fldChar w:fldCharType="begin"/>
          </w:r>
          <w:r>
            <w:instrText xml:space="preserve"> PAGEREF _Toc13651 \h </w:instrText>
          </w:r>
          <w:r>
            <w:fldChar w:fldCharType="separate"/>
          </w:r>
          <w:r>
            <w:t>16</w:t>
          </w:r>
          <w:r>
            <w:fldChar w:fldCharType="end"/>
          </w:r>
          <w:r>
            <w:fldChar w:fldCharType="end"/>
          </w:r>
        </w:p>
        <w:p w14:paraId="75DB210D">
          <w:pPr>
            <w:pStyle w:val="13"/>
            <w:tabs>
              <w:tab w:val="right" w:leader="dot" w:pos="8485"/>
            </w:tabs>
          </w:pPr>
          <w:r>
            <w:fldChar w:fldCharType="begin"/>
          </w:r>
          <w:r>
            <w:instrText xml:space="preserve"> HYPERLINK \l _Toc5922 </w:instrText>
          </w:r>
          <w:r>
            <w:fldChar w:fldCharType="separate"/>
          </w:r>
          <w:r>
            <w:rPr>
              <w:rFonts w:hint="default"/>
            </w:rPr>
            <w:t xml:space="preserve">7.3.6. </w:t>
          </w:r>
          <w:r>
            <w:t>事件关闭</w:t>
          </w:r>
          <w:r>
            <w:tab/>
          </w:r>
          <w:r>
            <w:fldChar w:fldCharType="begin"/>
          </w:r>
          <w:r>
            <w:instrText xml:space="preserve"> PAGEREF _Toc5922 \h </w:instrText>
          </w:r>
          <w:r>
            <w:fldChar w:fldCharType="separate"/>
          </w:r>
          <w:r>
            <w:t>16</w:t>
          </w:r>
          <w:r>
            <w:fldChar w:fldCharType="end"/>
          </w:r>
          <w:r>
            <w:fldChar w:fldCharType="end"/>
          </w:r>
        </w:p>
        <w:p w14:paraId="37BCF2EF">
          <w:pPr>
            <w:pStyle w:val="16"/>
            <w:tabs>
              <w:tab w:val="right" w:leader="dot" w:pos="8485"/>
            </w:tabs>
          </w:pPr>
          <w:r>
            <w:fldChar w:fldCharType="begin"/>
          </w:r>
          <w:r>
            <w:instrText xml:space="preserve"> HYPERLINK \l _Toc15856 </w:instrText>
          </w:r>
          <w:r>
            <w:fldChar w:fldCharType="separate"/>
          </w:r>
          <w:r>
            <w:rPr>
              <w:rFonts w:hint="default"/>
            </w:rPr>
            <w:t xml:space="preserve">8. </w:t>
          </w:r>
          <w:r>
            <w:t>人员</w:t>
          </w:r>
          <w:r>
            <w:tab/>
          </w:r>
          <w:r>
            <w:fldChar w:fldCharType="begin"/>
          </w:r>
          <w:r>
            <w:instrText xml:space="preserve"> PAGEREF _Toc15856 \h </w:instrText>
          </w:r>
          <w:r>
            <w:fldChar w:fldCharType="separate"/>
          </w:r>
          <w:r>
            <w:t>16</w:t>
          </w:r>
          <w:r>
            <w:fldChar w:fldCharType="end"/>
          </w:r>
          <w:r>
            <w:fldChar w:fldCharType="end"/>
          </w:r>
        </w:p>
        <w:p w14:paraId="55B70915">
          <w:pPr>
            <w:pStyle w:val="17"/>
            <w:tabs>
              <w:tab w:val="right" w:leader="dot" w:pos="8485"/>
            </w:tabs>
          </w:pPr>
          <w:r>
            <w:fldChar w:fldCharType="begin"/>
          </w:r>
          <w:r>
            <w:instrText xml:space="preserve"> HYPERLINK \l _Toc10367 </w:instrText>
          </w:r>
          <w:r>
            <w:fldChar w:fldCharType="separate"/>
          </w:r>
          <w:r>
            <w:rPr>
              <w:rFonts w:hint="default"/>
            </w:rPr>
            <w:t xml:space="preserve">8.1. </w:t>
          </w:r>
          <w:r>
            <w:t>人员管理</w:t>
          </w:r>
          <w:r>
            <w:tab/>
          </w:r>
          <w:r>
            <w:fldChar w:fldCharType="begin"/>
          </w:r>
          <w:r>
            <w:instrText xml:space="preserve"> PAGEREF _Toc10367 \h </w:instrText>
          </w:r>
          <w:r>
            <w:fldChar w:fldCharType="separate"/>
          </w:r>
          <w:r>
            <w:t>16</w:t>
          </w:r>
          <w:r>
            <w:fldChar w:fldCharType="end"/>
          </w:r>
          <w:r>
            <w:fldChar w:fldCharType="end"/>
          </w:r>
        </w:p>
        <w:p w14:paraId="780EDA55">
          <w:pPr>
            <w:pStyle w:val="17"/>
            <w:tabs>
              <w:tab w:val="right" w:leader="dot" w:pos="8485"/>
            </w:tabs>
          </w:pPr>
          <w:r>
            <w:fldChar w:fldCharType="begin"/>
          </w:r>
          <w:r>
            <w:instrText xml:space="preserve"> HYPERLINK \l _Toc16602 </w:instrText>
          </w:r>
          <w:r>
            <w:fldChar w:fldCharType="separate"/>
          </w:r>
          <w:r>
            <w:rPr>
              <w:rFonts w:hint="default"/>
            </w:rPr>
            <w:t xml:space="preserve">8.2. </w:t>
          </w:r>
          <w:r>
            <w:t>岗位结构</w:t>
          </w:r>
          <w:r>
            <w:tab/>
          </w:r>
          <w:r>
            <w:fldChar w:fldCharType="begin"/>
          </w:r>
          <w:r>
            <w:instrText xml:space="preserve"> PAGEREF _Toc16602 \h </w:instrText>
          </w:r>
          <w:r>
            <w:fldChar w:fldCharType="separate"/>
          </w:r>
          <w:r>
            <w:t>17</w:t>
          </w:r>
          <w:r>
            <w:fldChar w:fldCharType="end"/>
          </w:r>
          <w:r>
            <w:fldChar w:fldCharType="end"/>
          </w:r>
        </w:p>
        <w:p w14:paraId="543B93EE">
          <w:pPr>
            <w:pStyle w:val="17"/>
            <w:tabs>
              <w:tab w:val="right" w:leader="dot" w:pos="8485"/>
            </w:tabs>
          </w:pPr>
          <w:r>
            <w:fldChar w:fldCharType="begin"/>
          </w:r>
          <w:r>
            <w:instrText xml:space="preserve"> HYPERLINK \l _Toc20708 </w:instrText>
          </w:r>
          <w:r>
            <w:fldChar w:fldCharType="separate"/>
          </w:r>
          <w:r>
            <w:rPr>
              <w:rFonts w:hint="default"/>
            </w:rPr>
            <w:t xml:space="preserve">8.3. </w:t>
          </w:r>
          <w:r>
            <w:t>知识</w:t>
          </w:r>
          <w:r>
            <w:tab/>
          </w:r>
          <w:r>
            <w:fldChar w:fldCharType="begin"/>
          </w:r>
          <w:r>
            <w:instrText xml:space="preserve"> PAGEREF _Toc20708 \h </w:instrText>
          </w:r>
          <w:r>
            <w:fldChar w:fldCharType="separate"/>
          </w:r>
          <w:r>
            <w:t>17</w:t>
          </w:r>
          <w:r>
            <w:fldChar w:fldCharType="end"/>
          </w:r>
          <w:r>
            <w:fldChar w:fldCharType="end"/>
          </w:r>
        </w:p>
        <w:p w14:paraId="08E3E67A">
          <w:pPr>
            <w:pStyle w:val="17"/>
            <w:tabs>
              <w:tab w:val="right" w:leader="dot" w:pos="8485"/>
            </w:tabs>
          </w:pPr>
          <w:r>
            <w:fldChar w:fldCharType="begin"/>
          </w:r>
          <w:r>
            <w:instrText xml:space="preserve"> HYPERLINK \l _Toc12770 </w:instrText>
          </w:r>
          <w:r>
            <w:fldChar w:fldCharType="separate"/>
          </w:r>
          <w:r>
            <w:rPr>
              <w:rFonts w:hint="default"/>
            </w:rPr>
            <w:t xml:space="preserve">8.4. </w:t>
          </w:r>
          <w:r>
            <w:t>技能</w:t>
          </w:r>
          <w:r>
            <w:tab/>
          </w:r>
          <w:r>
            <w:fldChar w:fldCharType="begin"/>
          </w:r>
          <w:r>
            <w:instrText xml:space="preserve"> PAGEREF _Toc12770 \h </w:instrText>
          </w:r>
          <w:r>
            <w:fldChar w:fldCharType="separate"/>
          </w:r>
          <w:r>
            <w:t>17</w:t>
          </w:r>
          <w:r>
            <w:fldChar w:fldCharType="end"/>
          </w:r>
          <w:r>
            <w:fldChar w:fldCharType="end"/>
          </w:r>
        </w:p>
        <w:p w14:paraId="1E615B7A">
          <w:pPr>
            <w:pStyle w:val="16"/>
            <w:tabs>
              <w:tab w:val="right" w:leader="dot" w:pos="8485"/>
            </w:tabs>
          </w:pPr>
          <w:r>
            <w:fldChar w:fldCharType="begin"/>
          </w:r>
          <w:r>
            <w:instrText xml:space="preserve"> HYPERLINK \l _Toc17992 </w:instrText>
          </w:r>
          <w:r>
            <w:fldChar w:fldCharType="separate"/>
          </w:r>
          <w:r>
            <w:rPr>
              <w:rFonts w:hint="default"/>
            </w:rPr>
            <w:t xml:space="preserve">9. </w:t>
          </w:r>
          <w:r>
            <w:t>资源</w:t>
          </w:r>
          <w:r>
            <w:tab/>
          </w:r>
          <w:r>
            <w:fldChar w:fldCharType="begin"/>
          </w:r>
          <w:r>
            <w:instrText xml:space="preserve"> PAGEREF _Toc17992 \h </w:instrText>
          </w:r>
          <w:r>
            <w:fldChar w:fldCharType="separate"/>
          </w:r>
          <w:r>
            <w:t>17</w:t>
          </w:r>
          <w:r>
            <w:fldChar w:fldCharType="end"/>
          </w:r>
          <w:r>
            <w:fldChar w:fldCharType="end"/>
          </w:r>
        </w:p>
        <w:p w14:paraId="4FB1543B">
          <w:pPr>
            <w:pStyle w:val="17"/>
            <w:tabs>
              <w:tab w:val="right" w:leader="dot" w:pos="8485"/>
            </w:tabs>
          </w:pPr>
          <w:r>
            <w:fldChar w:fldCharType="begin"/>
          </w:r>
          <w:r>
            <w:instrText xml:space="preserve"> HYPERLINK \l _Toc25318 </w:instrText>
          </w:r>
          <w:r>
            <w:fldChar w:fldCharType="separate"/>
          </w:r>
          <w:r>
            <w:rPr>
              <w:rFonts w:hint="default"/>
            </w:rPr>
            <w:t xml:space="preserve">9.1. </w:t>
          </w:r>
          <w:r>
            <w:t>运行维护工具</w:t>
          </w:r>
          <w:r>
            <w:tab/>
          </w:r>
          <w:r>
            <w:fldChar w:fldCharType="begin"/>
          </w:r>
          <w:r>
            <w:instrText xml:space="preserve"> PAGEREF _Toc25318 \h </w:instrText>
          </w:r>
          <w:r>
            <w:fldChar w:fldCharType="separate"/>
          </w:r>
          <w:r>
            <w:t>17</w:t>
          </w:r>
          <w:r>
            <w:fldChar w:fldCharType="end"/>
          </w:r>
          <w:r>
            <w:fldChar w:fldCharType="end"/>
          </w:r>
        </w:p>
        <w:p w14:paraId="609AB127">
          <w:pPr>
            <w:pStyle w:val="17"/>
            <w:tabs>
              <w:tab w:val="right" w:leader="dot" w:pos="8485"/>
            </w:tabs>
          </w:pPr>
          <w:r>
            <w:fldChar w:fldCharType="begin"/>
          </w:r>
          <w:r>
            <w:instrText xml:space="preserve"> HYPERLINK \l _Toc16326 </w:instrText>
          </w:r>
          <w:r>
            <w:fldChar w:fldCharType="separate"/>
          </w:r>
          <w:r>
            <w:rPr>
              <w:rFonts w:hint="default"/>
            </w:rPr>
            <w:t xml:space="preserve">9.2. </w:t>
          </w:r>
          <w:r>
            <w:t>服务台</w:t>
          </w:r>
          <w:r>
            <w:tab/>
          </w:r>
          <w:r>
            <w:fldChar w:fldCharType="begin"/>
          </w:r>
          <w:r>
            <w:instrText xml:space="preserve"> PAGEREF _Toc16326 \h </w:instrText>
          </w:r>
          <w:r>
            <w:fldChar w:fldCharType="separate"/>
          </w:r>
          <w:r>
            <w:t>18</w:t>
          </w:r>
          <w:r>
            <w:fldChar w:fldCharType="end"/>
          </w:r>
          <w:r>
            <w:fldChar w:fldCharType="end"/>
          </w:r>
        </w:p>
        <w:p w14:paraId="4B6786C2">
          <w:pPr>
            <w:pStyle w:val="17"/>
            <w:tabs>
              <w:tab w:val="right" w:leader="dot" w:pos="8485"/>
            </w:tabs>
          </w:pPr>
          <w:r>
            <w:fldChar w:fldCharType="begin"/>
          </w:r>
          <w:r>
            <w:instrText xml:space="preserve"> HYPERLINK \l _Toc4203 </w:instrText>
          </w:r>
          <w:r>
            <w:fldChar w:fldCharType="separate"/>
          </w:r>
          <w:r>
            <w:rPr>
              <w:rFonts w:hint="default"/>
              <w:lang w:val="en-US" w:eastAsia="zh-CN"/>
            </w:rPr>
            <w:t xml:space="preserve">9.3. </w:t>
          </w:r>
          <w:r>
            <w:rPr>
              <w:rFonts w:hint="eastAsia"/>
              <w:lang w:val="en-US" w:eastAsia="zh-CN"/>
            </w:rPr>
            <w:t>服务知识</w:t>
          </w:r>
          <w:r>
            <w:tab/>
          </w:r>
          <w:r>
            <w:fldChar w:fldCharType="begin"/>
          </w:r>
          <w:r>
            <w:instrText xml:space="preserve"> PAGEREF _Toc4203 \h </w:instrText>
          </w:r>
          <w:r>
            <w:fldChar w:fldCharType="separate"/>
          </w:r>
          <w:r>
            <w:t>18</w:t>
          </w:r>
          <w:r>
            <w:fldChar w:fldCharType="end"/>
          </w:r>
          <w:r>
            <w:fldChar w:fldCharType="end"/>
          </w:r>
        </w:p>
        <w:p w14:paraId="2DB77C6D">
          <w:pPr>
            <w:pStyle w:val="17"/>
            <w:tabs>
              <w:tab w:val="right" w:leader="dot" w:pos="8485"/>
            </w:tabs>
          </w:pPr>
          <w:r>
            <w:fldChar w:fldCharType="begin"/>
          </w:r>
          <w:r>
            <w:instrText xml:space="preserve"> HYPERLINK \l _Toc10846 </w:instrText>
          </w:r>
          <w:r>
            <w:fldChar w:fldCharType="separate"/>
          </w:r>
          <w:r>
            <w:rPr>
              <w:rFonts w:hint="default"/>
            </w:rPr>
            <w:t xml:space="preserve">9.4. </w:t>
          </w:r>
          <w:r>
            <w:t>备件库</w:t>
          </w:r>
          <w:r>
            <w:tab/>
          </w:r>
          <w:r>
            <w:fldChar w:fldCharType="begin"/>
          </w:r>
          <w:r>
            <w:instrText xml:space="preserve"> PAGEREF _Toc10846 \h </w:instrText>
          </w:r>
          <w:r>
            <w:fldChar w:fldCharType="separate"/>
          </w:r>
          <w:r>
            <w:t>18</w:t>
          </w:r>
          <w:r>
            <w:fldChar w:fldCharType="end"/>
          </w:r>
          <w:r>
            <w:fldChar w:fldCharType="end"/>
          </w:r>
        </w:p>
        <w:p w14:paraId="6721366A">
          <w:pPr>
            <w:pStyle w:val="17"/>
            <w:tabs>
              <w:tab w:val="right" w:leader="dot" w:pos="8485"/>
            </w:tabs>
          </w:pPr>
          <w:r>
            <w:fldChar w:fldCharType="begin"/>
          </w:r>
          <w:r>
            <w:instrText xml:space="preserve"> HYPERLINK \l _Toc13265 </w:instrText>
          </w:r>
          <w:r>
            <w:fldChar w:fldCharType="separate"/>
          </w:r>
          <w:r>
            <w:rPr>
              <w:rFonts w:hint="default"/>
              <w:lang w:val="en-US" w:eastAsia="zh-CN"/>
            </w:rPr>
            <w:t xml:space="preserve">9.5. </w:t>
          </w:r>
          <w:r>
            <w:rPr>
              <w:rFonts w:hint="eastAsia"/>
              <w:lang w:val="en-US" w:eastAsia="zh-CN"/>
            </w:rPr>
            <w:t>最终软件库</w:t>
          </w:r>
          <w:r>
            <w:tab/>
          </w:r>
          <w:r>
            <w:fldChar w:fldCharType="begin"/>
          </w:r>
          <w:r>
            <w:instrText xml:space="preserve"> PAGEREF _Toc13265 \h </w:instrText>
          </w:r>
          <w:r>
            <w:fldChar w:fldCharType="separate"/>
          </w:r>
          <w:r>
            <w:t>19</w:t>
          </w:r>
          <w:r>
            <w:fldChar w:fldCharType="end"/>
          </w:r>
          <w:r>
            <w:fldChar w:fldCharType="end"/>
          </w:r>
        </w:p>
        <w:p w14:paraId="45B7D956">
          <w:pPr>
            <w:pStyle w:val="17"/>
            <w:tabs>
              <w:tab w:val="right" w:leader="dot" w:pos="8485"/>
            </w:tabs>
          </w:pPr>
          <w:r>
            <w:fldChar w:fldCharType="begin"/>
          </w:r>
          <w:r>
            <w:instrText xml:space="preserve"> HYPERLINK \l _Toc24777 </w:instrText>
          </w:r>
          <w:r>
            <w:fldChar w:fldCharType="separate"/>
          </w:r>
          <w:r>
            <w:rPr>
              <w:rFonts w:hint="default"/>
            </w:rPr>
            <w:t xml:space="preserve">9.6. </w:t>
          </w:r>
          <w:r>
            <w:rPr>
              <w:rFonts w:hint="eastAsia"/>
              <w:lang w:val="en-US" w:eastAsia="zh-CN"/>
            </w:rPr>
            <w:t>服务数据</w:t>
          </w:r>
          <w:r>
            <w:tab/>
          </w:r>
          <w:r>
            <w:fldChar w:fldCharType="begin"/>
          </w:r>
          <w:r>
            <w:instrText xml:space="preserve"> PAGEREF _Toc24777 \h </w:instrText>
          </w:r>
          <w:r>
            <w:fldChar w:fldCharType="separate"/>
          </w:r>
          <w:r>
            <w:t>19</w:t>
          </w:r>
          <w:r>
            <w:fldChar w:fldCharType="end"/>
          </w:r>
          <w:r>
            <w:fldChar w:fldCharType="end"/>
          </w:r>
        </w:p>
        <w:p w14:paraId="7E15DAD8">
          <w:pPr>
            <w:pStyle w:val="16"/>
            <w:tabs>
              <w:tab w:val="right" w:leader="dot" w:pos="8485"/>
            </w:tabs>
          </w:pPr>
          <w:r>
            <w:fldChar w:fldCharType="begin"/>
          </w:r>
          <w:r>
            <w:instrText xml:space="preserve"> HYPERLINK \l _Toc20570 </w:instrText>
          </w:r>
          <w:r>
            <w:fldChar w:fldCharType="separate"/>
          </w:r>
          <w:r>
            <w:rPr>
              <w:rFonts w:hint="default"/>
            </w:rPr>
            <w:t xml:space="preserve">10. </w:t>
          </w:r>
          <w:r>
            <w:t>技术</w:t>
          </w:r>
          <w:r>
            <w:tab/>
          </w:r>
          <w:r>
            <w:fldChar w:fldCharType="begin"/>
          </w:r>
          <w:r>
            <w:instrText xml:space="preserve"> PAGEREF _Toc20570 \h </w:instrText>
          </w:r>
          <w:r>
            <w:fldChar w:fldCharType="separate"/>
          </w:r>
          <w:r>
            <w:t>19</w:t>
          </w:r>
          <w:r>
            <w:fldChar w:fldCharType="end"/>
          </w:r>
          <w:r>
            <w:fldChar w:fldCharType="end"/>
          </w:r>
        </w:p>
        <w:p w14:paraId="075421CD">
          <w:pPr>
            <w:pStyle w:val="17"/>
            <w:tabs>
              <w:tab w:val="right" w:leader="dot" w:pos="8485"/>
            </w:tabs>
          </w:pPr>
          <w:r>
            <w:fldChar w:fldCharType="begin"/>
          </w:r>
          <w:r>
            <w:instrText xml:space="preserve"> HYPERLINK \l _Toc26345 </w:instrText>
          </w:r>
          <w:r>
            <w:fldChar w:fldCharType="separate"/>
          </w:r>
          <w:r>
            <w:rPr>
              <w:rFonts w:hint="default"/>
            </w:rPr>
            <w:t xml:space="preserve">10.1. </w:t>
          </w:r>
          <w:r>
            <w:t>技术研发</w:t>
          </w:r>
          <w:r>
            <w:tab/>
          </w:r>
          <w:r>
            <w:fldChar w:fldCharType="begin"/>
          </w:r>
          <w:r>
            <w:instrText xml:space="preserve"> PAGEREF _Toc26345 \h </w:instrText>
          </w:r>
          <w:r>
            <w:fldChar w:fldCharType="separate"/>
          </w:r>
          <w:r>
            <w:t>19</w:t>
          </w:r>
          <w:r>
            <w:fldChar w:fldCharType="end"/>
          </w:r>
          <w:r>
            <w:fldChar w:fldCharType="end"/>
          </w:r>
        </w:p>
        <w:p w14:paraId="696B6D3D">
          <w:pPr>
            <w:pStyle w:val="17"/>
            <w:tabs>
              <w:tab w:val="right" w:leader="dot" w:pos="8485"/>
            </w:tabs>
          </w:pPr>
          <w:r>
            <w:fldChar w:fldCharType="begin"/>
          </w:r>
          <w:r>
            <w:instrText xml:space="preserve"> HYPERLINK \l _Toc22889 </w:instrText>
          </w:r>
          <w:r>
            <w:fldChar w:fldCharType="separate"/>
          </w:r>
          <w:r>
            <w:rPr>
              <w:rFonts w:hint="default"/>
            </w:rPr>
            <w:t xml:space="preserve">10.2. </w:t>
          </w:r>
          <w:r>
            <w:t>与发现问题、解决问题相关的技术</w:t>
          </w:r>
          <w:r>
            <w:tab/>
          </w:r>
          <w:r>
            <w:fldChar w:fldCharType="begin"/>
          </w:r>
          <w:r>
            <w:instrText xml:space="preserve"> PAGEREF _Toc22889 \h </w:instrText>
          </w:r>
          <w:r>
            <w:fldChar w:fldCharType="separate"/>
          </w:r>
          <w:r>
            <w:t>19</w:t>
          </w:r>
          <w:r>
            <w:fldChar w:fldCharType="end"/>
          </w:r>
          <w:r>
            <w:fldChar w:fldCharType="end"/>
          </w:r>
        </w:p>
        <w:p w14:paraId="2D92C64E">
          <w:pPr>
            <w:pStyle w:val="16"/>
            <w:tabs>
              <w:tab w:val="right" w:leader="dot" w:pos="8485"/>
            </w:tabs>
          </w:pPr>
          <w:r>
            <w:fldChar w:fldCharType="begin"/>
          </w:r>
          <w:r>
            <w:instrText xml:space="preserve"> HYPERLINK \l _Toc28047 </w:instrText>
          </w:r>
          <w:r>
            <w:fldChar w:fldCharType="separate"/>
          </w:r>
          <w:r>
            <w:rPr>
              <w:rFonts w:hint="default"/>
            </w:rPr>
            <w:t xml:space="preserve">11. </w:t>
          </w:r>
          <w:r>
            <w:t>过程</w:t>
          </w:r>
          <w:r>
            <w:tab/>
          </w:r>
          <w:r>
            <w:fldChar w:fldCharType="begin"/>
          </w:r>
          <w:r>
            <w:instrText xml:space="preserve"> PAGEREF _Toc28047 \h </w:instrText>
          </w:r>
          <w:r>
            <w:fldChar w:fldCharType="separate"/>
          </w:r>
          <w:r>
            <w:t>20</w:t>
          </w:r>
          <w:r>
            <w:fldChar w:fldCharType="end"/>
          </w:r>
          <w:r>
            <w:fldChar w:fldCharType="end"/>
          </w:r>
        </w:p>
        <w:p w14:paraId="32D148E8">
          <w:pPr>
            <w:pStyle w:val="17"/>
            <w:tabs>
              <w:tab w:val="right" w:leader="dot" w:pos="8485"/>
            </w:tabs>
          </w:pPr>
          <w:r>
            <w:fldChar w:fldCharType="begin"/>
          </w:r>
          <w:r>
            <w:instrText xml:space="preserve"> HYPERLINK \l _Toc921 </w:instrText>
          </w:r>
          <w:r>
            <w:fldChar w:fldCharType="separate"/>
          </w:r>
          <w:r>
            <w:rPr>
              <w:rFonts w:hint="default"/>
              <w:lang w:val="en-US" w:eastAsia="zh-CN"/>
            </w:rPr>
            <w:t xml:space="preserve">11.1. </w:t>
          </w:r>
          <w:r>
            <w:rPr>
              <w:rFonts w:hint="eastAsia"/>
              <w:lang w:val="en-US" w:eastAsia="zh-CN"/>
            </w:rPr>
            <w:t>过程框架设计</w:t>
          </w:r>
          <w:r>
            <w:tab/>
          </w:r>
          <w:r>
            <w:fldChar w:fldCharType="begin"/>
          </w:r>
          <w:r>
            <w:instrText xml:space="preserve"> PAGEREF _Toc921 \h </w:instrText>
          </w:r>
          <w:r>
            <w:fldChar w:fldCharType="separate"/>
          </w:r>
          <w:r>
            <w:t>20</w:t>
          </w:r>
          <w:r>
            <w:fldChar w:fldCharType="end"/>
          </w:r>
          <w:r>
            <w:fldChar w:fldCharType="end"/>
          </w:r>
        </w:p>
        <w:p w14:paraId="65453245">
          <w:pPr>
            <w:pStyle w:val="17"/>
            <w:tabs>
              <w:tab w:val="right" w:leader="dot" w:pos="8485"/>
            </w:tabs>
          </w:pPr>
          <w:r>
            <w:fldChar w:fldCharType="begin"/>
          </w:r>
          <w:r>
            <w:instrText xml:space="preserve"> HYPERLINK \l _Toc18872 </w:instrText>
          </w:r>
          <w:r>
            <w:fldChar w:fldCharType="separate"/>
          </w:r>
          <w:r>
            <w:rPr>
              <w:rFonts w:hint="default"/>
            </w:rPr>
            <w:t xml:space="preserve">11.2. </w:t>
          </w:r>
          <w:r>
            <w:t>服务级别管理</w:t>
          </w:r>
          <w:r>
            <w:tab/>
          </w:r>
          <w:r>
            <w:fldChar w:fldCharType="begin"/>
          </w:r>
          <w:r>
            <w:instrText xml:space="preserve"> PAGEREF _Toc18872 \h </w:instrText>
          </w:r>
          <w:r>
            <w:fldChar w:fldCharType="separate"/>
          </w:r>
          <w:r>
            <w:t>20</w:t>
          </w:r>
          <w:r>
            <w:fldChar w:fldCharType="end"/>
          </w:r>
          <w:r>
            <w:fldChar w:fldCharType="end"/>
          </w:r>
        </w:p>
        <w:p w14:paraId="3C8F9A28">
          <w:pPr>
            <w:pStyle w:val="17"/>
            <w:tabs>
              <w:tab w:val="right" w:leader="dot" w:pos="8485"/>
            </w:tabs>
          </w:pPr>
          <w:r>
            <w:fldChar w:fldCharType="begin"/>
          </w:r>
          <w:r>
            <w:instrText xml:space="preserve"> HYPERLINK \l _Toc8088 </w:instrText>
          </w:r>
          <w:r>
            <w:fldChar w:fldCharType="separate"/>
          </w:r>
          <w:r>
            <w:rPr>
              <w:rFonts w:hint="default"/>
            </w:rPr>
            <w:t xml:space="preserve">11.3. </w:t>
          </w:r>
          <w:r>
            <w:t>服务报告</w:t>
          </w:r>
          <w:r>
            <w:tab/>
          </w:r>
          <w:r>
            <w:fldChar w:fldCharType="begin"/>
          </w:r>
          <w:r>
            <w:instrText xml:space="preserve"> PAGEREF _Toc8088 \h </w:instrText>
          </w:r>
          <w:r>
            <w:fldChar w:fldCharType="separate"/>
          </w:r>
          <w:r>
            <w:t>21</w:t>
          </w:r>
          <w:r>
            <w:fldChar w:fldCharType="end"/>
          </w:r>
          <w:r>
            <w:fldChar w:fldCharType="end"/>
          </w:r>
        </w:p>
        <w:p w14:paraId="0342B7DF">
          <w:pPr>
            <w:pStyle w:val="17"/>
            <w:tabs>
              <w:tab w:val="right" w:leader="dot" w:pos="8485"/>
            </w:tabs>
          </w:pPr>
          <w:r>
            <w:fldChar w:fldCharType="begin"/>
          </w:r>
          <w:r>
            <w:instrText xml:space="preserve"> HYPERLINK \l _Toc8814 </w:instrText>
          </w:r>
          <w:r>
            <w:fldChar w:fldCharType="separate"/>
          </w:r>
          <w:r>
            <w:rPr>
              <w:rFonts w:hint="default"/>
            </w:rPr>
            <w:t xml:space="preserve">11.4. </w:t>
          </w:r>
          <w:r>
            <w:t>事件管理</w:t>
          </w:r>
          <w:r>
            <w:tab/>
          </w:r>
          <w:r>
            <w:fldChar w:fldCharType="begin"/>
          </w:r>
          <w:r>
            <w:instrText xml:space="preserve"> PAGEREF _Toc8814 \h </w:instrText>
          </w:r>
          <w:r>
            <w:fldChar w:fldCharType="separate"/>
          </w:r>
          <w:r>
            <w:t>21</w:t>
          </w:r>
          <w:r>
            <w:fldChar w:fldCharType="end"/>
          </w:r>
          <w:r>
            <w:fldChar w:fldCharType="end"/>
          </w:r>
        </w:p>
        <w:p w14:paraId="39661E76">
          <w:pPr>
            <w:pStyle w:val="17"/>
            <w:tabs>
              <w:tab w:val="right" w:leader="dot" w:pos="8485"/>
            </w:tabs>
          </w:pPr>
          <w:r>
            <w:fldChar w:fldCharType="begin"/>
          </w:r>
          <w:r>
            <w:instrText xml:space="preserve"> HYPERLINK \l _Toc21751 </w:instrText>
          </w:r>
          <w:r>
            <w:fldChar w:fldCharType="separate"/>
          </w:r>
          <w:r>
            <w:rPr>
              <w:rFonts w:hint="default"/>
            </w:rPr>
            <w:t xml:space="preserve">11.5. </w:t>
          </w:r>
          <w:r>
            <w:t>问题管理</w:t>
          </w:r>
          <w:r>
            <w:tab/>
          </w:r>
          <w:r>
            <w:fldChar w:fldCharType="begin"/>
          </w:r>
          <w:r>
            <w:instrText xml:space="preserve"> PAGEREF _Toc21751 \h </w:instrText>
          </w:r>
          <w:r>
            <w:fldChar w:fldCharType="separate"/>
          </w:r>
          <w:r>
            <w:t>21</w:t>
          </w:r>
          <w:r>
            <w:fldChar w:fldCharType="end"/>
          </w:r>
          <w:r>
            <w:fldChar w:fldCharType="end"/>
          </w:r>
        </w:p>
        <w:p w14:paraId="0DEDD7C1">
          <w:pPr>
            <w:pStyle w:val="17"/>
            <w:tabs>
              <w:tab w:val="right" w:leader="dot" w:pos="8485"/>
            </w:tabs>
          </w:pPr>
          <w:r>
            <w:fldChar w:fldCharType="begin"/>
          </w:r>
          <w:r>
            <w:instrText xml:space="preserve"> HYPERLINK \l _Toc29421 </w:instrText>
          </w:r>
          <w:r>
            <w:fldChar w:fldCharType="separate"/>
          </w:r>
          <w:r>
            <w:rPr>
              <w:rFonts w:hint="default"/>
            </w:rPr>
            <w:t xml:space="preserve">11.6. </w:t>
          </w:r>
          <w:r>
            <w:t>变更管理</w:t>
          </w:r>
          <w:r>
            <w:tab/>
          </w:r>
          <w:r>
            <w:fldChar w:fldCharType="begin"/>
          </w:r>
          <w:r>
            <w:instrText xml:space="preserve"> PAGEREF _Toc29421 \h </w:instrText>
          </w:r>
          <w:r>
            <w:fldChar w:fldCharType="separate"/>
          </w:r>
          <w:r>
            <w:t>22</w:t>
          </w:r>
          <w:r>
            <w:fldChar w:fldCharType="end"/>
          </w:r>
          <w:r>
            <w:fldChar w:fldCharType="end"/>
          </w:r>
        </w:p>
        <w:p w14:paraId="44F1C2B9">
          <w:pPr>
            <w:pStyle w:val="17"/>
            <w:tabs>
              <w:tab w:val="right" w:leader="dot" w:pos="8485"/>
            </w:tabs>
          </w:pPr>
          <w:r>
            <w:fldChar w:fldCharType="begin"/>
          </w:r>
          <w:r>
            <w:instrText xml:space="preserve"> HYPERLINK \l _Toc1093 </w:instrText>
          </w:r>
          <w:r>
            <w:fldChar w:fldCharType="separate"/>
          </w:r>
          <w:r>
            <w:rPr>
              <w:rFonts w:hint="default"/>
            </w:rPr>
            <w:t xml:space="preserve">11.7. </w:t>
          </w:r>
          <w:r>
            <w:t>发布管理</w:t>
          </w:r>
          <w:r>
            <w:tab/>
          </w:r>
          <w:r>
            <w:fldChar w:fldCharType="begin"/>
          </w:r>
          <w:r>
            <w:instrText xml:space="preserve"> PAGEREF _Toc1093 \h </w:instrText>
          </w:r>
          <w:r>
            <w:fldChar w:fldCharType="separate"/>
          </w:r>
          <w:r>
            <w:t>22</w:t>
          </w:r>
          <w:r>
            <w:fldChar w:fldCharType="end"/>
          </w:r>
          <w:r>
            <w:fldChar w:fldCharType="end"/>
          </w:r>
        </w:p>
        <w:p w14:paraId="26312E58">
          <w:pPr>
            <w:pStyle w:val="17"/>
            <w:tabs>
              <w:tab w:val="right" w:leader="dot" w:pos="8485"/>
            </w:tabs>
          </w:pPr>
          <w:r>
            <w:fldChar w:fldCharType="begin"/>
          </w:r>
          <w:r>
            <w:instrText xml:space="preserve"> HYPERLINK \l _Toc10947 </w:instrText>
          </w:r>
          <w:r>
            <w:fldChar w:fldCharType="separate"/>
          </w:r>
          <w:r>
            <w:rPr>
              <w:rFonts w:hint="default"/>
            </w:rPr>
            <w:t xml:space="preserve">11.8. </w:t>
          </w:r>
          <w:r>
            <w:t>配置管理</w:t>
          </w:r>
          <w:r>
            <w:tab/>
          </w:r>
          <w:r>
            <w:fldChar w:fldCharType="begin"/>
          </w:r>
          <w:r>
            <w:instrText xml:space="preserve"> PAGEREF _Toc10947 \h </w:instrText>
          </w:r>
          <w:r>
            <w:fldChar w:fldCharType="separate"/>
          </w:r>
          <w:r>
            <w:t>23</w:t>
          </w:r>
          <w:r>
            <w:fldChar w:fldCharType="end"/>
          </w:r>
          <w:r>
            <w:fldChar w:fldCharType="end"/>
          </w:r>
        </w:p>
        <w:p w14:paraId="19569CE1">
          <w:pPr>
            <w:pStyle w:val="17"/>
            <w:tabs>
              <w:tab w:val="right" w:leader="dot" w:pos="8485"/>
            </w:tabs>
          </w:pPr>
          <w:r>
            <w:fldChar w:fldCharType="begin"/>
          </w:r>
          <w:r>
            <w:instrText xml:space="preserve"> HYPERLINK \l _Toc4907 </w:instrText>
          </w:r>
          <w:r>
            <w:fldChar w:fldCharType="separate"/>
          </w:r>
          <w:r>
            <w:rPr>
              <w:rFonts w:hint="default"/>
              <w:lang w:val="en-US" w:eastAsia="zh-CN"/>
            </w:rPr>
            <w:t xml:space="preserve">11.9. </w:t>
          </w:r>
          <w:r>
            <w:rPr>
              <w:rFonts w:hint="eastAsia"/>
              <w:lang w:val="en-US" w:eastAsia="zh-CN"/>
            </w:rPr>
            <w:t>服务可用性和连续性</w:t>
          </w:r>
          <w:r>
            <w:tab/>
          </w:r>
          <w:r>
            <w:fldChar w:fldCharType="begin"/>
          </w:r>
          <w:r>
            <w:instrText xml:space="preserve"> PAGEREF _Toc4907 \h </w:instrText>
          </w:r>
          <w:r>
            <w:fldChar w:fldCharType="separate"/>
          </w:r>
          <w:r>
            <w:t>23</w:t>
          </w:r>
          <w:r>
            <w:fldChar w:fldCharType="end"/>
          </w:r>
          <w:r>
            <w:fldChar w:fldCharType="end"/>
          </w:r>
        </w:p>
        <w:p w14:paraId="6BA5545E">
          <w:pPr>
            <w:pStyle w:val="17"/>
            <w:tabs>
              <w:tab w:val="right" w:leader="dot" w:pos="8485"/>
            </w:tabs>
          </w:pPr>
          <w:r>
            <w:fldChar w:fldCharType="begin"/>
          </w:r>
          <w:r>
            <w:instrText xml:space="preserve"> HYPERLINK \l _Toc17399 </w:instrText>
          </w:r>
          <w:r>
            <w:fldChar w:fldCharType="separate"/>
          </w:r>
          <w:r>
            <w:rPr>
              <w:rFonts w:hint="default"/>
              <w:lang w:val="en-US" w:eastAsia="zh-CN"/>
            </w:rPr>
            <w:t xml:space="preserve">11.10. </w:t>
          </w:r>
          <w:r>
            <w:rPr>
              <w:rFonts w:hint="eastAsia"/>
              <w:lang w:val="en-US" w:eastAsia="zh-CN"/>
            </w:rPr>
            <w:t>容量管理</w:t>
          </w:r>
          <w:r>
            <w:tab/>
          </w:r>
          <w:r>
            <w:fldChar w:fldCharType="begin"/>
          </w:r>
          <w:r>
            <w:instrText xml:space="preserve"> PAGEREF _Toc17399 \h </w:instrText>
          </w:r>
          <w:r>
            <w:fldChar w:fldCharType="separate"/>
          </w:r>
          <w:r>
            <w:t>23</w:t>
          </w:r>
          <w:r>
            <w:fldChar w:fldCharType="end"/>
          </w:r>
          <w:r>
            <w:fldChar w:fldCharType="end"/>
          </w:r>
        </w:p>
        <w:p w14:paraId="6E163429">
          <w:pPr>
            <w:pStyle w:val="17"/>
            <w:tabs>
              <w:tab w:val="right" w:leader="dot" w:pos="8485"/>
            </w:tabs>
          </w:pPr>
          <w:r>
            <w:fldChar w:fldCharType="begin"/>
          </w:r>
          <w:r>
            <w:instrText xml:space="preserve"> HYPERLINK \l _Toc14965 </w:instrText>
          </w:r>
          <w:r>
            <w:fldChar w:fldCharType="separate"/>
          </w:r>
          <w:r>
            <w:rPr>
              <w:rFonts w:hint="default"/>
            </w:rPr>
            <w:t xml:space="preserve">11.11. </w:t>
          </w:r>
          <w:r>
            <w:t>信息安全管理</w:t>
          </w:r>
          <w:r>
            <w:tab/>
          </w:r>
          <w:r>
            <w:fldChar w:fldCharType="begin"/>
          </w:r>
          <w:r>
            <w:instrText xml:space="preserve"> PAGEREF _Toc14965 \h </w:instrText>
          </w:r>
          <w:r>
            <w:fldChar w:fldCharType="separate"/>
          </w:r>
          <w:r>
            <w:t>24</w:t>
          </w:r>
          <w:r>
            <w:fldChar w:fldCharType="end"/>
          </w:r>
          <w:r>
            <w:fldChar w:fldCharType="end"/>
          </w:r>
        </w:p>
        <w:p w14:paraId="3B9206F9">
          <w:pPr>
            <w:pStyle w:val="12"/>
            <w:keepNext w:val="0"/>
            <w:keepLines w:val="0"/>
            <w:pageBreakBefore w:val="0"/>
            <w:widowControl w:val="0"/>
            <w:kinsoku w:val="0"/>
            <w:wordWrap/>
            <w:overflowPunct/>
            <w:topLinePunct w:val="0"/>
            <w:autoSpaceDE w:val="0"/>
            <w:autoSpaceDN w:val="0"/>
            <w:bidi w:val="0"/>
            <w:adjustRightInd w:val="0"/>
            <w:snapToGrid w:val="0"/>
            <w:spacing w:line="331" w:lineRule="auto"/>
            <w:textAlignment w:val="baseline"/>
            <w:rPr>
              <w:rFonts w:ascii="Arial" w:hAnsi="Arial" w:eastAsia="Arial" w:cs="Arial"/>
              <w:snapToGrid w:val="0"/>
              <w:color w:val="000000"/>
              <w:kern w:val="0"/>
              <w:sz w:val="21"/>
              <w:szCs w:val="21"/>
              <w:lang w:val="en-US" w:eastAsia="en-US" w:bidi="ar-SA"/>
            </w:rPr>
          </w:pPr>
          <w:r>
            <w:fldChar w:fldCharType="end"/>
          </w:r>
        </w:p>
      </w:sdtContent>
    </w:sdt>
    <w:p w14:paraId="28BA2947">
      <w:pPr>
        <w:pStyle w:val="12"/>
        <w:keepNext w:val="0"/>
        <w:keepLines w:val="0"/>
        <w:pageBreakBefore w:val="0"/>
        <w:widowControl w:val="0"/>
        <w:kinsoku w:val="0"/>
        <w:wordWrap/>
        <w:overflowPunct/>
        <w:topLinePunct w:val="0"/>
        <w:autoSpaceDE w:val="0"/>
        <w:autoSpaceDN w:val="0"/>
        <w:bidi w:val="0"/>
        <w:adjustRightInd w:val="0"/>
        <w:snapToGrid w:val="0"/>
        <w:spacing w:line="331" w:lineRule="auto"/>
        <w:textAlignment w:val="baseline"/>
        <w:rPr>
          <w:rFonts w:ascii="Arial" w:hAnsi="Arial" w:eastAsia="Arial" w:cs="Arial"/>
          <w:snapToGrid w:val="0"/>
          <w:color w:val="000000"/>
          <w:kern w:val="0"/>
          <w:sz w:val="21"/>
          <w:szCs w:val="21"/>
          <w:lang w:val="en-US" w:eastAsia="en-US" w:bidi="ar-SA"/>
        </w:rPr>
      </w:pPr>
    </w:p>
    <w:p w14:paraId="1BC75648">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宋体" w:hAnsi="宋体" w:eastAsia="宋体" w:cs="宋体"/>
          <w:snapToGrid w:val="0"/>
          <w:color w:val="000000"/>
          <w:kern w:val="0"/>
          <w:sz w:val="21"/>
          <w:szCs w:val="24"/>
          <w:lang w:val="en-US" w:eastAsia="en-US" w:bidi="ar-SA"/>
        </w:rPr>
        <w:sectPr>
          <w:pgSz w:w="11906" w:h="16839"/>
          <w:pgMar w:top="1431" w:right="1710" w:bottom="1328" w:left="1711" w:header="0" w:footer="0" w:gutter="0"/>
          <w:cols w:space="720" w:num="1"/>
        </w:sectPr>
      </w:pPr>
    </w:p>
    <w:p w14:paraId="6F42455E">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4226"/>
      <w:bookmarkStart w:id="8" w:name="_Toc6601"/>
      <w:bookmarkStart w:id="9" w:name="_Toc27496"/>
      <w:r>
        <w:t>目的</w:t>
      </w:r>
      <w:bookmarkEnd w:id="7"/>
      <w:bookmarkEnd w:id="8"/>
      <w:bookmarkEnd w:id="9"/>
    </w:p>
    <w:p w14:paraId="156AF4A0">
      <w:pPr>
        <w:pStyle w:val="27"/>
        <w:bidi w:val="0"/>
      </w:pPr>
      <w:r>
        <w:t>为提升公司运维服务能力管理的科学化、规范化和专业化，确保运维服务相关部门为各客户提供双方协商一致的、安全稳定的运行维护优质服务，公司依据信息技术服务相关标准的要求，建立遵照国家标准、适应客户需求和管理要求、持续优化的运维服务能力管理体系，特制定本制度。</w:t>
      </w:r>
    </w:p>
    <w:p w14:paraId="038AD69A">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3877"/>
      <w:bookmarkStart w:id="11" w:name="_Toc4378"/>
      <w:bookmarkStart w:id="12" w:name="_Toc6556"/>
      <w:r>
        <w:t>适用范围</w:t>
      </w:r>
      <w:bookmarkEnd w:id="10"/>
      <w:bookmarkEnd w:id="11"/>
      <w:bookmarkEnd w:id="12"/>
    </w:p>
    <w:p w14:paraId="0186105C">
      <w:pPr>
        <w:pStyle w:val="27"/>
        <w:bidi w:val="0"/>
      </w:pPr>
      <w:r>
        <w:t>本文件适用于公司为客户提供的各类服务。</w:t>
      </w:r>
    </w:p>
    <w:p w14:paraId="5073AEBF">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_Toc25255"/>
      <w:bookmarkStart w:id="14" w:name="_Toc5188"/>
      <w:bookmarkStart w:id="15" w:name="_Toc19112"/>
      <w:r>
        <w:t>引用文件</w:t>
      </w:r>
      <w:bookmarkEnd w:id="13"/>
      <w:bookmarkEnd w:id="14"/>
      <w:bookmarkEnd w:id="15"/>
    </w:p>
    <w:p w14:paraId="5751F14A">
      <w:pPr>
        <w:pStyle w:val="40"/>
        <w:numPr>
          <w:ilvl w:val="0"/>
          <w:numId w:val="2"/>
        </w:numPr>
        <w:bidi w:val="0"/>
        <w:ind w:left="425" w:leftChars="0" w:hanging="425" w:firstLineChars="0"/>
      </w:pPr>
      <w:r>
        <w:t xml:space="preserve"> </w:t>
      </w:r>
      <w:r>
        <w:rPr>
          <w:rFonts w:hint="eastAsia"/>
        </w:rPr>
        <w:t>T/CESA 1299—2023</w:t>
      </w:r>
      <w:r>
        <w:t>《信息技术服务 运行维护服务能力成熟度模型》</w:t>
      </w:r>
    </w:p>
    <w:p w14:paraId="11A4590D">
      <w:pPr>
        <w:pStyle w:val="40"/>
        <w:numPr>
          <w:ilvl w:val="0"/>
          <w:numId w:val="2"/>
        </w:numPr>
        <w:bidi w:val="0"/>
        <w:ind w:left="425" w:leftChars="0" w:hanging="425" w:firstLineChars="0"/>
      </w:pPr>
      <w:r>
        <w:t xml:space="preserve"> GB/T28827.1-2022《信息技术服务 运行维护 第一部分：通用要求》</w:t>
      </w:r>
    </w:p>
    <w:p w14:paraId="58C76BFA">
      <w:pPr>
        <w:pStyle w:val="40"/>
        <w:numPr>
          <w:ilvl w:val="0"/>
          <w:numId w:val="2"/>
        </w:numPr>
        <w:bidi w:val="0"/>
        <w:ind w:left="425" w:leftChars="0" w:hanging="425" w:firstLineChars="0"/>
      </w:pPr>
      <w:r>
        <w:t xml:space="preserve"> GB/T 29264-2012 《信息技术服务 分类与代码》</w:t>
      </w:r>
    </w:p>
    <w:p w14:paraId="62B4856E">
      <w:pPr>
        <w:pStyle w:val="40"/>
        <w:numPr>
          <w:ilvl w:val="0"/>
          <w:numId w:val="2"/>
        </w:numPr>
        <w:bidi w:val="0"/>
        <w:ind w:left="425" w:leftChars="0" w:hanging="425" w:firstLineChars="0"/>
      </w:pPr>
      <w:r>
        <w:t xml:space="preserve"> GB/T 28827.2-2012 《信息技术服务 运行维护 第 2 部分:交付规范》</w:t>
      </w:r>
    </w:p>
    <w:p w14:paraId="41C9C087">
      <w:pPr>
        <w:pStyle w:val="40"/>
        <w:numPr>
          <w:ilvl w:val="0"/>
          <w:numId w:val="2"/>
        </w:numPr>
        <w:bidi w:val="0"/>
        <w:ind w:left="425" w:leftChars="0" w:hanging="425" w:firstLineChars="0"/>
      </w:pPr>
      <w:r>
        <w:t xml:space="preserve"> GB/T 28827.3-2012 《信息技术服务 运行维护 第 3 部分:应急响应规范》</w:t>
      </w:r>
    </w:p>
    <w:p w14:paraId="6E7DBF03">
      <w:pPr>
        <w:pStyle w:val="40"/>
        <w:numPr>
          <w:ilvl w:val="0"/>
          <w:numId w:val="2"/>
        </w:numPr>
        <w:bidi w:val="0"/>
        <w:ind w:left="425" w:leftChars="0" w:hanging="425" w:firstLineChars="0"/>
      </w:pPr>
      <w:r>
        <w:t>国家有关法律、法规及行业标准</w:t>
      </w:r>
    </w:p>
    <w:p w14:paraId="6A6E263E">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_Toc419"/>
      <w:bookmarkStart w:id="17" w:name="_Toc1113"/>
      <w:bookmarkStart w:id="18" w:name="_Toc31467"/>
      <w:r>
        <w:t>运维服务战略与组织</w:t>
      </w:r>
      <w:bookmarkEnd w:id="16"/>
      <w:bookmarkEnd w:id="17"/>
      <w:bookmarkEnd w:id="18"/>
    </w:p>
    <w:p w14:paraId="1B771AE2">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bookmark64"/>
      <w:bookmarkEnd w:id="19"/>
      <w:bookmarkStart w:id="20" w:name="_Toc26784"/>
      <w:bookmarkStart w:id="21" w:name="_Toc26256"/>
      <w:bookmarkStart w:id="22" w:name="_Toc5909"/>
      <w:r>
        <w:t>服务目标</w:t>
      </w:r>
      <w:bookmarkEnd w:id="20"/>
      <w:bookmarkEnd w:id="21"/>
      <w:bookmarkEnd w:id="22"/>
    </w:p>
    <w:p w14:paraId="7CF08EE0">
      <w:pPr>
        <w:pStyle w:val="27"/>
        <w:bidi w:val="0"/>
      </w:pPr>
      <w:r>
        <w:t>IT运维服务的服务目标定义如下：</w:t>
      </w:r>
    </w:p>
    <w:p w14:paraId="680DDDE8">
      <w:pPr>
        <w:pStyle w:val="27"/>
        <w:bidi w:val="0"/>
      </w:pPr>
      <w:r>
        <w:t>不断提升客户满意度；</w:t>
      </w:r>
    </w:p>
    <w:p w14:paraId="7091E764">
      <w:pPr>
        <w:pStyle w:val="27"/>
        <w:bidi w:val="0"/>
      </w:pPr>
      <w:r>
        <w:t>不断提高系统的可靠性和稳定性；</w:t>
      </w:r>
    </w:p>
    <w:p w14:paraId="5C1FFE10">
      <w:pPr>
        <w:pStyle w:val="27"/>
        <w:bidi w:val="0"/>
      </w:pPr>
      <w:r>
        <w:t>确保无重大事件发生。</w:t>
      </w:r>
    </w:p>
    <w:p w14:paraId="1D8FFBDB">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_Toc24612"/>
      <w:r>
        <w:t>运维服务战略</w:t>
      </w:r>
      <w:bookmarkEnd w:id="23"/>
    </w:p>
    <w:p w14:paraId="00D6B721">
      <w:pPr>
        <w:pStyle w:val="27"/>
        <w:bidi w:val="0"/>
      </w:pPr>
      <w:r>
        <w:t>依据公司发展战略，公司的运维服务战略是：凭借公司优秀的专业化服务团队和丰富的行业信息技术服务经验，为客户提供专业化、规范化、高效率的运维服务，让公司的服务更高效、更健康。</w:t>
      </w:r>
    </w:p>
    <w:p w14:paraId="4A967E2F">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_Toc13508"/>
      <w:bookmarkStart w:id="25" w:name="_Toc699"/>
      <w:bookmarkStart w:id="26" w:name="_Toc1725"/>
      <w:r>
        <w:t>运行维护服务能力管理</w:t>
      </w:r>
      <w:bookmarkEnd w:id="24"/>
      <w:bookmarkEnd w:id="25"/>
      <w:bookmarkEnd w:id="26"/>
    </w:p>
    <w:p w14:paraId="1247DA35">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bookmark65"/>
      <w:bookmarkEnd w:id="27"/>
      <w:bookmarkStart w:id="28" w:name="_Toc17262"/>
      <w:bookmarkStart w:id="29" w:name="_Toc15603"/>
      <w:bookmarkStart w:id="30" w:name="_Toc29257"/>
      <w:r>
        <w:t>策划</w:t>
      </w:r>
      <w:bookmarkEnd w:id="28"/>
      <w:bookmarkEnd w:id="29"/>
      <w:bookmarkEnd w:id="30"/>
    </w:p>
    <w:p w14:paraId="6B7F8299">
      <w:pPr>
        <w:pStyle w:val="27"/>
        <w:bidi w:val="0"/>
      </w:pPr>
      <w:r>
        <w:t>运行维护服务策划阶段包括运维服务目录管理、运维服务规划等内容。具体包括：</w:t>
      </w:r>
    </w:p>
    <w:p w14:paraId="777C0127">
      <w:pPr>
        <w:pStyle w:val="27"/>
        <w:numPr>
          <w:ilvl w:val="0"/>
          <w:numId w:val="3"/>
        </w:numPr>
        <w:bidi w:val="0"/>
        <w:ind w:left="425" w:leftChars="0" w:hanging="425" w:firstLineChars="0"/>
      </w:pPr>
      <w:r>
        <w:t>制定运维服务目录，并根据公司运维发展更新运维服务目录；</w:t>
      </w:r>
    </w:p>
    <w:p w14:paraId="162208E8">
      <w:pPr>
        <w:pStyle w:val="27"/>
        <w:numPr>
          <w:ilvl w:val="0"/>
          <w:numId w:val="3"/>
        </w:numPr>
        <w:bidi w:val="0"/>
        <w:ind w:left="425" w:leftChars="0" w:hanging="425" w:firstLineChars="0"/>
      </w:pPr>
      <w:r>
        <w:t>依据公司业务需求，建立与运维服务相适应的运维部织架构和管理制度；</w:t>
      </w:r>
    </w:p>
    <w:p w14:paraId="1C73BCE1">
      <w:pPr>
        <w:pStyle w:val="27"/>
        <w:numPr>
          <w:ilvl w:val="0"/>
          <w:numId w:val="3"/>
        </w:numPr>
        <w:bidi w:val="0"/>
        <w:ind w:left="425" w:leftChars="0" w:hanging="425" w:firstLineChars="0"/>
      </w:pPr>
      <w:r>
        <w:t>建立运维服务的指标体系和保障体系；</w:t>
      </w:r>
    </w:p>
    <w:p w14:paraId="11B5B7EC">
      <w:pPr>
        <w:pStyle w:val="27"/>
        <w:numPr>
          <w:ilvl w:val="0"/>
          <w:numId w:val="3"/>
        </w:numPr>
        <w:bidi w:val="0"/>
        <w:ind w:left="425" w:leftChars="0" w:hanging="425" w:firstLineChars="0"/>
      </w:pPr>
      <w:r>
        <w:t>识别、评估和管理运维服务能力管理体系各项风险，以确保完成所计划的指标；</w:t>
      </w:r>
    </w:p>
    <w:p w14:paraId="7E22014B">
      <w:pPr>
        <w:pStyle w:val="27"/>
        <w:numPr>
          <w:ilvl w:val="0"/>
          <w:numId w:val="3"/>
        </w:numPr>
        <w:bidi w:val="0"/>
        <w:ind w:left="425" w:leftChars="0" w:hanging="425" w:firstLineChars="0"/>
      </w:pPr>
      <w:r>
        <w:t>策划并获得完成目标所需的相关资源（人员、资源、技术、过程等）；</w:t>
      </w:r>
    </w:p>
    <w:p w14:paraId="04B5C805">
      <w:pPr>
        <w:pStyle w:val="27"/>
        <w:numPr>
          <w:ilvl w:val="0"/>
          <w:numId w:val="3"/>
        </w:numPr>
        <w:bidi w:val="0"/>
        <w:ind w:left="425" w:leftChars="0" w:hanging="425" w:firstLineChars="0"/>
      </w:pPr>
      <w:r>
        <w:t>策划运维服务质量改进计划；</w:t>
      </w:r>
    </w:p>
    <w:p w14:paraId="22EDD721">
      <w:pPr>
        <w:pStyle w:val="27"/>
        <w:numPr>
          <w:ilvl w:val="0"/>
          <w:numId w:val="3"/>
        </w:numPr>
        <w:bidi w:val="0"/>
        <w:ind w:left="425" w:leftChars="0" w:hanging="425" w:firstLineChars="0"/>
      </w:pPr>
      <w:r>
        <w:t>依据运维服务战略，制定运维服务年度计划</w:t>
      </w:r>
      <w:r>
        <w:rPr>
          <w:rFonts w:hint="eastAsia"/>
          <w:lang w:eastAsia="zh-CN"/>
        </w:rPr>
        <w:t>，</w:t>
      </w:r>
      <w:r>
        <w:t>明确运维服务能力管理的需求及目标。</w:t>
      </w:r>
    </w:p>
    <w:p w14:paraId="3BBDD34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31" w:name="_Toc10449"/>
      <w:bookmarkStart w:id="32" w:name="_Toc25998"/>
      <w:bookmarkStart w:id="33" w:name="_Toc26626"/>
      <w:r>
        <w:t>运维服务目录管理</w:t>
      </w:r>
      <w:bookmarkEnd w:id="31"/>
      <w:bookmarkEnd w:id="32"/>
      <w:bookmarkEnd w:id="33"/>
    </w:p>
    <w:p w14:paraId="401FF63D">
      <w:pPr>
        <w:pStyle w:val="27"/>
        <w:bidi w:val="0"/>
      </w:pPr>
      <w:r>
        <w:t>运维部负责建立、修订、完善运行维护服务目录，并负责服务目录的管理。服务目录主要包含服务项目、服务内容、响应时间、服务频度、交付方式和服务交付成果等相关内容。</w:t>
      </w:r>
    </w:p>
    <w:p w14:paraId="6C20B6AC">
      <w:pPr>
        <w:pStyle w:val="27"/>
        <w:bidi w:val="0"/>
      </w:pPr>
      <w:r>
        <w:t>由运维部统一制订和发布运维服务目录，并配合运维服务的宣传推广工作，使公司内外部用户了解运维服务内容和服务产品，在客户需要时可以便捷、准确、及时的获得相关服务。</w:t>
      </w:r>
    </w:p>
    <w:p w14:paraId="087D9376">
      <w:pPr>
        <w:pStyle w:val="27"/>
        <w:bidi w:val="0"/>
      </w:pPr>
      <w:r>
        <w:t>运维部定期修订、完善服务目录，修订服务内容，根据运维服务的生命周期，定期增加或删除服务内容。</w:t>
      </w:r>
    </w:p>
    <w:p w14:paraId="5BE9D6C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34" w:name="_Toc23213"/>
      <w:r>
        <w:t>运维服务能力计划</w:t>
      </w:r>
      <w:bookmarkEnd w:id="34"/>
    </w:p>
    <w:p w14:paraId="7B0B461F">
      <w:pPr>
        <w:pStyle w:val="27"/>
        <w:bidi w:val="0"/>
      </w:pPr>
      <w:r>
        <w:t>运维服务能力计划，在每个年度的年初编制，每年一次。运维服务能力计划由运维服务能力管理体系管理者代表负责组织编制。</w:t>
      </w:r>
    </w:p>
    <w:p w14:paraId="0E6581EB">
      <w:pPr>
        <w:pStyle w:val="27"/>
        <w:bidi w:val="0"/>
      </w:pPr>
      <w:r>
        <w:t>运维服务能力计划是运维服务战略的体现，主要内容包括如下几个方面：</w:t>
      </w:r>
    </w:p>
    <w:p w14:paraId="63C18381">
      <w:pPr>
        <w:pStyle w:val="40"/>
        <w:numPr>
          <w:ilvl w:val="0"/>
          <w:numId w:val="4"/>
        </w:numPr>
        <w:bidi w:val="0"/>
        <w:ind w:left="425" w:leftChars="0" w:hanging="425" w:firstLineChars="0"/>
      </w:pPr>
      <w:r>
        <w:t>运维服务战略规划和战略执行计划；</w:t>
      </w:r>
    </w:p>
    <w:p w14:paraId="46DA4FF0">
      <w:pPr>
        <w:pStyle w:val="40"/>
        <w:numPr>
          <w:ilvl w:val="0"/>
          <w:numId w:val="4"/>
        </w:numPr>
        <w:bidi w:val="0"/>
        <w:ind w:left="425" w:leftChars="0" w:hanging="425" w:firstLineChars="0"/>
      </w:pPr>
      <w:r>
        <w:t>运维服务团队人力资源计划、储备、培养和培训；</w:t>
      </w:r>
    </w:p>
    <w:p w14:paraId="70810593">
      <w:pPr>
        <w:pStyle w:val="40"/>
        <w:numPr>
          <w:ilvl w:val="0"/>
          <w:numId w:val="4"/>
        </w:numPr>
        <w:bidi w:val="0"/>
        <w:ind w:left="425" w:leftChars="0" w:hanging="425" w:firstLineChars="0"/>
      </w:pPr>
      <w:r>
        <w:t>运维服务资源计划；</w:t>
      </w:r>
    </w:p>
    <w:p w14:paraId="0CF7B009">
      <w:pPr>
        <w:pStyle w:val="40"/>
        <w:numPr>
          <w:ilvl w:val="0"/>
          <w:numId w:val="4"/>
        </w:numPr>
        <w:bidi w:val="0"/>
        <w:ind w:left="425" w:leftChars="0" w:hanging="425" w:firstLineChars="0"/>
      </w:pPr>
      <w:r>
        <w:t>运维服务过程计划；</w:t>
      </w:r>
    </w:p>
    <w:p w14:paraId="1640CF0E">
      <w:pPr>
        <w:pStyle w:val="40"/>
        <w:numPr>
          <w:ilvl w:val="0"/>
          <w:numId w:val="4"/>
        </w:numPr>
        <w:bidi w:val="0"/>
        <w:ind w:left="425" w:leftChars="0" w:hanging="425" w:firstLineChars="0"/>
      </w:pPr>
      <w:r>
        <w:t>运维服务技术研发计划；</w:t>
      </w:r>
    </w:p>
    <w:p w14:paraId="10BFDE9E">
      <w:pPr>
        <w:pStyle w:val="40"/>
        <w:numPr>
          <w:ilvl w:val="0"/>
          <w:numId w:val="4"/>
        </w:numPr>
        <w:bidi w:val="0"/>
        <w:ind w:left="425" w:leftChars="0" w:hanging="425" w:firstLineChars="0"/>
      </w:pPr>
      <w:r>
        <w:t>运维服务能力管理体系改进计划；</w:t>
      </w:r>
    </w:p>
    <w:p w14:paraId="3F1A2845">
      <w:pPr>
        <w:pStyle w:val="40"/>
        <w:numPr>
          <w:ilvl w:val="0"/>
          <w:numId w:val="4"/>
        </w:numPr>
        <w:bidi w:val="0"/>
        <w:ind w:left="425" w:leftChars="0" w:hanging="425" w:firstLineChars="0"/>
      </w:pPr>
      <w:r>
        <w:t>交付和应急管理的计划；</w:t>
      </w:r>
    </w:p>
    <w:p w14:paraId="080ACDB5">
      <w:pPr>
        <w:pStyle w:val="40"/>
        <w:numPr>
          <w:ilvl w:val="0"/>
          <w:numId w:val="4"/>
        </w:numPr>
        <w:bidi w:val="0"/>
        <w:ind w:left="425" w:leftChars="0" w:hanging="425" w:firstLineChars="0"/>
      </w:pPr>
      <w:r>
        <w:t>运维服务能力管理指标的优化。</w:t>
      </w:r>
    </w:p>
    <w:p w14:paraId="74EABDC9">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35" w:name="_Toc20562"/>
      <w:bookmarkStart w:id="36" w:name="_Toc9987"/>
      <w:bookmarkStart w:id="37" w:name="_Toc24467"/>
      <w:r>
        <w:t>运维服务质量计划</w:t>
      </w:r>
      <w:bookmarkEnd w:id="35"/>
      <w:bookmarkEnd w:id="36"/>
      <w:bookmarkEnd w:id="37"/>
    </w:p>
    <w:p w14:paraId="12248C75">
      <w:pPr>
        <w:pStyle w:val="27"/>
        <w:bidi w:val="0"/>
      </w:pPr>
      <w:r>
        <w:t>运维服务质量计划，在每个年度的年初编制，每年一次。运维服务质量计划由质量部组织编制，包括内审、管理评审、内部过程改进、客户满意度、运维服务指标数据分析等各项内容。</w:t>
      </w:r>
    </w:p>
    <w:p w14:paraId="5EC419BA">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8" w:name="_Toc19168"/>
      <w:bookmarkStart w:id="39" w:name="_Toc29847"/>
      <w:bookmarkStart w:id="40" w:name="_Toc11885"/>
      <w:r>
        <w:t>实施</w:t>
      </w:r>
      <w:bookmarkEnd w:id="38"/>
      <w:bookmarkEnd w:id="39"/>
      <w:bookmarkEnd w:id="40"/>
    </w:p>
    <w:p w14:paraId="4C590150">
      <w:pPr>
        <w:pStyle w:val="27"/>
        <w:bidi w:val="0"/>
      </w:pPr>
      <w:r>
        <w:t>运维部各工作组及各运维服务相关部门依照运维服务能力管理体系要求，在运维服务能力计划的基础上，执行运行维护服务的相关流程，实施、管理与交付服务，以满足与客户协商确定的服务承诺。具体包括：</w:t>
      </w:r>
    </w:p>
    <w:p w14:paraId="29B01A30">
      <w:pPr>
        <w:pStyle w:val="40"/>
        <w:numPr>
          <w:ilvl w:val="0"/>
          <w:numId w:val="5"/>
        </w:numPr>
        <w:bidi w:val="0"/>
        <w:ind w:left="425" w:leftChars="0" w:hanging="425" w:firstLineChars="0"/>
      </w:pPr>
      <w:r>
        <w:t>制定与运维服务能力管理体系和运维服务能力计划相适宜的部门运维服务实施计划和项目管理制度，保证运维服务策划所要求的服务能力及服务质量；</w:t>
      </w:r>
    </w:p>
    <w:p w14:paraId="418B4D8C">
      <w:pPr>
        <w:pStyle w:val="40"/>
        <w:numPr>
          <w:ilvl w:val="0"/>
          <w:numId w:val="5"/>
        </w:numPr>
        <w:bidi w:val="0"/>
        <w:ind w:left="425" w:leftChars="0" w:hanging="425" w:firstLineChars="0"/>
      </w:pPr>
      <w:r>
        <w:t>建立与客户有效沟通协调的制度，以保证客户的需求和反馈得到充分的确认；</w:t>
      </w:r>
    </w:p>
    <w:p w14:paraId="5EEBF657">
      <w:pPr>
        <w:pStyle w:val="40"/>
        <w:numPr>
          <w:ilvl w:val="0"/>
          <w:numId w:val="5"/>
        </w:numPr>
        <w:bidi w:val="0"/>
        <w:ind w:left="425" w:leftChars="0" w:hanging="425" w:firstLineChars="0"/>
      </w:pPr>
      <w:r>
        <w:t>运维服务实施过程所有记录需按要求执行并存档，保证服务过程可追溯，结果可计量和评估，便于发现运维服务能力的不足，进而持续改进；</w:t>
      </w:r>
    </w:p>
    <w:p w14:paraId="363DE275">
      <w:pPr>
        <w:pStyle w:val="40"/>
        <w:numPr>
          <w:ilvl w:val="0"/>
          <w:numId w:val="5"/>
        </w:numPr>
        <w:bidi w:val="0"/>
        <w:ind w:left="425" w:leftChars="0" w:hanging="425" w:firstLineChars="0"/>
      </w:pPr>
      <w:r>
        <w:t>质量部对交付过程和交付物进行客观审计；</w:t>
      </w:r>
    </w:p>
    <w:p w14:paraId="25731E0A">
      <w:pPr>
        <w:pStyle w:val="40"/>
        <w:numPr>
          <w:ilvl w:val="0"/>
          <w:numId w:val="5"/>
        </w:numPr>
        <w:bidi w:val="0"/>
        <w:ind w:left="425" w:leftChars="0" w:hanging="425" w:firstLineChars="0"/>
      </w:pPr>
      <w:r>
        <w:t>质量部对实施结果定期组织总结评估，提出问题改进办法和优化建议。</w:t>
      </w:r>
    </w:p>
    <w:p w14:paraId="5BC4E62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41" w:name="_Toc8687"/>
      <w:bookmarkStart w:id="42" w:name="_Toc15216"/>
      <w:bookmarkStart w:id="43" w:name="_Toc31148"/>
      <w:r>
        <w:t>检查</w:t>
      </w:r>
      <w:bookmarkEnd w:id="41"/>
      <w:bookmarkEnd w:id="42"/>
      <w:bookmarkEnd w:id="43"/>
    </w:p>
    <w:p w14:paraId="7CE6C496">
      <w:pPr>
        <w:pStyle w:val="27"/>
        <w:bidi w:val="0"/>
      </w:pPr>
      <w:r>
        <w:t>为保证运维服务能力管理体系和服务能力的持续性、适用性和有效性，对实施结果和过程的执行进行检查、计量、评审和分析。具体包括：</w:t>
      </w:r>
    </w:p>
    <w:p w14:paraId="2F5FBD54">
      <w:pPr>
        <w:pStyle w:val="40"/>
        <w:numPr>
          <w:ilvl w:val="0"/>
          <w:numId w:val="6"/>
        </w:numPr>
        <w:bidi w:val="0"/>
        <w:ind w:left="425" w:leftChars="0" w:hanging="425" w:firstLineChars="0"/>
      </w:pPr>
      <w:r>
        <w:t>公司质量部负责每年组织一到两次例行的内审工作，对运维服务体系运行的过程和指标进行检查，对不符合管理要求的过程和指标进行跟踪验证，直至闭合，并编制审核报告报运维服务能力管理层决策；</w:t>
      </w:r>
    </w:p>
    <w:p w14:paraId="1F535B57">
      <w:pPr>
        <w:pStyle w:val="40"/>
        <w:numPr>
          <w:ilvl w:val="0"/>
          <w:numId w:val="6"/>
        </w:numPr>
        <w:bidi w:val="0"/>
        <w:ind w:left="425" w:leftChars="0" w:hanging="425" w:firstLineChars="0"/>
      </w:pPr>
      <w:r>
        <w:t>内部过程改进；</w:t>
      </w:r>
    </w:p>
    <w:p w14:paraId="5E64E2E5">
      <w:pPr>
        <w:pStyle w:val="40"/>
        <w:numPr>
          <w:ilvl w:val="0"/>
          <w:numId w:val="6"/>
        </w:numPr>
        <w:bidi w:val="0"/>
        <w:ind w:left="425" w:leftChars="0" w:hanging="425" w:firstLineChars="0"/>
      </w:pPr>
      <w:r>
        <w:t>公司定期调查客户满意度，并对调查结果进行统计分析；</w:t>
      </w:r>
    </w:p>
    <w:p w14:paraId="44BF245B">
      <w:pPr>
        <w:pStyle w:val="40"/>
        <w:numPr>
          <w:ilvl w:val="0"/>
          <w:numId w:val="6"/>
        </w:numPr>
        <w:bidi w:val="0"/>
        <w:ind w:left="425" w:leftChars="0" w:hanging="425" w:firstLineChars="0"/>
      </w:pPr>
      <w:r>
        <w:rPr>
          <w:rFonts w:hint="eastAsia"/>
          <w:lang w:val="en-US" w:eastAsia="zh-CN"/>
        </w:rPr>
        <w:t>由运维部和质量部进行</w:t>
      </w:r>
      <w:r>
        <w:t>运维服务指标数据分析。</w:t>
      </w:r>
    </w:p>
    <w:p w14:paraId="0425B872">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44" w:name="_Toc15079"/>
      <w:bookmarkStart w:id="45" w:name="_Toc12549"/>
      <w:bookmarkStart w:id="46" w:name="_Toc30188"/>
      <w:r>
        <w:t>内审</w:t>
      </w:r>
      <w:bookmarkEnd w:id="44"/>
      <w:bookmarkEnd w:id="45"/>
      <w:bookmarkEnd w:id="46"/>
    </w:p>
    <w:p w14:paraId="24E5F0D9">
      <w:pPr>
        <w:pStyle w:val="27"/>
        <w:bidi w:val="0"/>
      </w:pPr>
      <w:r>
        <w:t>为验证运维服务能力管理体系活动和有关结果是否符合信息技术服务相关标准要求和运维服务能力管理体系文件，公司质量部组织相关服务部门针对运维服务能力管理体系进行内部审查工作。</w:t>
      </w:r>
    </w:p>
    <w:p w14:paraId="50194D0A">
      <w:pPr>
        <w:pStyle w:val="27"/>
        <w:bidi w:val="0"/>
      </w:pPr>
      <w:r>
        <w:t>年度内审计划由质量部负责编制，根据各部门服务管理体系实施情况、重要性及以往审核结果编制年度内部审核计划，内审计划报管理者代表批准后实施。</w:t>
      </w:r>
    </w:p>
    <w:p w14:paraId="4F350F94">
      <w:pPr>
        <w:pStyle w:val="27"/>
        <w:bidi w:val="0"/>
      </w:pPr>
      <w:r>
        <w:t>内部审核每年至少进行一次，审核覆盖运维服务能力管理体系涉及的所有部门和运维服务能力管理体系全部要求。</w:t>
      </w:r>
    </w:p>
    <w:p w14:paraId="606EA300">
      <w:pPr>
        <w:pStyle w:val="27"/>
        <w:bidi w:val="0"/>
      </w:pPr>
      <w:r>
        <w:t>内审小组的人员构成主要由质量管理人员、运维服务流程负责人等组成。运维服务能力管理体系可与质量管理体系一并审核。</w:t>
      </w:r>
    </w:p>
    <w:p w14:paraId="10DE10B9">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47" w:name="_Toc8160"/>
      <w:bookmarkStart w:id="48" w:name="_Toc680"/>
      <w:bookmarkStart w:id="49" w:name="_Toc6776"/>
      <w:r>
        <w:t>管理评审</w:t>
      </w:r>
      <w:bookmarkEnd w:id="47"/>
      <w:bookmarkEnd w:id="48"/>
      <w:bookmarkEnd w:id="49"/>
    </w:p>
    <w:p w14:paraId="3748AD3A">
      <w:pPr>
        <w:pStyle w:val="27"/>
        <w:bidi w:val="0"/>
      </w:pPr>
      <w:r>
        <w:t>为确保运维服务能力管理体系和服务能力的持续性、适用性和有效性，公司管理层每年进行一次例行的管理评审，对运维服务体系的现状和适应性做出评价。</w:t>
      </w:r>
    </w:p>
    <w:p w14:paraId="25538B20">
      <w:pPr>
        <w:pStyle w:val="27"/>
        <w:bidi w:val="0"/>
      </w:pPr>
      <w:r>
        <w:t>管理评审由公司质量部启动，管理者代表和质量部具体组织和实施相关准备工作，就组织机构、人员、资源、技术、过程、交付</w:t>
      </w:r>
      <w:r>
        <w:rPr>
          <w:rFonts w:hint="eastAsia"/>
          <w:lang w:val="en-US" w:eastAsia="zh-CN"/>
        </w:rPr>
        <w:t>和</w:t>
      </w:r>
      <w:r>
        <w:t>应急方面作出决策，以保证体系持续有效的要求。</w:t>
      </w:r>
    </w:p>
    <w:p w14:paraId="7343BC20">
      <w:pPr>
        <w:pStyle w:val="27"/>
        <w:bidi w:val="0"/>
      </w:pPr>
      <w:r>
        <w:t>管理评审每年一次，特殊情况下，如：管理方针、目标、组织结构、业务流程出现重大调整，出现重大的质量事故和客户投诉，由运维服务能力管理体系指导组成员提出申请，经最高管理者批准后，管理评审可随时举行。</w:t>
      </w:r>
    </w:p>
    <w:p w14:paraId="3168877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50" w:name="_Toc11653"/>
      <w:bookmarkStart w:id="51" w:name="_Toc7688"/>
      <w:bookmarkStart w:id="52" w:name="_Toc16983"/>
      <w:r>
        <w:t>客户满意度</w:t>
      </w:r>
      <w:bookmarkEnd w:id="50"/>
      <w:bookmarkEnd w:id="51"/>
      <w:bookmarkEnd w:id="52"/>
    </w:p>
    <w:p w14:paraId="68612FE8">
      <w:pPr>
        <w:pStyle w:val="27"/>
        <w:bidi w:val="0"/>
      </w:pPr>
      <w:r>
        <w:t>运维部服务台组负责调查客户满意度信息，将其作为运维服务能力管理体系有效的一种度量，并充分加以利用。</w:t>
      </w:r>
    </w:p>
    <w:p w14:paraId="602D712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53" w:name="_Toc25795"/>
      <w:bookmarkStart w:id="54" w:name="_Toc2959"/>
      <w:bookmarkStart w:id="55" w:name="_Toc17579"/>
      <w:r>
        <w:t>改进</w:t>
      </w:r>
      <w:bookmarkEnd w:id="53"/>
      <w:bookmarkEnd w:id="54"/>
      <w:bookmarkEnd w:id="55"/>
    </w:p>
    <w:p w14:paraId="14E36B5C">
      <w:pPr>
        <w:pStyle w:val="27"/>
        <w:bidi w:val="0"/>
      </w:pPr>
      <w:r>
        <w:t>为了改进公司运行维护服务能力管理过程中的不足，持续提升运行维护服务能力，管理者代表组织好改进过程的策划工作，由质量部负责实施改进过程的管理。具体包括：</w:t>
      </w:r>
    </w:p>
    <w:p w14:paraId="5E2359B2">
      <w:pPr>
        <w:pStyle w:val="40"/>
        <w:numPr>
          <w:ilvl w:val="0"/>
          <w:numId w:val="7"/>
        </w:numPr>
        <w:bidi w:val="0"/>
        <w:ind w:left="425" w:leftChars="0" w:hanging="425" w:firstLineChars="0"/>
      </w:pPr>
      <w:r>
        <w:t>制定有效的、全面的服务能力改进机制，确保运维服务能力不断提高；</w:t>
      </w:r>
    </w:p>
    <w:p w14:paraId="34A9330B">
      <w:pPr>
        <w:pStyle w:val="40"/>
        <w:numPr>
          <w:ilvl w:val="0"/>
          <w:numId w:val="7"/>
        </w:numPr>
        <w:bidi w:val="0"/>
        <w:ind w:left="425" w:leftChars="0" w:hanging="425" w:firstLineChars="0"/>
      </w:pPr>
      <w:r>
        <w:t>对管控过程中发现的不符合策划要求的行为和未达成的指标进行总结、调查分析，质量部负责根据分析结果确定改进措施，监控改进计划的落实；</w:t>
      </w:r>
    </w:p>
    <w:p w14:paraId="66CBA260">
      <w:pPr>
        <w:pStyle w:val="40"/>
        <w:numPr>
          <w:ilvl w:val="0"/>
          <w:numId w:val="7"/>
        </w:numPr>
        <w:bidi w:val="0"/>
        <w:ind w:left="425" w:leftChars="0" w:hanging="425" w:firstLineChars="0"/>
      </w:pPr>
      <w:r>
        <w:t>改进相关过程文件，包括制度文件、分析报告、改进计划和相关记录等予以存档。</w:t>
      </w:r>
    </w:p>
    <w:p w14:paraId="2B0FDCDD">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56" w:name="_Toc24696"/>
      <w:bookmarkStart w:id="57" w:name="_Toc26260"/>
      <w:bookmarkStart w:id="58" w:name="_Toc10477"/>
      <w:r>
        <w:t>交付</w:t>
      </w:r>
      <w:bookmarkEnd w:id="56"/>
      <w:bookmarkEnd w:id="57"/>
      <w:bookmarkEnd w:id="58"/>
    </w:p>
    <w:p w14:paraId="11E4DB8A">
      <w:pPr>
        <w:pStyle w:val="27"/>
        <w:bidi w:val="0"/>
      </w:pPr>
      <w:r>
        <w:t>为了向用户方交付有效、高效和合理的运维服务，使公司和用户方对运维服务交付标准达成一致，为用户方和公司提供运维交付的最佳实践和质量。公司对服务交付过程规划、实施、检查和改进以保障运维服务SLA的达成。</w:t>
      </w:r>
    </w:p>
    <w:p w14:paraId="7A303DD6">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59" w:name="_Toc17636"/>
      <w:bookmarkStart w:id="60" w:name="_Toc10892"/>
      <w:bookmarkStart w:id="61" w:name="_Toc1547"/>
      <w:r>
        <w:t>交付策划</w:t>
      </w:r>
      <w:bookmarkEnd w:id="59"/>
      <w:bookmarkEnd w:id="60"/>
      <w:bookmarkEnd w:id="61"/>
    </w:p>
    <w:p w14:paraId="0E5CF3A5">
      <w:pPr>
        <w:pStyle w:val="27"/>
        <w:bidi w:val="0"/>
      </w:pPr>
      <w:r>
        <w:t>根据用户方需求和公司自身能力，双方协商签署项目合同；公司做好必要的交付准备，制定运维项目服务交付计划，确保服务正常提供。</w:t>
      </w:r>
    </w:p>
    <w:p w14:paraId="4FAA5263">
      <w:pPr>
        <w:pStyle w:val="27"/>
        <w:bidi w:val="0"/>
      </w:pPr>
      <w:r>
        <w:t>运维项目服务交付计划中内容包括：</w:t>
      </w:r>
    </w:p>
    <w:p w14:paraId="188BDCF6">
      <w:pPr>
        <w:pStyle w:val="40"/>
        <w:numPr>
          <w:ilvl w:val="0"/>
          <w:numId w:val="8"/>
        </w:numPr>
        <w:bidi w:val="0"/>
        <w:ind w:left="425" w:leftChars="0" w:hanging="425" w:firstLineChars="0"/>
      </w:pPr>
      <w:r>
        <w:t>依据服务目录与用户方确认服务级别协议；</w:t>
      </w:r>
    </w:p>
    <w:p w14:paraId="1C60F525">
      <w:pPr>
        <w:pStyle w:val="40"/>
        <w:numPr>
          <w:ilvl w:val="0"/>
          <w:numId w:val="8"/>
        </w:numPr>
        <w:bidi w:val="0"/>
        <w:ind w:left="425" w:leftChars="0" w:hanging="425" w:firstLineChars="0"/>
      </w:pPr>
      <w:r>
        <w:t>编制交付实施计划、交付检查计划和交付改进计划；</w:t>
      </w:r>
    </w:p>
    <w:p w14:paraId="1DB67D1E">
      <w:pPr>
        <w:pStyle w:val="40"/>
        <w:numPr>
          <w:ilvl w:val="0"/>
          <w:numId w:val="8"/>
        </w:numPr>
        <w:bidi w:val="0"/>
        <w:ind w:left="425" w:leftChars="0" w:hanging="425" w:firstLineChars="0"/>
      </w:pPr>
      <w:r>
        <w:t>配备符合能力要求的管理人员和专业人员；</w:t>
      </w:r>
    </w:p>
    <w:p w14:paraId="54F3D77C">
      <w:pPr>
        <w:pStyle w:val="40"/>
        <w:numPr>
          <w:ilvl w:val="0"/>
          <w:numId w:val="8"/>
        </w:numPr>
        <w:bidi w:val="0"/>
        <w:ind w:left="425" w:leftChars="0" w:hanging="425" w:firstLineChars="0"/>
      </w:pPr>
      <w:r>
        <w:t>明确职责分工、服务流程和关键技术要求，必要时提供服务手册和技术手册；</w:t>
      </w:r>
    </w:p>
    <w:p w14:paraId="0B48CA94">
      <w:pPr>
        <w:pStyle w:val="40"/>
        <w:numPr>
          <w:ilvl w:val="0"/>
          <w:numId w:val="8"/>
        </w:numPr>
        <w:bidi w:val="0"/>
        <w:ind w:left="425" w:leftChars="0" w:hanging="425" w:firstLineChars="0"/>
      </w:pPr>
      <w:r>
        <w:t>准备必要的资源，如工具、服务台和知识库；</w:t>
      </w:r>
    </w:p>
    <w:p w14:paraId="783DA19D">
      <w:pPr>
        <w:pStyle w:val="40"/>
        <w:numPr>
          <w:ilvl w:val="0"/>
          <w:numId w:val="8"/>
        </w:numPr>
        <w:bidi w:val="0"/>
        <w:ind w:left="425" w:leftChars="0" w:hanging="425" w:firstLineChars="0"/>
      </w:pPr>
      <w:r>
        <w:t>明确考核要求、计算办法和奖惩措施；</w:t>
      </w:r>
    </w:p>
    <w:p w14:paraId="3290ABB2">
      <w:pPr>
        <w:pStyle w:val="40"/>
        <w:numPr>
          <w:ilvl w:val="0"/>
          <w:numId w:val="8"/>
        </w:numPr>
        <w:bidi w:val="0"/>
        <w:ind w:left="425" w:leftChars="0" w:hanging="425" w:firstLineChars="0"/>
      </w:pPr>
      <w:r>
        <w:t>明确服务交付过程中的安全要求，并采取保障措施，如签署保密协议等；</w:t>
      </w:r>
    </w:p>
    <w:p w14:paraId="17591E46">
      <w:pPr>
        <w:pStyle w:val="40"/>
        <w:numPr>
          <w:ilvl w:val="0"/>
          <w:numId w:val="8"/>
        </w:numPr>
        <w:bidi w:val="0"/>
        <w:ind w:left="425" w:leftChars="0" w:hanging="425" w:firstLineChars="0"/>
      </w:pPr>
      <w:r>
        <w:t>明确服务交付过程中可能存在的各种风险，制定风险规避计划；</w:t>
      </w:r>
    </w:p>
    <w:p w14:paraId="6C9C2773">
      <w:pPr>
        <w:pStyle w:val="40"/>
        <w:numPr>
          <w:ilvl w:val="0"/>
          <w:numId w:val="8"/>
        </w:numPr>
        <w:bidi w:val="0"/>
        <w:ind w:left="425" w:leftChars="0" w:hanging="425" w:firstLineChars="0"/>
      </w:pPr>
      <w:r>
        <w:t>与用户方就必要信息达成共识，如时间计划、人员配备、投诉受理渠道及流程等；</w:t>
      </w:r>
    </w:p>
    <w:p w14:paraId="693E6982">
      <w:pPr>
        <w:pStyle w:val="40"/>
        <w:numPr>
          <w:ilvl w:val="0"/>
          <w:numId w:val="8"/>
        </w:numPr>
        <w:bidi w:val="0"/>
        <w:ind w:left="425" w:leftChars="0" w:hanging="425" w:firstLineChars="0"/>
      </w:pPr>
      <w:r>
        <w:t>明确供需双方产生异议的处理原则；</w:t>
      </w:r>
    </w:p>
    <w:p w14:paraId="4FA52467">
      <w:pPr>
        <w:pStyle w:val="40"/>
        <w:numPr>
          <w:ilvl w:val="0"/>
          <w:numId w:val="8"/>
        </w:numPr>
        <w:bidi w:val="0"/>
        <w:ind w:left="425" w:leftChars="0" w:hanging="425" w:firstLineChars="0"/>
      </w:pPr>
      <w:r>
        <w:t>明确供需双方在交付过程中产生遗留问题的处理原则；</w:t>
      </w:r>
    </w:p>
    <w:p w14:paraId="45EE949C">
      <w:pPr>
        <w:pStyle w:val="40"/>
        <w:numPr>
          <w:ilvl w:val="0"/>
          <w:numId w:val="8"/>
        </w:numPr>
        <w:bidi w:val="0"/>
        <w:ind w:left="425" w:leftChars="0" w:hanging="425" w:firstLineChars="0"/>
      </w:pPr>
      <w:r>
        <w:t>针对应急事件制定预案。</w:t>
      </w:r>
    </w:p>
    <w:p w14:paraId="060BFC7B">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62" w:name="_Toc9794"/>
      <w:bookmarkStart w:id="63" w:name="_Toc20379"/>
      <w:bookmarkStart w:id="64" w:name="_Toc13772"/>
      <w:r>
        <w:t>交付实施</w:t>
      </w:r>
      <w:bookmarkEnd w:id="62"/>
      <w:bookmarkEnd w:id="63"/>
      <w:bookmarkEnd w:id="64"/>
    </w:p>
    <w:p w14:paraId="598166C5">
      <w:pPr>
        <w:pStyle w:val="27"/>
        <w:bidi w:val="0"/>
      </w:pPr>
      <w:r>
        <w:t>按照交付策划向用户方提供运行维护服务，完成服务级别协议规定内容。交付实施过程中按照规定的</w:t>
      </w:r>
      <w:r>
        <w:rPr>
          <w:rFonts w:hint="eastAsia"/>
          <w:lang w:val="en-US" w:eastAsia="zh-CN"/>
        </w:rPr>
        <w:t>服务过程框架、</w:t>
      </w:r>
      <w:r>
        <w:t>服务级别、服务报告、事件、问题、配置、变更、发布、</w:t>
      </w:r>
      <w:r>
        <w:rPr>
          <w:rFonts w:hint="eastAsia"/>
          <w:lang w:val="en-US" w:eastAsia="zh-CN"/>
        </w:rPr>
        <w:t>容量、服务可用性和连续性和</w:t>
      </w:r>
      <w:r>
        <w:t>信息安全</w:t>
      </w:r>
      <w:r>
        <w:rPr>
          <w:rFonts w:hint="eastAsia"/>
          <w:lang w:val="en-US" w:eastAsia="zh-CN"/>
        </w:rPr>
        <w:t>10</w:t>
      </w:r>
      <w:r>
        <w:t xml:space="preserve"> 个过程程序管理要求进行过程实施和记录。</w:t>
      </w:r>
    </w:p>
    <w:p w14:paraId="08A52178">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65" w:name="_Toc10545"/>
      <w:bookmarkStart w:id="66" w:name="_Toc22838"/>
      <w:bookmarkStart w:id="67" w:name="_Toc13413"/>
      <w:r>
        <w:t>交付检查</w:t>
      </w:r>
      <w:bookmarkEnd w:id="65"/>
      <w:bookmarkEnd w:id="66"/>
      <w:bookmarkEnd w:id="67"/>
    </w:p>
    <w:p w14:paraId="08C9C21D">
      <w:pPr>
        <w:pStyle w:val="27"/>
        <w:bidi w:val="0"/>
      </w:pPr>
      <w:r>
        <w:t>公司质量部对项目做过程审计和项目质量点检查确保项目的交付过程和成果的有效性，通过抽查和定期的客户满意度调查，和用户方确认完成情况和满意度情况，并对发现的问题提出改进建议。</w:t>
      </w:r>
    </w:p>
    <w:p w14:paraId="39CDDC0E">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68" w:name="_Toc9593"/>
      <w:r>
        <w:t>交付改进</w:t>
      </w:r>
      <w:bookmarkEnd w:id="68"/>
    </w:p>
    <w:p w14:paraId="130E4CF7">
      <w:pPr>
        <w:pStyle w:val="27"/>
        <w:bidi w:val="0"/>
      </w:pPr>
      <w:r>
        <w:t>总结和分析不符合的服务交付，项目负责人以及各领域负责人根据业务影响分析，对不符合和用户方不满意，以及需要规避改进的内容进行跟踪性改进，以确保服务持续改进。</w:t>
      </w:r>
    </w:p>
    <w:p w14:paraId="4F4AFC4B">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69" w:name="_Toc25038"/>
      <w:bookmarkStart w:id="70" w:name="_Toc2610"/>
      <w:bookmarkStart w:id="71" w:name="_Toc5952"/>
      <w:r>
        <w:t>应急</w:t>
      </w:r>
      <w:bookmarkEnd w:id="69"/>
      <w:bookmarkEnd w:id="70"/>
      <w:bookmarkEnd w:id="71"/>
    </w:p>
    <w:p w14:paraId="2328AB3A">
      <w:pPr>
        <w:pStyle w:val="27"/>
        <w:bidi w:val="0"/>
      </w:pPr>
      <w:r>
        <w:t>为预防和控制潜在的事故或紧急情况，并对其做出应急准备和响应，最大限度地减少可能产生的事故和可能造成的后果，应对应急准备、监测与预警、应急处置和总结改进进行管理。</w:t>
      </w:r>
    </w:p>
    <w:p w14:paraId="6AF511C6">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72" w:name="_Toc19736"/>
      <w:bookmarkStart w:id="73" w:name="_Toc25441"/>
      <w:bookmarkStart w:id="74" w:name="_Toc15247"/>
      <w:r>
        <w:t>应急准备</w:t>
      </w:r>
      <w:bookmarkEnd w:id="72"/>
      <w:bookmarkEnd w:id="73"/>
      <w:bookmarkEnd w:id="74"/>
    </w:p>
    <w:p w14:paraId="404571F2">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75" w:name="_Toc1305"/>
      <w:bookmarkStart w:id="76" w:name="_Toc2930"/>
      <w:bookmarkStart w:id="77" w:name="_Toc2497"/>
      <w:r>
        <w:t>应急响应组织</w:t>
      </w:r>
      <w:bookmarkEnd w:id="75"/>
      <w:bookmarkEnd w:id="76"/>
      <w:bookmarkEnd w:id="77"/>
    </w:p>
    <w:p w14:paraId="1649713F">
      <w:pPr>
        <w:pStyle w:val="27"/>
        <w:bidi w:val="0"/>
      </w:pPr>
      <w:r>
        <w:t>成立应急</w:t>
      </w:r>
      <w:r>
        <w:rPr>
          <w:rFonts w:hint="eastAsia"/>
          <w:lang w:val="en-US" w:eastAsia="zh-CN"/>
        </w:rPr>
        <w:t>管理</w:t>
      </w:r>
      <w:r>
        <w:t>小组，由公司副总经理担任组长；由质量部、研发部等相关部门领导、技术骨干等组成。</w:t>
      </w:r>
    </w:p>
    <w:p w14:paraId="35AA0AD4">
      <w:pPr>
        <w:pStyle w:val="27"/>
        <w:bidi w:val="0"/>
      </w:pPr>
      <w:r>
        <w:t>组织开展事件预防、应急处置、恢复运行、事件通报等各项应急工作。相关部门要主动协调有关各方面，参与实施部门听从指挥、步调一致。</w:t>
      </w:r>
    </w:p>
    <w:p w14:paraId="5A2B7D3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78" w:name="_Toc20557"/>
      <w:bookmarkStart w:id="79" w:name="_Toc942"/>
      <w:bookmarkStart w:id="80" w:name="_Toc13754"/>
      <w:r>
        <w:t>应急响应制度</w:t>
      </w:r>
      <w:bookmarkEnd w:id="78"/>
      <w:bookmarkEnd w:id="79"/>
      <w:bookmarkEnd w:id="80"/>
    </w:p>
    <w:p w14:paraId="25AF6D28">
      <w:pPr>
        <w:pStyle w:val="27"/>
        <w:bidi w:val="0"/>
      </w:pPr>
      <w:r>
        <w:t>制定应急响应管理规范，明确应急响应的目标、原则、范围，并要求：与相关利益方就应急响应制度达成一致；</w:t>
      </w:r>
    </w:p>
    <w:p w14:paraId="1EF6B225">
      <w:pPr>
        <w:pStyle w:val="27"/>
        <w:bidi w:val="0"/>
      </w:pPr>
      <w:r>
        <w:t>定期对应急响应制度进行评审；</w:t>
      </w:r>
    </w:p>
    <w:p w14:paraId="05EE8313">
      <w:pPr>
        <w:pStyle w:val="27"/>
        <w:bidi w:val="0"/>
      </w:pPr>
      <w:r>
        <w:t>在组织战略、业务流程、客户要求等发生重大变化时对应急响应制度进行调整。</w:t>
      </w:r>
    </w:p>
    <w:p w14:paraId="1E58496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81" w:name="_Toc23059"/>
      <w:bookmarkStart w:id="82" w:name="_Toc13138"/>
      <w:bookmarkStart w:id="83" w:name="_Toc25410"/>
      <w:r>
        <w:t>风险评估与改进</w:t>
      </w:r>
      <w:bookmarkEnd w:id="81"/>
      <w:bookmarkEnd w:id="82"/>
      <w:bookmarkEnd w:id="83"/>
    </w:p>
    <w:p w14:paraId="7188C0A8">
      <w:pPr>
        <w:pStyle w:val="40"/>
        <w:numPr>
          <w:ilvl w:val="0"/>
          <w:numId w:val="9"/>
        </w:numPr>
        <w:bidi w:val="0"/>
      </w:pPr>
      <w:r>
        <w:t>风险评估</w:t>
      </w:r>
    </w:p>
    <w:p w14:paraId="6F078628">
      <w:pPr>
        <w:pStyle w:val="27"/>
        <w:bidi w:val="0"/>
      </w:pPr>
      <w:r>
        <w:t>按照确定的方法和流程对重要信息系统实施风险评估，确保了解其在运行维护过程中的关键活动、所需资源、限制条件及信息系统面临的各种风险要素。了解当风险演变为应急事件时所产生的影响和后果，以及信息系统服务中断所带来的损失。</w:t>
      </w:r>
    </w:p>
    <w:p w14:paraId="56CC3C92">
      <w:pPr>
        <w:pStyle w:val="27"/>
        <w:bidi w:val="0"/>
      </w:pPr>
      <w:r>
        <w:t>企业授权组织内或组织外的服务公司进行风险识别，并将授权通知到所有相关利益方。被授权的服务公司结合具体的信息系统现状和要求，从技术和管理等方面确定风险要素。</w:t>
      </w:r>
    </w:p>
    <w:p w14:paraId="18676D01">
      <w:pPr>
        <w:pStyle w:val="40"/>
        <w:numPr>
          <w:ilvl w:val="0"/>
          <w:numId w:val="9"/>
        </w:numPr>
        <w:bidi w:val="0"/>
      </w:pPr>
      <w:r>
        <w:t>改进</w:t>
      </w:r>
    </w:p>
    <w:p w14:paraId="2739BAC5">
      <w:pPr>
        <w:pStyle w:val="27"/>
        <w:bidi w:val="0"/>
      </w:pPr>
      <w:r>
        <w:t>对于识别出的各种风险，制定明确的控制策略，必要时对业务系统进行升级改造。可供选择的风险控制策略包括：风险规避、风险转移、风险降低、风险接受。</w:t>
      </w:r>
    </w:p>
    <w:p w14:paraId="567F1D06">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84" w:name="_Toc20133"/>
      <w:bookmarkStart w:id="85" w:name="_Toc9845"/>
      <w:bookmarkStart w:id="86" w:name="_Toc31686"/>
      <w:r>
        <w:t>应急事件级别划分</w:t>
      </w:r>
      <w:bookmarkEnd w:id="84"/>
      <w:bookmarkEnd w:id="85"/>
      <w:bookmarkEnd w:id="86"/>
    </w:p>
    <w:p w14:paraId="4930EFB8">
      <w:pPr>
        <w:pStyle w:val="27"/>
        <w:bidi w:val="0"/>
      </w:pPr>
      <w:r>
        <w:t>按照系统的订单等级、系统服务时段、系统受损程度要素对可能发生的应急事件进行级别划分。</w:t>
      </w:r>
    </w:p>
    <w:p w14:paraId="061B21C9">
      <w:pPr>
        <w:pStyle w:val="27"/>
        <w:bidi w:val="0"/>
      </w:pPr>
      <w:r>
        <w:t>组织结合自身的业务要求，对应急事件级别对应的响应时间、处置完成时间等达成一致。组织根据应急事件级别配置响应的保障措施，如人员、资金和设备等。</w:t>
      </w:r>
    </w:p>
    <w:p w14:paraId="61C252A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87" w:name="_Toc32547"/>
      <w:bookmarkStart w:id="88" w:name="_Toc30712"/>
      <w:bookmarkStart w:id="89" w:name="_Toc7235"/>
      <w:r>
        <w:t>应急响应预案制定</w:t>
      </w:r>
      <w:bookmarkEnd w:id="87"/>
      <w:bookmarkEnd w:id="88"/>
      <w:bookmarkEnd w:id="89"/>
    </w:p>
    <w:p w14:paraId="2A208FCA">
      <w:pPr>
        <w:pStyle w:val="40"/>
        <w:numPr>
          <w:ilvl w:val="0"/>
          <w:numId w:val="10"/>
        </w:numPr>
        <w:bidi w:val="0"/>
      </w:pPr>
      <w:r>
        <w:t>预案制定与评审</w:t>
      </w:r>
    </w:p>
    <w:p w14:paraId="4E860E94">
      <w:pPr>
        <w:pStyle w:val="27"/>
        <w:bidi w:val="0"/>
      </w:pPr>
      <w:r>
        <w:t>根据应急事件级别制定应急响应预案。应急响应预案可以分为总体预案和针对某个项目的专项预案。</w:t>
      </w:r>
    </w:p>
    <w:p w14:paraId="191CBAC3">
      <w:pPr>
        <w:pStyle w:val="27"/>
        <w:bidi w:val="0"/>
      </w:pPr>
      <w:r>
        <w:t>应急响应预案的格式能够为应急响应组织进行系统恢复操作提供快速明确的指导。应急响应预案明确、简洁，易于在紧急情况下执行，并使用检查列表。</w:t>
      </w:r>
    </w:p>
    <w:p w14:paraId="3829F805">
      <w:pPr>
        <w:pStyle w:val="27"/>
        <w:bidi w:val="0"/>
      </w:pPr>
      <w:r>
        <w:t>服务用户方组织对应急响应预案进行评审，并与相关利益方达成一致。</w:t>
      </w:r>
    </w:p>
    <w:p w14:paraId="584B415E">
      <w:pPr>
        <w:pStyle w:val="27"/>
        <w:numPr>
          <w:ilvl w:val="0"/>
          <w:numId w:val="10"/>
        </w:numPr>
        <w:bidi w:val="0"/>
        <w:ind w:left="425" w:leftChars="0" w:hanging="425" w:firstLineChars="0"/>
      </w:pPr>
      <w:r>
        <w:t>预案发布</w:t>
      </w:r>
    </w:p>
    <w:p w14:paraId="7BE70F3B">
      <w:pPr>
        <w:pStyle w:val="27"/>
        <w:bidi w:val="0"/>
      </w:pPr>
      <w:r>
        <w:t>经过评审确认的应急响应预案，应由应急响应执行组长负责发布。</w:t>
      </w:r>
    </w:p>
    <w:p w14:paraId="1784B656">
      <w:pPr>
        <w:pStyle w:val="27"/>
        <w:bidi w:val="0"/>
      </w:pPr>
      <w:r>
        <w:t>应急响应预案应进行版本控制。</w:t>
      </w:r>
    </w:p>
    <w:p w14:paraId="3844BF58">
      <w:pPr>
        <w:pStyle w:val="40"/>
        <w:numPr>
          <w:ilvl w:val="0"/>
          <w:numId w:val="10"/>
        </w:numPr>
        <w:bidi w:val="0"/>
      </w:pPr>
      <w:r>
        <w:t>培训</w:t>
      </w:r>
    </w:p>
    <w:p w14:paraId="5C309399">
      <w:pPr>
        <w:pStyle w:val="27"/>
        <w:bidi w:val="0"/>
      </w:pPr>
      <w:r>
        <w:t>制定应急响应培训计划，并组织相关人员参与。应急响应预案作为培训的主要内容。</w:t>
      </w:r>
    </w:p>
    <w:p w14:paraId="499F203D">
      <w:pPr>
        <w:pStyle w:val="27"/>
        <w:bidi w:val="0"/>
      </w:pPr>
      <w:r>
        <w:t>培训使得组织及人员明确其在应急响应过程中的责任范围、接口关系，明确应急处置的操作规范和操作流程。</w:t>
      </w:r>
    </w:p>
    <w:p w14:paraId="2EDB7FE1">
      <w:pPr>
        <w:pStyle w:val="27"/>
        <w:bidi w:val="0"/>
      </w:pPr>
      <w:r>
        <w:t>培训至少每年举办一次。</w:t>
      </w:r>
    </w:p>
    <w:p w14:paraId="42EB0734">
      <w:pPr>
        <w:pStyle w:val="40"/>
        <w:numPr>
          <w:ilvl w:val="0"/>
          <w:numId w:val="10"/>
        </w:numPr>
        <w:bidi w:val="0"/>
      </w:pPr>
      <w:r>
        <w:t>演练</w:t>
      </w:r>
    </w:p>
    <w:p w14:paraId="25878528">
      <w:pPr>
        <w:pStyle w:val="27"/>
        <w:bidi w:val="0"/>
      </w:pPr>
      <w:r>
        <w:t>为检验应急响应预案的有效性，同时使相关人员了解运行维护预案的目标和内容，熟悉应急响应的操作规程，组织应进行应急演练，应：</w:t>
      </w:r>
    </w:p>
    <w:p w14:paraId="2DD183ED">
      <w:pPr>
        <w:pStyle w:val="40"/>
        <w:numPr>
          <w:ilvl w:val="0"/>
          <w:numId w:val="11"/>
        </w:numPr>
        <w:bidi w:val="0"/>
        <w:ind w:left="845" w:leftChars="0" w:hanging="425" w:firstLineChars="0"/>
      </w:pPr>
      <w:r>
        <w:t>预先制定演练计划、演练脚本；</w:t>
      </w:r>
    </w:p>
    <w:p w14:paraId="40D83182">
      <w:pPr>
        <w:pStyle w:val="40"/>
        <w:numPr>
          <w:ilvl w:val="0"/>
          <w:numId w:val="11"/>
        </w:numPr>
        <w:bidi w:val="0"/>
        <w:ind w:left="845" w:leftChars="0" w:hanging="425" w:firstLineChars="0"/>
      </w:pPr>
      <w:r>
        <w:t>演练的整个过程有详细的记录，并形成报告；</w:t>
      </w:r>
    </w:p>
    <w:p w14:paraId="4F49F900">
      <w:pPr>
        <w:pStyle w:val="40"/>
        <w:numPr>
          <w:ilvl w:val="0"/>
          <w:numId w:val="11"/>
        </w:numPr>
        <w:bidi w:val="0"/>
        <w:ind w:left="845" w:leftChars="0" w:hanging="425" w:firstLineChars="0"/>
      </w:pPr>
      <w:r>
        <w:t>演练不能影响业务的正常运行。</w:t>
      </w:r>
      <w:bookmarkStart w:id="199" w:name="_GoBack"/>
      <w:bookmarkEnd w:id="199"/>
    </w:p>
    <w:p w14:paraId="35FF32E1">
      <w:pPr>
        <w:pStyle w:val="40"/>
        <w:numPr>
          <w:ilvl w:val="0"/>
          <w:numId w:val="11"/>
        </w:numPr>
        <w:bidi w:val="0"/>
        <w:ind w:left="845" w:leftChars="0" w:hanging="425" w:firstLineChars="0"/>
      </w:pPr>
      <w:r>
        <w:t>为提升应急响应能力，组织可采用无脚本演练。</w:t>
      </w:r>
    </w:p>
    <w:p w14:paraId="3C472ACC">
      <w:pPr>
        <w:pStyle w:val="40"/>
        <w:numPr>
          <w:ilvl w:val="0"/>
          <w:numId w:val="11"/>
        </w:numPr>
        <w:bidi w:val="0"/>
        <w:ind w:left="845" w:leftChars="0" w:hanging="425" w:firstLineChars="0"/>
      </w:pPr>
      <w:r>
        <w:t>必要时，组织可根据演练的效果，对应急响应预案进行完善。</w:t>
      </w:r>
    </w:p>
    <w:p w14:paraId="2908098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90" w:name="_Toc30362"/>
      <w:bookmarkStart w:id="91" w:name="_Toc8732"/>
      <w:bookmarkStart w:id="92" w:name="_Toc8890"/>
      <w:r>
        <w:t>监测与预警</w:t>
      </w:r>
      <w:bookmarkEnd w:id="90"/>
      <w:bookmarkEnd w:id="91"/>
      <w:bookmarkEnd w:id="92"/>
    </w:p>
    <w:p w14:paraId="7D84CFF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93" w:name="bookmark66"/>
      <w:bookmarkEnd w:id="93"/>
      <w:bookmarkStart w:id="94" w:name="_Toc14763"/>
      <w:bookmarkStart w:id="95" w:name="_Toc1380"/>
      <w:bookmarkStart w:id="96" w:name="_Toc10835"/>
      <w:r>
        <w:t>日常监测与预警</w:t>
      </w:r>
      <w:bookmarkEnd w:id="94"/>
      <w:bookmarkEnd w:id="95"/>
      <w:bookmarkEnd w:id="96"/>
    </w:p>
    <w:p w14:paraId="623B42AF">
      <w:pPr>
        <w:pStyle w:val="40"/>
        <w:numPr>
          <w:ilvl w:val="0"/>
          <w:numId w:val="12"/>
        </w:numPr>
        <w:bidi w:val="0"/>
      </w:pPr>
      <w:r>
        <w:t>范围</w:t>
      </w:r>
    </w:p>
    <w:p w14:paraId="591276AB">
      <w:pPr>
        <w:pStyle w:val="27"/>
        <w:bidi w:val="0"/>
      </w:pPr>
      <w:r>
        <w:t>组织持续开展日常监测活动，实施有效预警，对运行维护服务对象的运行情况进行监测与预警，以跟踪和判别以下对象的容量、可用性和连续性；范围如下：</w:t>
      </w:r>
    </w:p>
    <w:p w14:paraId="36E3E790">
      <w:pPr>
        <w:pStyle w:val="27"/>
        <w:numPr>
          <w:ilvl w:val="0"/>
          <w:numId w:val="13"/>
        </w:numPr>
        <w:bidi w:val="0"/>
        <w:ind w:left="845" w:leftChars="0" w:hanging="425" w:firstLineChars="0"/>
      </w:pPr>
      <w:r>
        <w:t>业务平台系统；</w:t>
      </w:r>
    </w:p>
    <w:p w14:paraId="5615B959">
      <w:pPr>
        <w:pStyle w:val="27"/>
        <w:numPr>
          <w:ilvl w:val="0"/>
          <w:numId w:val="13"/>
        </w:numPr>
        <w:bidi w:val="0"/>
        <w:ind w:left="845" w:leftChars="0" w:hanging="425" w:firstLineChars="0"/>
      </w:pPr>
      <w:r>
        <w:t>支撑应用系统运行的操作系统软件、数据库软件；网络及网络设备；主机、存储等设备；</w:t>
      </w:r>
    </w:p>
    <w:p w14:paraId="53591CD4">
      <w:pPr>
        <w:pStyle w:val="40"/>
        <w:numPr>
          <w:ilvl w:val="0"/>
          <w:numId w:val="12"/>
        </w:numPr>
        <w:bidi w:val="0"/>
      </w:pPr>
      <w:r>
        <w:t>手段与工具</w:t>
      </w:r>
    </w:p>
    <w:p w14:paraId="655736BB">
      <w:pPr>
        <w:pStyle w:val="27"/>
        <w:bidi w:val="0"/>
      </w:pPr>
      <w:r>
        <w:t>结合运行维护服务级别协议和应急响应预案，开展日常监测与预警活动，包括：</w:t>
      </w:r>
    </w:p>
    <w:p w14:paraId="419A3870">
      <w:pPr>
        <w:pStyle w:val="40"/>
        <w:numPr>
          <w:ilvl w:val="0"/>
          <w:numId w:val="14"/>
        </w:numPr>
        <w:bidi w:val="0"/>
      </w:pPr>
      <w:r>
        <w:t>设立服务台并保持运营；</w:t>
      </w:r>
    </w:p>
    <w:p w14:paraId="4BB836B9">
      <w:pPr>
        <w:pStyle w:val="40"/>
        <w:numPr>
          <w:ilvl w:val="0"/>
          <w:numId w:val="14"/>
        </w:numPr>
        <w:bidi w:val="0"/>
      </w:pPr>
      <w:r>
        <w:t>建立知识库并保持更新；</w:t>
      </w:r>
    </w:p>
    <w:p w14:paraId="24817CBF">
      <w:pPr>
        <w:pStyle w:val="40"/>
        <w:numPr>
          <w:ilvl w:val="0"/>
          <w:numId w:val="14"/>
        </w:numPr>
        <w:bidi w:val="0"/>
      </w:pPr>
      <w:r>
        <w:t>确定监测项、监测时间间隔与阈值；</w:t>
      </w:r>
    </w:p>
    <w:p w14:paraId="127B3133">
      <w:pPr>
        <w:pStyle w:val="40"/>
        <w:numPr>
          <w:ilvl w:val="0"/>
          <w:numId w:val="14"/>
        </w:numPr>
        <w:bidi w:val="0"/>
      </w:pPr>
      <w:r>
        <w:t>确定活动中的人员、角色和职责。</w:t>
      </w:r>
    </w:p>
    <w:p w14:paraId="375A8DE7">
      <w:pPr>
        <w:pStyle w:val="40"/>
        <w:numPr>
          <w:ilvl w:val="0"/>
          <w:numId w:val="14"/>
        </w:numPr>
        <w:bidi w:val="0"/>
      </w:pPr>
      <w:r>
        <w:t>采用运行维护工具与人工相结合的方式开展日常监测与预警活动。</w:t>
      </w:r>
    </w:p>
    <w:p w14:paraId="20EC3600">
      <w:pPr>
        <w:pStyle w:val="40"/>
        <w:numPr>
          <w:ilvl w:val="0"/>
          <w:numId w:val="12"/>
        </w:numPr>
        <w:bidi w:val="0"/>
      </w:pPr>
      <w:r>
        <w:t>记录与报告</w:t>
      </w:r>
    </w:p>
    <w:p w14:paraId="154020D4">
      <w:pPr>
        <w:pStyle w:val="27"/>
        <w:bidi w:val="0"/>
      </w:pPr>
      <w:r>
        <w:t>建立监测、预警的记录和报告制度，并按照约定的形式和时间间隔上报现场负责人。发现应急事件时，现场负责人提交报告，报告内容包括：</w:t>
      </w:r>
    </w:p>
    <w:p w14:paraId="5A6477F1">
      <w:pPr>
        <w:pStyle w:val="40"/>
        <w:numPr>
          <w:ilvl w:val="0"/>
          <w:numId w:val="15"/>
        </w:numPr>
        <w:bidi w:val="0"/>
        <w:ind w:left="425" w:leftChars="0" w:hanging="425" w:firstLineChars="0"/>
      </w:pPr>
      <w:r>
        <w:t>应急事件发生及发现的时间、位置；</w:t>
      </w:r>
    </w:p>
    <w:p w14:paraId="3B01B8FE">
      <w:pPr>
        <w:pStyle w:val="40"/>
        <w:numPr>
          <w:ilvl w:val="0"/>
          <w:numId w:val="15"/>
        </w:numPr>
        <w:bidi w:val="0"/>
        <w:ind w:left="425" w:leftChars="0" w:hanging="425" w:firstLineChars="0"/>
      </w:pPr>
      <w:r>
        <w:t>现象描述；</w:t>
      </w:r>
    </w:p>
    <w:p w14:paraId="1DD1D27B">
      <w:pPr>
        <w:pStyle w:val="40"/>
        <w:numPr>
          <w:ilvl w:val="0"/>
          <w:numId w:val="15"/>
        </w:numPr>
        <w:bidi w:val="0"/>
        <w:ind w:left="425" w:leftChars="0" w:hanging="425" w:firstLineChars="0"/>
      </w:pPr>
      <w:r>
        <w:t>影响的范围；</w:t>
      </w:r>
    </w:p>
    <w:p w14:paraId="111A32CA">
      <w:pPr>
        <w:pStyle w:val="40"/>
        <w:numPr>
          <w:ilvl w:val="0"/>
          <w:numId w:val="15"/>
        </w:numPr>
        <w:bidi w:val="0"/>
        <w:ind w:left="425" w:leftChars="0" w:hanging="425" w:firstLineChars="0"/>
      </w:pPr>
      <w:r>
        <w:t>初步原因分析；</w:t>
      </w:r>
    </w:p>
    <w:p w14:paraId="6023BB7A">
      <w:pPr>
        <w:pStyle w:val="40"/>
        <w:numPr>
          <w:ilvl w:val="0"/>
          <w:numId w:val="15"/>
        </w:numPr>
        <w:bidi w:val="0"/>
        <w:ind w:left="425" w:leftChars="0" w:hanging="425" w:firstLineChars="0"/>
      </w:pPr>
      <w:r>
        <w:t>报告人。</w:t>
      </w:r>
    </w:p>
    <w:p w14:paraId="70AD7D0C">
      <w:pPr>
        <w:pStyle w:val="40"/>
        <w:numPr>
          <w:ilvl w:val="0"/>
          <w:numId w:val="15"/>
        </w:numPr>
        <w:bidi w:val="0"/>
        <w:ind w:left="425" w:leftChars="0" w:hanging="425" w:firstLineChars="0"/>
      </w:pPr>
      <w:r>
        <w:t>报告方式包括电话、邮件或书面文件等，并确认对方收到报告。</w:t>
      </w:r>
    </w:p>
    <w:p w14:paraId="35378012">
      <w:pPr>
        <w:pStyle w:val="27"/>
        <w:bidi w:val="0"/>
      </w:pPr>
      <w:r>
        <w:t>运维人员采取必要措施，开展应急事件的先期处置，以提高应急响应效率，避免次生、衍生事件的发生。</w:t>
      </w:r>
    </w:p>
    <w:p w14:paraId="5F59A8B7">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97" w:name="_Toc5471"/>
      <w:bookmarkStart w:id="98" w:name="_Toc19562"/>
      <w:bookmarkStart w:id="99" w:name="_Toc19688"/>
      <w:r>
        <w:t>事件评估</w:t>
      </w:r>
      <w:bookmarkEnd w:id="97"/>
      <w:bookmarkEnd w:id="98"/>
      <w:bookmarkEnd w:id="99"/>
    </w:p>
    <w:p w14:paraId="0462A635">
      <w:pPr>
        <w:pStyle w:val="27"/>
        <w:bidi w:val="0"/>
      </w:pPr>
      <w:r>
        <w:t>运维部现场运维部根据事件级别定义，初步确定应急事件所对应的事件级别。将事件级别置于动态调整控制中。</w:t>
      </w:r>
    </w:p>
    <w:p w14:paraId="4A52A2C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0" w:name="_Toc5719"/>
      <w:bookmarkStart w:id="101" w:name="_Toc13170"/>
      <w:bookmarkStart w:id="102" w:name="_Toc8918"/>
      <w:r>
        <w:t>应急处置</w:t>
      </w:r>
      <w:bookmarkEnd w:id="100"/>
      <w:bookmarkEnd w:id="101"/>
      <w:bookmarkEnd w:id="102"/>
    </w:p>
    <w:p w14:paraId="57386EF3">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3" w:name="bookmark67"/>
      <w:bookmarkEnd w:id="103"/>
      <w:bookmarkStart w:id="104" w:name="_Toc26047"/>
      <w:bookmarkStart w:id="105" w:name="_Toc19462"/>
      <w:bookmarkStart w:id="106" w:name="_Toc9612"/>
      <w:r>
        <w:t>排查与诊断</w:t>
      </w:r>
      <w:bookmarkEnd w:id="104"/>
      <w:bookmarkEnd w:id="105"/>
      <w:bookmarkEnd w:id="106"/>
    </w:p>
    <w:p w14:paraId="79B16153">
      <w:pPr>
        <w:pStyle w:val="27"/>
        <w:bidi w:val="0"/>
      </w:pPr>
      <w:r>
        <w:t>故障排查与诊断的流程包含以下内容：</w:t>
      </w:r>
    </w:p>
    <w:p w14:paraId="6FF2D601">
      <w:pPr>
        <w:pStyle w:val="40"/>
        <w:numPr>
          <w:ilvl w:val="0"/>
          <w:numId w:val="16"/>
        </w:numPr>
        <w:bidi w:val="0"/>
      </w:pPr>
      <w:r>
        <w:t>现场运维部主管调度处置人员进行现场故障排查；</w:t>
      </w:r>
    </w:p>
    <w:p w14:paraId="5E3B7BC7">
      <w:pPr>
        <w:pStyle w:val="40"/>
        <w:numPr>
          <w:ilvl w:val="0"/>
          <w:numId w:val="16"/>
        </w:numPr>
        <w:bidi w:val="0"/>
      </w:pPr>
      <w:r>
        <w:t>现场处置人员随时向维护主管汇报故障排查情况、诊断信息、故障定位结果等；</w:t>
      </w:r>
    </w:p>
    <w:p w14:paraId="442608F3">
      <w:pPr>
        <w:pStyle w:val="40"/>
        <w:numPr>
          <w:ilvl w:val="0"/>
          <w:numId w:val="16"/>
        </w:numPr>
        <w:bidi w:val="0"/>
      </w:pPr>
      <w:r>
        <w:t>将排查与诊断的过程与结果信息进行整理与归档</w:t>
      </w:r>
      <w:r>
        <w:rPr>
          <w:rFonts w:hint="eastAsia"/>
          <w:lang w:eastAsia="zh-CN"/>
        </w:rPr>
        <w:t>；</w:t>
      </w:r>
    </w:p>
    <w:p w14:paraId="4220E142">
      <w:pPr>
        <w:pStyle w:val="40"/>
        <w:numPr>
          <w:ilvl w:val="0"/>
          <w:numId w:val="16"/>
        </w:numPr>
        <w:bidi w:val="0"/>
      </w:pPr>
      <w:r>
        <w:t>处置过程中，现场运维部主管及时与相关利益方进行沟通，沟通的内容主要包括系统故障点、造成故障的原因、排查诊断状况等。</w:t>
      </w:r>
    </w:p>
    <w:p w14:paraId="44970DD7">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7" w:name="_Toc32332"/>
      <w:r>
        <w:t>处理与恢复</w:t>
      </w:r>
      <w:bookmarkEnd w:id="107"/>
    </w:p>
    <w:p w14:paraId="7CB80E2E">
      <w:pPr>
        <w:pStyle w:val="27"/>
        <w:bidi w:val="0"/>
      </w:pPr>
      <w:r>
        <w:t>基于应急响应预案、配置管理数据库、知识库等进行故障处理和系统恢复，处理与恢复的原则包括：</w:t>
      </w:r>
    </w:p>
    <w:p w14:paraId="16E1DD33">
      <w:pPr>
        <w:pStyle w:val="40"/>
        <w:numPr>
          <w:ilvl w:val="0"/>
          <w:numId w:val="17"/>
        </w:numPr>
        <w:bidi w:val="0"/>
        <w:ind w:left="425" w:leftChars="0" w:hanging="425" w:firstLineChars="0"/>
      </w:pPr>
      <w:r>
        <w:t>在满足事件级别处置时间要求的前提下，尽快恢复服务；</w:t>
      </w:r>
    </w:p>
    <w:p w14:paraId="21ECC373">
      <w:pPr>
        <w:pStyle w:val="40"/>
        <w:numPr>
          <w:ilvl w:val="0"/>
          <w:numId w:val="17"/>
        </w:numPr>
        <w:bidi w:val="0"/>
        <w:ind w:left="425" w:leftChars="0" w:hanging="425" w:firstLineChars="0"/>
      </w:pPr>
      <w:r>
        <w:t>采用的方法、手段不造成次生、衍生事件的发生。</w:t>
      </w:r>
    </w:p>
    <w:p w14:paraId="2D81D6DB">
      <w:pPr>
        <w:pStyle w:val="40"/>
        <w:numPr>
          <w:ilvl w:val="0"/>
          <w:numId w:val="17"/>
        </w:numPr>
        <w:bidi w:val="0"/>
        <w:ind w:left="425" w:leftChars="0" w:hanging="425" w:firstLineChars="0"/>
      </w:pPr>
      <w:r>
        <w:t>该对过程及结果信息进行记录，并及时告知相关利益方。</w:t>
      </w:r>
    </w:p>
    <w:p w14:paraId="50E2C1AF">
      <w:pPr>
        <w:pStyle w:val="40"/>
        <w:numPr>
          <w:ilvl w:val="0"/>
          <w:numId w:val="17"/>
        </w:numPr>
        <w:bidi w:val="0"/>
        <w:ind w:left="425" w:leftChars="0" w:hanging="425" w:firstLineChars="0"/>
      </w:pPr>
      <w:r>
        <w:t>服务台组组织对处理与恢复的结果进行初步确认。</w:t>
      </w:r>
    </w:p>
    <w:p w14:paraId="599F1DC5">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8" w:name="_Toc2313"/>
      <w:bookmarkStart w:id="109" w:name="_Toc1127"/>
      <w:bookmarkStart w:id="110" w:name="_Toc30786"/>
      <w:r>
        <w:t>事件升级</w:t>
      </w:r>
      <w:bookmarkEnd w:id="108"/>
      <w:bookmarkEnd w:id="109"/>
      <w:bookmarkEnd w:id="110"/>
    </w:p>
    <w:p w14:paraId="5C6A084C">
      <w:pPr>
        <w:pStyle w:val="27"/>
        <w:bidi w:val="0"/>
      </w:pPr>
      <w:r>
        <w:t>当实际处置时间超过事件级别处置时间要求时，作为事件升级的参考要素。公司对事件升级可能造成的影响进行评估，并在相关利益方之间达成一致。</w:t>
      </w:r>
    </w:p>
    <w:p w14:paraId="3236E859">
      <w:pPr>
        <w:pStyle w:val="27"/>
        <w:bidi w:val="0"/>
      </w:pPr>
      <w:r>
        <w:t>事件升级的实施授权由运维部主管启动，并对事件升级的过程和结果信息进行整理与归档。</w:t>
      </w:r>
    </w:p>
    <w:p w14:paraId="10A65D74">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1" w:name="_Toc27849"/>
      <w:bookmarkStart w:id="112" w:name="_Toc6925"/>
      <w:bookmarkStart w:id="113" w:name="_Toc26628"/>
      <w:r>
        <w:t>信息通报</w:t>
      </w:r>
      <w:bookmarkEnd w:id="111"/>
      <w:bookmarkEnd w:id="112"/>
      <w:bookmarkEnd w:id="113"/>
    </w:p>
    <w:p w14:paraId="4187C1C9">
      <w:pPr>
        <w:pStyle w:val="27"/>
        <w:bidi w:val="0"/>
      </w:pPr>
      <w:r>
        <w:t>运维部主管向相关利益方通报事件升级信息，内容包括：</w:t>
      </w:r>
    </w:p>
    <w:p w14:paraId="1D7CA36B">
      <w:pPr>
        <w:pStyle w:val="40"/>
        <w:numPr>
          <w:ilvl w:val="0"/>
          <w:numId w:val="18"/>
        </w:numPr>
        <w:bidi w:val="0"/>
      </w:pPr>
      <w:r>
        <w:t>事件升级的原因；</w:t>
      </w:r>
    </w:p>
    <w:p w14:paraId="342C07E5">
      <w:pPr>
        <w:pStyle w:val="40"/>
        <w:numPr>
          <w:ilvl w:val="0"/>
          <w:numId w:val="18"/>
        </w:numPr>
        <w:bidi w:val="0"/>
      </w:pPr>
      <w:r>
        <w:t>事件升级后的级别；</w:t>
      </w:r>
    </w:p>
    <w:p w14:paraId="280E3E91">
      <w:pPr>
        <w:pStyle w:val="40"/>
        <w:numPr>
          <w:ilvl w:val="0"/>
          <w:numId w:val="18"/>
        </w:numPr>
        <w:bidi w:val="0"/>
      </w:pPr>
      <w:r>
        <w:t>事件升级后与之对应的预案；</w:t>
      </w:r>
    </w:p>
    <w:p w14:paraId="57740F21">
      <w:pPr>
        <w:pStyle w:val="40"/>
        <w:numPr>
          <w:ilvl w:val="0"/>
          <w:numId w:val="18"/>
        </w:numPr>
        <w:bidi w:val="0"/>
      </w:pPr>
      <w:r>
        <w:t>对升级事件处置过程及结果的报告要求，如：报告程序、报告对象、报告内容、报告频率等；</w:t>
      </w:r>
    </w:p>
    <w:p w14:paraId="61ADEF34">
      <w:pPr>
        <w:pStyle w:val="40"/>
        <w:numPr>
          <w:ilvl w:val="0"/>
          <w:numId w:val="18"/>
        </w:numPr>
        <w:bidi w:val="0"/>
      </w:pPr>
      <w:r>
        <w:t>信息通报的范围和涉及的接受者。</w:t>
      </w:r>
    </w:p>
    <w:p w14:paraId="750458DD">
      <w:pPr>
        <w:pStyle w:val="40"/>
        <w:numPr>
          <w:ilvl w:val="0"/>
          <w:numId w:val="18"/>
        </w:numPr>
        <w:bidi w:val="0"/>
        <w:ind w:left="425" w:leftChars="0" w:hanging="425" w:firstLineChars="0"/>
      </w:pPr>
      <w:r>
        <w:t>信息通报需选择适当的方式，如电话、邮件、传真、书面文件等形式。</w:t>
      </w:r>
    </w:p>
    <w:p w14:paraId="2E2F6553">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4" w:name="_Toc13651"/>
      <w:r>
        <w:t>持续服务</w:t>
      </w:r>
      <w:bookmarkEnd w:id="114"/>
    </w:p>
    <w:p w14:paraId="13596645">
      <w:pPr>
        <w:pStyle w:val="27"/>
        <w:bidi w:val="0"/>
      </w:pPr>
      <w:r>
        <w:t>完成处理与恢复后，运行维护人员提供持续性服务，相关方对持续性服务的效果进行评价，评价结果作为应急事件关闭的输入。</w:t>
      </w:r>
    </w:p>
    <w:p w14:paraId="25854D4C">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5" w:name="_Toc5922"/>
      <w:r>
        <w:t>事件关闭</w:t>
      </w:r>
      <w:bookmarkEnd w:id="115"/>
    </w:p>
    <w:p w14:paraId="77B1E470">
      <w:pPr>
        <w:pStyle w:val="27"/>
        <w:bidi w:val="0"/>
      </w:pPr>
      <w:r>
        <w:t>应急事件完成处理与恢复后，进行事件关闭申请、核实、调查取证、关闭通报过程进行事件关闭处理。并将应急事件发生的原因、处置过程和方法整理写成《XX 系统事故分析报告》，并发送至相关人员。</w:t>
      </w:r>
    </w:p>
    <w:p w14:paraId="602B3EDC">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6" w:name="_Toc19990"/>
      <w:bookmarkStart w:id="117" w:name="_Toc15856"/>
      <w:bookmarkStart w:id="118" w:name="_Toc9251"/>
      <w:r>
        <w:t>人员</w:t>
      </w:r>
      <w:bookmarkEnd w:id="116"/>
      <w:bookmarkEnd w:id="117"/>
      <w:bookmarkEnd w:id="118"/>
    </w:p>
    <w:p w14:paraId="7918F519">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9" w:name="bookmark68"/>
      <w:bookmarkEnd w:id="119"/>
      <w:bookmarkStart w:id="120" w:name="_Toc13299"/>
      <w:bookmarkStart w:id="121" w:name="_Toc24113"/>
      <w:bookmarkStart w:id="122" w:name="_Toc10367"/>
      <w:r>
        <w:t>人员管理</w:t>
      </w:r>
      <w:bookmarkEnd w:id="120"/>
      <w:bookmarkEnd w:id="121"/>
      <w:bookmarkEnd w:id="122"/>
    </w:p>
    <w:p w14:paraId="6C0D36F2">
      <w:pPr>
        <w:pStyle w:val="27"/>
        <w:bidi w:val="0"/>
      </w:pPr>
      <w:r>
        <w:t>依据信息服务技术相关标准对运维服务人员储备、培训和考核的要求，公司综合部负责本运维服务人员的教育、培训、考评和管理，建立并保持人员管理相关制度，以便：</w:t>
      </w:r>
    </w:p>
    <w:p w14:paraId="0BA693BA">
      <w:pPr>
        <w:pStyle w:val="40"/>
        <w:numPr>
          <w:ilvl w:val="0"/>
          <w:numId w:val="19"/>
        </w:numPr>
        <w:bidi w:val="0"/>
      </w:pPr>
      <w:r>
        <w:t>依据运维服务战略、规划和与客户签订的 SLA，制定人力资源储备计划；</w:t>
      </w:r>
    </w:p>
    <w:p w14:paraId="2224D2E2">
      <w:pPr>
        <w:pStyle w:val="40"/>
        <w:numPr>
          <w:ilvl w:val="0"/>
          <w:numId w:val="19"/>
        </w:numPr>
        <w:bidi w:val="0"/>
      </w:pPr>
      <w:r>
        <w:t>识别从事运维服务人员工作能力和培训的需求；</w:t>
      </w:r>
    </w:p>
    <w:p w14:paraId="48E5813F">
      <w:pPr>
        <w:pStyle w:val="40"/>
        <w:numPr>
          <w:ilvl w:val="0"/>
          <w:numId w:val="19"/>
        </w:numPr>
        <w:bidi w:val="0"/>
      </w:pPr>
      <w:r>
        <w:t>提供培训，以满足运维服务的需求；</w:t>
      </w:r>
    </w:p>
    <w:p w14:paraId="203B3A68">
      <w:pPr>
        <w:pStyle w:val="40"/>
        <w:numPr>
          <w:ilvl w:val="0"/>
          <w:numId w:val="19"/>
        </w:numPr>
        <w:bidi w:val="0"/>
      </w:pPr>
      <w:r>
        <w:t>对培训的有效性进行评价；</w:t>
      </w:r>
    </w:p>
    <w:p w14:paraId="4E918EAF">
      <w:pPr>
        <w:pStyle w:val="40"/>
        <w:numPr>
          <w:ilvl w:val="0"/>
          <w:numId w:val="19"/>
        </w:numPr>
        <w:bidi w:val="0"/>
      </w:pPr>
      <w:r>
        <w:t>对运维服务人员进行考核，识别运维服务人员的能力与运维服务需求的匹配度；</w:t>
      </w:r>
    </w:p>
    <w:p w14:paraId="49F509B3">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3" w:name="_Toc2523"/>
      <w:bookmarkStart w:id="124" w:name="_Toc16602"/>
      <w:bookmarkStart w:id="125" w:name="_Toc32746"/>
      <w:r>
        <w:t>岗位结构</w:t>
      </w:r>
      <w:bookmarkEnd w:id="123"/>
      <w:bookmarkEnd w:id="124"/>
      <w:bookmarkEnd w:id="125"/>
    </w:p>
    <w:p w14:paraId="4552D105">
      <w:pPr>
        <w:pStyle w:val="27"/>
        <w:bidi w:val="0"/>
      </w:pPr>
      <w:r>
        <w:t>根据运维服务要求和SLA的需求，综合部制定与其相适应的管理岗位、技术支持岗位和岗位备份制度，并在服务过程中严格执行。每半年对制度的合理性和有效性进行总结和评估，依据公司规划、管理制度和记录文件在年度计划中提出对岗位结构体系与备份制度的优化建议，保存所有过程文件和记录。</w:t>
      </w:r>
    </w:p>
    <w:p w14:paraId="43051AB5">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6" w:name="_Toc20708"/>
      <w:r>
        <w:t>知识</w:t>
      </w:r>
      <w:bookmarkEnd w:id="126"/>
    </w:p>
    <w:p w14:paraId="2782D110">
      <w:pPr>
        <w:pStyle w:val="27"/>
        <w:bidi w:val="0"/>
      </w:pPr>
      <w:r>
        <w:t>公司综合部负责对运维服务人员的知识进行识别管理，包括学历教育知识、信息技术相关基础知识、专业知识以及与服务相关的组织和行业知识等，依据与客户签署的 SLA 规划运维服务人员的知识需求、人员数量和比例，制定并执行考核管理办法，</w:t>
      </w:r>
      <w:r>
        <w:rPr>
          <w:rFonts w:hint="eastAsia"/>
          <w:lang w:val="en-US" w:eastAsia="zh-CN"/>
        </w:rPr>
        <w:t>每月</w:t>
      </w:r>
      <w:r>
        <w:t>对运维服务人员知识与运维服务项目的匹配度进行评估和总结，</w:t>
      </w:r>
      <w:r>
        <w:rPr>
          <w:rFonts w:hint="eastAsia"/>
          <w:lang w:val="en-US" w:eastAsia="zh-CN"/>
        </w:rPr>
        <w:t>每年度对全部员工进行考核，并且在</w:t>
      </w:r>
      <w:r>
        <w:t>在年度计划中提出对运维服务人员知识管理的优化建议。</w:t>
      </w:r>
    </w:p>
    <w:p w14:paraId="496E5291">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7" w:name="_Toc31635"/>
      <w:bookmarkStart w:id="128" w:name="_Toc17225"/>
      <w:bookmarkStart w:id="129" w:name="_Toc12770"/>
      <w:r>
        <w:t>技能</w:t>
      </w:r>
      <w:bookmarkEnd w:id="127"/>
      <w:bookmarkEnd w:id="128"/>
      <w:bookmarkEnd w:id="129"/>
    </w:p>
    <w:p w14:paraId="54C874F0">
      <w:pPr>
        <w:pStyle w:val="27"/>
        <w:bidi w:val="0"/>
      </w:pPr>
      <w:r>
        <w:t>公司综合部负责对运维服务人员的技能进行识别管理，包括运维服务基本能力、专项技术能力等，依据与客户签署的SLA确认对运维服务人员的技能的需求，规划运维服务人员需具备的技能资格，及人员数量，制定并执行考核管理办法，每年度对运维服务人员技能与运维服务项目的匹配度进行评估和总结，在年度计划中提出对运维服务人员技能管理的优化建议。</w:t>
      </w:r>
    </w:p>
    <w:p w14:paraId="661A71F6">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0" w:name="_Toc24458"/>
      <w:bookmarkStart w:id="131" w:name="_Toc17992"/>
      <w:bookmarkStart w:id="132" w:name="_Toc29831"/>
      <w:r>
        <w:t>资源</w:t>
      </w:r>
      <w:bookmarkEnd w:id="130"/>
      <w:bookmarkEnd w:id="131"/>
      <w:bookmarkEnd w:id="132"/>
    </w:p>
    <w:p w14:paraId="7AD6A80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3" w:name="bookmark69"/>
      <w:bookmarkEnd w:id="133"/>
      <w:bookmarkStart w:id="134" w:name="_Toc1494"/>
      <w:bookmarkStart w:id="135" w:name="_Toc25318"/>
      <w:bookmarkStart w:id="136" w:name="_Toc16994"/>
      <w:r>
        <w:t>运行维护工具</w:t>
      </w:r>
      <w:bookmarkEnd w:id="134"/>
      <w:bookmarkEnd w:id="135"/>
      <w:bookmarkEnd w:id="136"/>
    </w:p>
    <w:p w14:paraId="3B11F285">
      <w:pPr>
        <w:pStyle w:val="27"/>
        <w:bidi w:val="0"/>
      </w:pPr>
      <w:r>
        <w:t>运维部负责运行维护工具的管理，建立与工具功能匹配的使用手册，监督工具使用日常记录的登记，协助完成工具使用效果的评估报告和监督持续改进工作。</w:t>
      </w:r>
    </w:p>
    <w:p w14:paraId="3D51A9AF">
      <w:pPr>
        <w:pStyle w:val="27"/>
        <w:bidi w:val="0"/>
      </w:pPr>
      <w:r>
        <w:t>监控工具：数据采集和监控，评估可能导致运维服务对象故障的因素；</w:t>
      </w:r>
    </w:p>
    <w:p w14:paraId="71ACEAAC">
      <w:pPr>
        <w:pStyle w:val="27"/>
        <w:bidi w:val="0"/>
      </w:pPr>
      <w:r>
        <w:t>过程管理工具：按照公司与客户签订的SLA管理运行维护服务的交付过程，包括日常运维管理、记录、测量、监督和评估功能；</w:t>
      </w:r>
    </w:p>
    <w:p w14:paraId="4B2AFC74">
      <w:pPr>
        <w:pStyle w:val="27"/>
        <w:bidi w:val="0"/>
      </w:pPr>
      <w:r>
        <w:t>其它工具：根据业务要求配备的其它用于特殊要求的工具。</w:t>
      </w:r>
    </w:p>
    <w:p w14:paraId="672937AA">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7" w:name="_Toc1020"/>
      <w:bookmarkStart w:id="138" w:name="_Toc16326"/>
      <w:bookmarkStart w:id="139" w:name="_Toc29275"/>
      <w:r>
        <w:t>服务台</w:t>
      </w:r>
      <w:bookmarkEnd w:id="137"/>
      <w:bookmarkEnd w:id="138"/>
      <w:bookmarkEnd w:id="139"/>
    </w:p>
    <w:p w14:paraId="7CE5B37F">
      <w:pPr>
        <w:pStyle w:val="27"/>
        <w:bidi w:val="0"/>
      </w:pPr>
      <w:r>
        <w:t>在公司内部设置统一的服务台，作为与客户有效沟通渠道，制定服务台管理制度，配置专职人员负责服务台客户请求的处理，包括服务请求的接收、记录、跟踪和反馈。综合部负责服务台专职人员的绩效考核，运维部负责对服务台工作进行监管和持续改进工作。</w:t>
      </w:r>
    </w:p>
    <w:p w14:paraId="2BFF769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40" w:name="_Toc28671"/>
      <w:bookmarkStart w:id="141" w:name="_Toc4203"/>
      <w:bookmarkStart w:id="142" w:name="_Toc30691"/>
      <w:r>
        <w:rPr>
          <w:rFonts w:hint="eastAsia"/>
          <w:lang w:val="en-US" w:eastAsia="zh-CN"/>
        </w:rPr>
        <w:t>服务知识</w:t>
      </w:r>
      <w:bookmarkEnd w:id="140"/>
      <w:bookmarkEnd w:id="141"/>
      <w:bookmarkEnd w:id="142"/>
    </w:p>
    <w:p w14:paraId="7F5889E3">
      <w:pPr>
        <w:pStyle w:val="27"/>
        <w:bidi w:val="0"/>
      </w:pPr>
      <w:r>
        <w:t>为提高为客户解决运维服务问题的效率，实现知识共享，提升运维服务人员业务能力，根据业务需求构建知识库，同时建立符合信息服务技术相关标准要求的知识库管理制度及策略，覆盖运维服务全过程。</w:t>
      </w:r>
    </w:p>
    <w:p w14:paraId="12042115">
      <w:pPr>
        <w:pStyle w:val="27"/>
        <w:bidi w:val="0"/>
      </w:pPr>
      <w:r>
        <w:t>根据公司在运维服务过程中常见问题，总结分析，提出解决办法纳入知识库，明确知识知识的添加、更新和查询流程，对知识生命周期进行管理，综合部定期对知识库的管理进行评估，对发现的问题及时进行改进，确保知识库的可用性与有效性。</w:t>
      </w:r>
    </w:p>
    <w:p w14:paraId="7A42DA0A">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3" w:name="_Toc892"/>
      <w:bookmarkStart w:id="144" w:name="_Toc10846"/>
      <w:bookmarkStart w:id="145" w:name="_Toc18729"/>
      <w:r>
        <w:t>备件库</w:t>
      </w:r>
      <w:bookmarkEnd w:id="143"/>
      <w:bookmarkEnd w:id="144"/>
      <w:bookmarkEnd w:id="145"/>
    </w:p>
    <w:p w14:paraId="42D3E0E1">
      <w:pPr>
        <w:pStyle w:val="27"/>
        <w:bidi w:val="0"/>
      </w:pPr>
      <w:r>
        <w:t>为了合理利用运行维护项目中的基础设施、网络设备、服务器存储等设备，确保系统稳定可靠地运行，保障运维服务人员有良好的工作条件和充足的设备资源，做到技术先进、经济合理、安全适用、确保质量，特制定本制度。</w:t>
      </w:r>
    </w:p>
    <w:p w14:paraId="1671AFB8">
      <w:pPr>
        <w:pStyle w:val="27"/>
        <w:bidi w:val="0"/>
      </w:pPr>
      <w:r>
        <w:t>通过建立完整的运行维护管理制度，形成规范的运维管理体系，加强对运维服务全过程的控制，同时对备品备件、耗材的采购成本进行有效控制从而降低运维成本。</w:t>
      </w:r>
    </w:p>
    <w:p w14:paraId="6C37E197">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46" w:name="_Toc13400"/>
      <w:bookmarkStart w:id="147" w:name="_Toc13265"/>
      <w:bookmarkStart w:id="148" w:name="_Toc13939"/>
      <w:r>
        <w:rPr>
          <w:rFonts w:hint="eastAsia"/>
          <w:lang w:val="en-US" w:eastAsia="zh-CN"/>
        </w:rPr>
        <w:t>最终软件库</w:t>
      </w:r>
      <w:bookmarkEnd w:id="146"/>
      <w:bookmarkEnd w:id="147"/>
      <w:bookmarkEnd w:id="148"/>
    </w:p>
    <w:p w14:paraId="04617490">
      <w:pPr>
        <w:pStyle w:val="27"/>
        <w:bidi w:val="0"/>
        <w:rPr>
          <w:rFonts w:hint="default"/>
          <w:lang w:val="en-US" w:eastAsia="zh-CN"/>
        </w:rPr>
      </w:pPr>
      <w:r>
        <w:t>为了</w:t>
      </w:r>
      <w:r>
        <w:rPr>
          <w:rFonts w:hint="eastAsia"/>
          <w:lang w:val="en-US" w:eastAsia="zh-CN"/>
        </w:rPr>
        <w:t>保障软件部署的一致性和可靠性控制配置风险，提升系统稳定性；支持高效变更与发布管理；实现软件资产的全生命周期管理；降低运维成本与人为错误，减少运维服务人员的工作量，提高工作效率，</w:t>
      </w:r>
      <w:r>
        <w:t>特制定</w:t>
      </w:r>
      <w:r>
        <w:rPr>
          <w:rFonts w:hint="eastAsia"/>
          <w:lang w:val="en-US" w:eastAsia="zh-CN"/>
        </w:rPr>
        <w:t>最终软件库管理</w:t>
      </w:r>
      <w:r>
        <w:t>制度。</w:t>
      </w:r>
    </w:p>
    <w:p w14:paraId="6F5F6148">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9" w:name="_Toc14647"/>
      <w:bookmarkStart w:id="150" w:name="_Toc24777"/>
      <w:bookmarkStart w:id="151" w:name="_Toc2037"/>
      <w:r>
        <w:rPr>
          <w:rFonts w:hint="eastAsia"/>
          <w:lang w:val="en-US" w:eastAsia="zh-CN"/>
        </w:rPr>
        <w:t>服务数据</w:t>
      </w:r>
      <w:bookmarkEnd w:id="149"/>
      <w:bookmarkEnd w:id="150"/>
      <w:bookmarkEnd w:id="151"/>
    </w:p>
    <w:p w14:paraId="1BB4FA8F">
      <w:pPr>
        <w:pStyle w:val="27"/>
        <w:bidi w:val="0"/>
        <w:rPr>
          <w:rFonts w:hint="eastAsia"/>
          <w:lang w:val="en-US" w:eastAsia="zh-CN"/>
        </w:rPr>
      </w:pPr>
      <w:r>
        <w:rPr>
          <w:rFonts w:hint="eastAsia"/>
          <w:lang w:val="en-US" w:eastAsia="zh-CN"/>
        </w:rPr>
        <w:t>为了构建规范化、全生命周期的数据管理体系，确保运维活动产生的数据具备可信性，从而驱动服务化、风险防控与价值创造。达到将无序数据转化为受治理的数据资产的目的，应当合理、有效的分析利用服务数据。</w:t>
      </w:r>
    </w:p>
    <w:p w14:paraId="3C4667E8">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2" w:name="_Toc18209"/>
      <w:bookmarkStart w:id="153" w:name="_Toc8719"/>
      <w:bookmarkStart w:id="154" w:name="_Toc20570"/>
      <w:r>
        <w:t>技术</w:t>
      </w:r>
      <w:bookmarkEnd w:id="152"/>
      <w:bookmarkEnd w:id="153"/>
      <w:bookmarkEnd w:id="154"/>
    </w:p>
    <w:p w14:paraId="3ADFB99E">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5" w:name="bookmark70"/>
      <w:bookmarkEnd w:id="155"/>
      <w:bookmarkStart w:id="156" w:name="_Toc22429"/>
      <w:bookmarkStart w:id="157" w:name="_Toc24367"/>
      <w:bookmarkStart w:id="158" w:name="_Toc26345"/>
      <w:r>
        <w:t>技术研发</w:t>
      </w:r>
      <w:bookmarkEnd w:id="156"/>
      <w:bookmarkEnd w:id="157"/>
      <w:bookmarkEnd w:id="158"/>
    </w:p>
    <w:p w14:paraId="546419F2">
      <w:pPr>
        <w:pStyle w:val="27"/>
        <w:bidi w:val="0"/>
        <w:rPr>
          <w:rFonts w:hint="eastAsia"/>
          <w:lang w:val="en-US" w:eastAsia="zh-CN"/>
        </w:rPr>
      </w:pPr>
      <w:r>
        <w:rPr>
          <w:rFonts w:hint="eastAsia"/>
          <w:lang w:val="en-US" w:eastAsia="zh-CN"/>
        </w:rPr>
        <w:t>依据运维服务业务定位，研发部按运维服务规划要求，制定年度技术研发计划和技术研发管理制度，年度技术研发计划包括研发环境、人员、资金、研发进度和质量管理等计划，同时关注新技术和前沿技术的开发及应用、技术储备等。</w:t>
      </w:r>
    </w:p>
    <w:p w14:paraId="680F8A07">
      <w:pPr>
        <w:pStyle w:val="27"/>
        <w:bidi w:val="0"/>
        <w:rPr>
          <w:rFonts w:hint="eastAsia"/>
          <w:lang w:val="en-US" w:eastAsia="zh-CN"/>
        </w:rPr>
      </w:pPr>
      <w:r>
        <w:rPr>
          <w:rFonts w:hint="eastAsia"/>
          <w:lang w:val="en-US" w:eastAsia="zh-CN"/>
        </w:rPr>
        <w:t>年度技术研发计划编制后提交领导审批，通过后按计划实施，综合部、财务部、研发部、运维部负责配合实施工作，过程记录予以保持。研发部按季度对研发计划和研发管理制度的执行情况进行评估，中心总经理负责监管技术研发相关工作的持续改进。</w:t>
      </w:r>
    </w:p>
    <w:p w14:paraId="1674564A">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9" w:name="_Toc22889"/>
      <w:bookmarkStart w:id="160" w:name="_Toc1103"/>
      <w:bookmarkStart w:id="161" w:name="_Toc9036"/>
      <w:r>
        <w:t>与发现问题、解决问题相关的技术</w:t>
      </w:r>
      <w:bookmarkEnd w:id="159"/>
      <w:bookmarkEnd w:id="160"/>
      <w:bookmarkEnd w:id="161"/>
    </w:p>
    <w:p w14:paraId="54CA9847">
      <w:pPr>
        <w:pStyle w:val="27"/>
        <w:bidi w:val="0"/>
        <w:rPr>
          <w:rFonts w:hint="eastAsia"/>
          <w:lang w:val="en-US" w:eastAsia="zh-CN"/>
        </w:rPr>
      </w:pPr>
      <w:r>
        <w:rPr>
          <w:rFonts w:hint="eastAsia"/>
          <w:lang w:val="en-US" w:eastAsia="zh-CN"/>
        </w:rPr>
        <w:t>研发部根据运维服务的特点，结合客户方的实际需求，针对运维服务实施过程中，可能面临的技术问题采取技术手段进行识别。</w:t>
      </w:r>
    </w:p>
    <w:p w14:paraId="0716CD17">
      <w:pPr>
        <w:pStyle w:val="27"/>
        <w:bidi w:val="0"/>
        <w:rPr>
          <w:rFonts w:hint="eastAsia"/>
          <w:lang w:val="en-US" w:eastAsia="zh-CN"/>
        </w:rPr>
      </w:pPr>
      <w:r>
        <w:rPr>
          <w:rFonts w:hint="eastAsia"/>
          <w:lang w:val="en-US" w:eastAsia="zh-CN"/>
        </w:rPr>
        <w:t>研发部负责技术的提供，同时针对 IT 运维平台的技术说明书、诊断手册，并保持该平台运行的有效性，保留相关记录，每年对该平台的应用情况进行评 估，优化改进保持其可用性。</w:t>
      </w:r>
    </w:p>
    <w:p w14:paraId="7375A0F1">
      <w:pPr>
        <w:pStyle w:val="2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2" w:name="_Toc29957"/>
      <w:bookmarkStart w:id="163" w:name="_Toc21350"/>
      <w:bookmarkStart w:id="164" w:name="_Toc28047"/>
      <w:r>
        <w:t>过程</w:t>
      </w:r>
      <w:bookmarkEnd w:id="162"/>
      <w:bookmarkEnd w:id="163"/>
      <w:bookmarkEnd w:id="164"/>
    </w:p>
    <w:p w14:paraId="362714E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65" w:name="bookmark71"/>
      <w:bookmarkEnd w:id="165"/>
      <w:bookmarkStart w:id="166" w:name="_Toc921"/>
      <w:bookmarkStart w:id="167" w:name="_Toc17170"/>
      <w:bookmarkStart w:id="168" w:name="_Toc22773"/>
      <w:bookmarkStart w:id="169" w:name="_Toc16659"/>
      <w:bookmarkStart w:id="170" w:name="_Toc19158"/>
      <w:r>
        <w:rPr>
          <w:rFonts w:hint="eastAsia"/>
          <w:lang w:val="en-US" w:eastAsia="zh-CN"/>
        </w:rPr>
        <w:t>过程框架设计</w:t>
      </w:r>
      <w:bookmarkEnd w:id="166"/>
      <w:bookmarkEnd w:id="167"/>
      <w:bookmarkEnd w:id="168"/>
    </w:p>
    <w:p w14:paraId="660824C5">
      <w:pPr>
        <w:pStyle w:val="27"/>
        <w:bidi w:val="0"/>
        <w:rPr>
          <w:rFonts w:hint="eastAsia"/>
          <w:lang w:val="en-US" w:eastAsia="zh-CN"/>
        </w:rPr>
      </w:pPr>
      <w:r>
        <w:rPr>
          <w:rFonts w:hint="eastAsia"/>
          <w:lang w:val="en-US" w:eastAsia="zh-CN"/>
        </w:rPr>
        <w:t>过程框架设计的核心目的是构建标准化、可量化、可持续改进的运维管理体系，</w:t>
      </w:r>
    </w:p>
    <w:p w14:paraId="5CB3A669">
      <w:pPr>
        <w:pStyle w:val="27"/>
        <w:bidi w:val="0"/>
        <w:rPr>
          <w:rFonts w:hint="eastAsia"/>
          <w:lang w:val="en-US" w:eastAsia="zh-CN"/>
        </w:rPr>
      </w:pPr>
      <w:r>
        <w:rPr>
          <w:rFonts w:hint="eastAsia"/>
          <w:lang w:val="en-US" w:eastAsia="zh-CN"/>
        </w:rPr>
        <w:t>通过流程化协同解决服务碎片化问题，确保IT服务与业务目标对齐。其本质是从“人治”到“法治”的转型升级。</w:t>
      </w:r>
    </w:p>
    <w:p w14:paraId="6448A80F">
      <w:pPr>
        <w:pStyle w:val="27"/>
        <w:bidi w:val="0"/>
        <w:rPr>
          <w:rFonts w:hint="eastAsia"/>
          <w:lang w:val="en-US" w:eastAsia="zh-CN"/>
        </w:rPr>
      </w:pPr>
      <w:r>
        <w:rPr>
          <w:rFonts w:hint="eastAsia"/>
          <w:lang w:val="en-US" w:eastAsia="zh-CN"/>
        </w:rPr>
        <w:t>根本目的是实现运维服务的可控性与可度量性。</w:t>
      </w:r>
    </w:p>
    <w:p w14:paraId="04E0AD45">
      <w:pPr>
        <w:pStyle w:val="27"/>
        <w:bidi w:val="0"/>
        <w:rPr>
          <w:rFonts w:hint="eastAsia"/>
          <w:lang w:val="en-US" w:eastAsia="zh-CN"/>
        </w:rPr>
      </w:pPr>
      <w:r>
        <w:rPr>
          <w:rFonts w:hint="eastAsia"/>
          <w:lang w:val="en-US" w:eastAsia="zh-CN"/>
        </w:rPr>
        <w:t>通过定义统一流程，消除个人经验差异导致的处理延迟；建立KPI体系，通过数据驱动服务改进；明确流程接口，避免跨部门协作低效性。</w:t>
      </w:r>
    </w:p>
    <w:p w14:paraId="53C80B71">
      <w:pPr>
        <w:pStyle w:val="27"/>
        <w:bidi w:val="0"/>
        <w:rPr>
          <w:rFonts w:hint="default"/>
          <w:lang w:val="en-US" w:eastAsia="zh-CN"/>
        </w:rPr>
      </w:pPr>
      <w:r>
        <w:rPr>
          <w:rFonts w:hint="eastAsia"/>
          <w:lang w:val="en-US" w:eastAsia="zh-CN"/>
        </w:rPr>
        <w:t>每半年最少对过程框架进行一次评价。</w:t>
      </w:r>
    </w:p>
    <w:p w14:paraId="492ADAC0">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1" w:name="_Toc18872"/>
      <w:r>
        <w:t>服务级别管理</w:t>
      </w:r>
      <w:bookmarkEnd w:id="169"/>
      <w:bookmarkEnd w:id="170"/>
      <w:bookmarkEnd w:id="171"/>
    </w:p>
    <w:p w14:paraId="5FFB9C82">
      <w:pPr>
        <w:pStyle w:val="27"/>
        <w:bidi w:val="0"/>
        <w:rPr>
          <w:rFonts w:hint="eastAsia"/>
          <w:lang w:val="en-US" w:eastAsia="zh-CN"/>
        </w:rPr>
      </w:pPr>
      <w:r>
        <w:rPr>
          <w:rFonts w:hint="eastAsia"/>
          <w:lang w:val="en-US" w:eastAsia="zh-CN"/>
        </w:rPr>
        <w:t>服务级别管理的目的是通过明确服务范围、服务目录和服务级别，定义工作量特征，与相关方达成协议，是有效管理客户需求的主要手段。服务级别管理中的服务范围基于与客户签订的SLA，结合客户维护要求、业务应用系统支持要求、运维管理咨询要求等分别进行定义和制定。</w:t>
      </w:r>
    </w:p>
    <w:p w14:paraId="0F9F6524">
      <w:pPr>
        <w:pStyle w:val="27"/>
        <w:bidi w:val="0"/>
        <w:rPr>
          <w:rFonts w:hint="eastAsia"/>
          <w:lang w:val="en-US" w:eastAsia="zh-CN"/>
        </w:rPr>
      </w:pPr>
      <w:r>
        <w:rPr>
          <w:rFonts w:hint="eastAsia"/>
          <w:lang w:val="en-US" w:eastAsia="zh-CN"/>
        </w:rPr>
        <w:t>服务目录为基于 SLA以及客户期望得到的需求，基于服务范围的各类应用系统进行制定和提交，内容包含公司所提供的各类运维服务。</w:t>
      </w:r>
    </w:p>
    <w:p w14:paraId="2257B479">
      <w:pPr>
        <w:pStyle w:val="27"/>
        <w:bidi w:val="0"/>
        <w:rPr>
          <w:rFonts w:hint="eastAsia"/>
          <w:lang w:val="en-US" w:eastAsia="zh-CN"/>
        </w:rPr>
      </w:pPr>
      <w:r>
        <w:rPr>
          <w:rFonts w:hint="eastAsia"/>
          <w:lang w:val="en-US" w:eastAsia="zh-CN"/>
        </w:rPr>
        <w:t>在明确服务范围、制定服务目录和 SLA 的基础上与客户签订运维服务合同，制定服务执行计划，根据需方的考核评估要求，建立SLA考核自评估机制，包括SLA完成情况、达成率等，服务级别管理负责人负责在执行过程中对发现的问题进行改进，过程记录予以保持。</w:t>
      </w:r>
    </w:p>
    <w:p w14:paraId="03FB201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2" w:name="_Toc8088"/>
      <w:bookmarkStart w:id="173" w:name="_Toc6093"/>
      <w:bookmarkStart w:id="174" w:name="_Toc14584"/>
      <w:r>
        <w:t>服务报告</w:t>
      </w:r>
      <w:bookmarkEnd w:id="172"/>
      <w:bookmarkEnd w:id="173"/>
      <w:bookmarkEnd w:id="174"/>
    </w:p>
    <w:p w14:paraId="2B329C20">
      <w:pPr>
        <w:pStyle w:val="27"/>
        <w:bidi w:val="0"/>
        <w:rPr>
          <w:rFonts w:hint="eastAsia"/>
          <w:lang w:val="en-US" w:eastAsia="zh-CN"/>
        </w:rPr>
      </w:pPr>
      <w:r>
        <w:rPr>
          <w:rFonts w:hint="eastAsia"/>
          <w:lang w:val="en-US" w:eastAsia="zh-CN"/>
        </w:rPr>
        <w:t>服务报告管理的目的是为客户提供及时、可靠和准确的服务信息，同时对在运维服务过程中的行为有效的管理。</w:t>
      </w:r>
    </w:p>
    <w:p w14:paraId="3AC4F00A">
      <w:pPr>
        <w:pStyle w:val="27"/>
        <w:bidi w:val="0"/>
        <w:rPr>
          <w:rFonts w:hint="eastAsia"/>
          <w:lang w:val="en-US" w:eastAsia="zh-CN"/>
        </w:rPr>
      </w:pPr>
      <w:r>
        <w:rPr>
          <w:rFonts w:hint="eastAsia"/>
          <w:lang w:val="en-US" w:eastAsia="zh-CN"/>
        </w:rPr>
        <w:t>服务报告分为主动服务报告和被动服务报告，服务报告对建立、审批、分发和归档进行控制，确保报告产出及时、条理清晰、信息可靠和准确，报告应得到相关各方的认可。服务报告内容涵盖以下方面：服务级别目标的绩效达成情况；提供服务过程中产生的不符合项和问题；工作量特征和数量特性；重要事件的绩效报告；定期趋势信息；满意度分析等。在服务报告中，对发现的问题，应明确处理意见、制定纠正措施，并与问题的相关方沟通。</w:t>
      </w:r>
    </w:p>
    <w:p w14:paraId="544ED664">
      <w:pPr>
        <w:pStyle w:val="27"/>
        <w:bidi w:val="0"/>
        <w:rPr>
          <w:rFonts w:hint="eastAsia"/>
          <w:lang w:val="en-US" w:eastAsia="zh-CN"/>
        </w:rPr>
      </w:pPr>
      <w:r>
        <w:rPr>
          <w:rFonts w:hint="eastAsia"/>
          <w:lang w:val="en-US" w:eastAsia="zh-CN"/>
        </w:rPr>
        <w:t>运维部负责服务报告的管理工作，包括服务报告的提交方式、提交时间、接受对象、服务报告的模版、服务报告的审阅和提交、服务报告的呈阅以及服务报告的文档管理，服务报告负责人按计划对服务报告管理情况进行总结，对发现的问题进行改进，所有过程记录予以保持。</w:t>
      </w:r>
    </w:p>
    <w:p w14:paraId="5D2CEF03">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5" w:name="_Toc10063"/>
      <w:bookmarkStart w:id="176" w:name="_Toc8814"/>
      <w:bookmarkStart w:id="177" w:name="_Toc10623"/>
      <w:r>
        <w:t>事件管理</w:t>
      </w:r>
      <w:bookmarkEnd w:id="175"/>
      <w:bookmarkEnd w:id="176"/>
      <w:bookmarkEnd w:id="177"/>
    </w:p>
    <w:p w14:paraId="44112068">
      <w:pPr>
        <w:pStyle w:val="27"/>
        <w:bidi w:val="0"/>
        <w:rPr>
          <w:rFonts w:hint="eastAsia"/>
          <w:lang w:val="en-US" w:eastAsia="zh-CN"/>
        </w:rPr>
      </w:pPr>
      <w:r>
        <w:rPr>
          <w:rFonts w:hint="eastAsia"/>
          <w:lang w:val="en-US" w:eastAsia="zh-CN"/>
        </w:rPr>
        <w:t>事件管理的目的是尽快恢复客户业务，确保客户得到及时、有效的服务，是客户业务效率的重要保证。事件管理范围包括运维服务合同范围内的客户在生产和运行环境中发生的各类突发事件、安全事件、服务请求以及用户要求。如：用户报告的故障事件、运维服务人员监测检测的故障事件、其他人员转告的用户故障事件等，信息咨询、业务支持请求、辅助配合等服务请求，以及客户对信息系统基础环境中配置项提出的修改请求等变更请求。</w:t>
      </w:r>
    </w:p>
    <w:p w14:paraId="58EA3459">
      <w:pPr>
        <w:pStyle w:val="27"/>
        <w:bidi w:val="0"/>
        <w:rPr>
          <w:rFonts w:hint="eastAsia"/>
          <w:lang w:val="en-US" w:eastAsia="zh-CN"/>
        </w:rPr>
      </w:pPr>
      <w:r>
        <w:rPr>
          <w:rFonts w:hint="eastAsia"/>
          <w:lang w:val="en-US" w:eastAsia="zh-CN"/>
        </w:rPr>
        <w:t>在事件处理过程中，通过有效方式（电话、邮件、短信、微信等）及时通知用户，使其了解事件或服务请求的进展。如果不能达到承诺的服务级别，提前告警并采取相应的措施。</w:t>
      </w:r>
    </w:p>
    <w:p w14:paraId="0B51D92A">
      <w:pPr>
        <w:pStyle w:val="27"/>
        <w:bidi w:val="0"/>
        <w:rPr>
          <w:rFonts w:hint="eastAsia"/>
          <w:lang w:val="en-US" w:eastAsia="zh-CN"/>
        </w:rPr>
      </w:pPr>
      <w:r>
        <w:rPr>
          <w:rFonts w:hint="eastAsia"/>
          <w:lang w:val="en-US" w:eastAsia="zh-CN"/>
        </w:rPr>
        <w:t>与事件管理有关的所有员工根据拥有权限划分访问相关信息，如知识库和配置库等；定义重大紧急事件，并制定绿色通道，使其快速和有效得以解决。事件经理在执行过程中对发现的问题进行改进，过程记录予以保持。</w:t>
      </w:r>
    </w:p>
    <w:p w14:paraId="4A5C57B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8" w:name="_Toc18965"/>
      <w:bookmarkStart w:id="179" w:name="_Toc9450"/>
      <w:bookmarkStart w:id="180" w:name="_Toc21751"/>
      <w:r>
        <w:t>问题管理</w:t>
      </w:r>
      <w:bookmarkEnd w:id="178"/>
      <w:bookmarkEnd w:id="179"/>
      <w:bookmarkEnd w:id="180"/>
    </w:p>
    <w:p w14:paraId="6D66EC07">
      <w:pPr>
        <w:pStyle w:val="27"/>
        <w:bidi w:val="0"/>
        <w:rPr>
          <w:rFonts w:hint="eastAsia"/>
          <w:lang w:val="en-US" w:eastAsia="zh-CN"/>
        </w:rPr>
      </w:pPr>
      <w:r>
        <w:rPr>
          <w:rFonts w:hint="eastAsia"/>
          <w:lang w:val="en-US" w:eastAsia="zh-CN"/>
        </w:rPr>
        <w:t>问题管理的目的是对发生在客户生产环境中的问题进行管理，找出产生这些问题的根本原因，然后根据需要通过变更请求、变通方法或建议的预防性措施来消除引起事件的深层次根源以防止事件再次发生，从而为客户建立一个稳定的运行环境，提高服务的可用性。问题管理范围是运维合同范围内的客户的生产和运行环境中发生的服务事件提起的问题，包括系统、网络、安全、业务、应用等各类运维服务相关问题。</w:t>
      </w:r>
    </w:p>
    <w:p w14:paraId="5DC073D6">
      <w:pPr>
        <w:pStyle w:val="27"/>
        <w:bidi w:val="0"/>
        <w:rPr>
          <w:rFonts w:hint="eastAsia"/>
          <w:lang w:val="en-US" w:eastAsia="zh-CN"/>
        </w:rPr>
      </w:pPr>
      <w:r>
        <w:rPr>
          <w:rFonts w:hint="eastAsia"/>
          <w:lang w:val="en-US" w:eastAsia="zh-CN"/>
        </w:rPr>
        <w:t>问题管理使用有效管理工具，以确保所有问题被识别并记录、审核与分派、分析与诊断、解决并关闭，并定期提交问题分析报告。在问题处理过程中，通过有效方式（电话、邮件、短信、微信等）及时通知用户，使其了解问题处理的进展，问题经理需要安排和协调公司各方面资源处理并解决问题。</w:t>
      </w:r>
    </w:p>
    <w:p w14:paraId="01FEF06D">
      <w:pPr>
        <w:pStyle w:val="27"/>
        <w:bidi w:val="0"/>
        <w:rPr>
          <w:rFonts w:hint="eastAsia"/>
          <w:lang w:val="en-US" w:eastAsia="zh-CN"/>
        </w:rPr>
      </w:pPr>
      <w:r>
        <w:rPr>
          <w:rFonts w:hint="eastAsia"/>
          <w:lang w:val="en-US" w:eastAsia="zh-CN"/>
        </w:rPr>
        <w:t>与问题管理有关的所有员工根据拥有权限划分访问相关信息，如知识库和配置库等。问题经理在执行过程中对发现的问题进行改进，过程予以保持。</w:t>
      </w:r>
    </w:p>
    <w:p w14:paraId="58CCF611">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1" w:name="_Toc17576"/>
      <w:bookmarkStart w:id="182" w:name="_Toc29421"/>
      <w:bookmarkStart w:id="183" w:name="_Toc6381"/>
      <w:r>
        <w:t>变更管理</w:t>
      </w:r>
      <w:bookmarkEnd w:id="181"/>
      <w:bookmarkEnd w:id="182"/>
      <w:bookmarkEnd w:id="183"/>
    </w:p>
    <w:p w14:paraId="249F2136">
      <w:pPr>
        <w:pStyle w:val="27"/>
        <w:bidi w:val="0"/>
        <w:rPr>
          <w:rFonts w:hint="eastAsia"/>
          <w:lang w:val="en-US" w:eastAsia="zh-CN"/>
        </w:rPr>
      </w:pPr>
      <w:r>
        <w:rPr>
          <w:rFonts w:hint="eastAsia"/>
          <w:lang w:val="en-US" w:eastAsia="zh-CN"/>
        </w:rPr>
        <w:t>变更管理的目的是有效控制在运维服务过程中的各类风险，提高客户信息系统的安全性、有效性，确保客户业务系统的持续性。变更管理范围是运维合同范围内的客户的生产和运行环境中发生的变更请求以及用户提出变更需求。</w:t>
      </w:r>
    </w:p>
    <w:p w14:paraId="02EA4E01">
      <w:pPr>
        <w:pStyle w:val="27"/>
        <w:bidi w:val="0"/>
        <w:rPr>
          <w:rFonts w:hint="eastAsia"/>
          <w:lang w:val="en-US" w:eastAsia="zh-CN"/>
        </w:rPr>
      </w:pPr>
      <w:r>
        <w:rPr>
          <w:rFonts w:hint="eastAsia"/>
          <w:lang w:val="en-US" w:eastAsia="zh-CN"/>
        </w:rPr>
        <w:t>变更管理流程始于变更的接收，结束于变更的总结回顾，使用运维系统记录相关流程，以确保所有变更被记录并得到有效管控，具体过程涵盖接收与分类、评估与审批、构建与实施、总结与关闭等环节，并定期提交变更统计报告</w:t>
      </w:r>
    </w:p>
    <w:p w14:paraId="69AEE62C">
      <w:pPr>
        <w:pStyle w:val="27"/>
        <w:bidi w:val="0"/>
        <w:rPr>
          <w:rFonts w:hint="eastAsia"/>
          <w:lang w:val="en-US" w:eastAsia="zh-CN"/>
        </w:rPr>
      </w:pPr>
      <w:r>
        <w:rPr>
          <w:rFonts w:hint="eastAsia"/>
          <w:lang w:val="en-US" w:eastAsia="zh-CN"/>
        </w:rPr>
        <w:t>针对不同的变更情况，识别出紧急变更，并制定绿色通道，使其快速和有效得以解决。变更经理在执行过程中对发现的问题进行改进，过程记录予以保持。</w:t>
      </w:r>
    </w:p>
    <w:p w14:paraId="33E49ABE">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4" w:name="_Toc6430"/>
      <w:bookmarkStart w:id="185" w:name="_Toc5904"/>
      <w:bookmarkStart w:id="186" w:name="_Toc1093"/>
      <w:r>
        <w:t>发布管理</w:t>
      </w:r>
      <w:bookmarkEnd w:id="184"/>
      <w:bookmarkEnd w:id="185"/>
      <w:bookmarkEnd w:id="186"/>
    </w:p>
    <w:p w14:paraId="79114E5D">
      <w:pPr>
        <w:pStyle w:val="27"/>
        <w:bidi w:val="0"/>
        <w:rPr>
          <w:rFonts w:hint="eastAsia"/>
          <w:lang w:val="en-US" w:eastAsia="zh-CN"/>
        </w:rPr>
      </w:pPr>
      <w:r>
        <w:rPr>
          <w:rFonts w:hint="eastAsia"/>
          <w:lang w:val="en-US" w:eastAsia="zh-CN"/>
        </w:rPr>
        <w:t>发布管理的目的是确保发布的信息系统软件和硬件的有效性，规避客户信息系统升级、变更导致的风险，确保客户业务持续性。发布管理范围包括教育云服务平台系统软、硬件问题的所有发布。</w:t>
      </w:r>
    </w:p>
    <w:p w14:paraId="7FC84EFB">
      <w:pPr>
        <w:pStyle w:val="27"/>
        <w:bidi w:val="0"/>
        <w:rPr>
          <w:rFonts w:hint="eastAsia"/>
          <w:lang w:val="en-US" w:eastAsia="zh-CN"/>
        </w:rPr>
      </w:pPr>
      <w:r>
        <w:rPr>
          <w:rFonts w:hint="eastAsia"/>
          <w:lang w:val="en-US" w:eastAsia="zh-CN"/>
        </w:rPr>
        <w:t>发布管理使用运维系统进行流程记录，以确保所有版本的发布被记录、测试、规划、实施，并定期提交报告。</w:t>
      </w:r>
    </w:p>
    <w:p w14:paraId="431F503D">
      <w:pPr>
        <w:pStyle w:val="27"/>
        <w:bidi w:val="0"/>
        <w:rPr>
          <w:rFonts w:hint="eastAsia"/>
          <w:lang w:val="en-US" w:eastAsia="zh-CN"/>
        </w:rPr>
      </w:pPr>
      <w:r>
        <w:rPr>
          <w:rFonts w:hint="eastAsia"/>
          <w:lang w:val="en-US" w:eastAsia="zh-CN"/>
        </w:rPr>
        <w:t>在发布过程中，通过有效方式（电话、邮件、短信、微信等）通知客户，使其了解发布的进展。如果不能达到承诺的服务级别，提前告警并采取相应的措施。</w:t>
      </w:r>
    </w:p>
    <w:p w14:paraId="42489478">
      <w:pPr>
        <w:pStyle w:val="27"/>
        <w:bidi w:val="0"/>
        <w:rPr>
          <w:rFonts w:hint="eastAsia"/>
          <w:lang w:val="en-US" w:eastAsia="zh-CN"/>
        </w:rPr>
      </w:pPr>
      <w:r>
        <w:rPr>
          <w:rFonts w:hint="eastAsia"/>
          <w:lang w:val="en-US" w:eastAsia="zh-CN"/>
        </w:rPr>
        <w:t>发布经理在执行过程中对发现的问题进行改进，过程记录予以保持。</w:t>
      </w:r>
    </w:p>
    <w:p w14:paraId="60989F33">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7" w:name="_Toc10947"/>
      <w:bookmarkStart w:id="188" w:name="_Toc12840"/>
      <w:bookmarkStart w:id="189" w:name="_Toc26881"/>
      <w:r>
        <w:t>配置管理</w:t>
      </w:r>
      <w:bookmarkEnd w:id="187"/>
      <w:bookmarkEnd w:id="188"/>
      <w:bookmarkEnd w:id="189"/>
    </w:p>
    <w:p w14:paraId="606F6CDA">
      <w:pPr>
        <w:pStyle w:val="27"/>
        <w:bidi w:val="0"/>
        <w:rPr>
          <w:rFonts w:hint="eastAsia"/>
          <w:lang w:val="en-US" w:eastAsia="zh-CN"/>
        </w:rPr>
      </w:pPr>
      <w:r>
        <w:rPr>
          <w:rFonts w:hint="eastAsia"/>
          <w:lang w:val="en-US" w:eastAsia="zh-CN"/>
        </w:rPr>
        <w:t>配置管理的目的是通过将客户组织、信息、关系进行集中、统一管理，为服务过程提供基础的数据支持，以优化服务流程、提高服务效率、确保服务质量。配置管理范围是运维合同范围内的客户的生产和运行环境中的硬件、软件、应用系统、信息资源等。</w:t>
      </w:r>
    </w:p>
    <w:p w14:paraId="23FA1CA9">
      <w:pPr>
        <w:pStyle w:val="28"/>
        <w:bidi w:val="0"/>
        <w:rPr>
          <w:rFonts w:hint="default"/>
          <w:lang w:val="en-US" w:eastAsia="zh-CN"/>
        </w:rPr>
      </w:pPr>
      <w:bookmarkStart w:id="190" w:name="_Toc4907"/>
      <w:bookmarkStart w:id="191" w:name="_Toc11333"/>
      <w:bookmarkStart w:id="192" w:name="_Toc22013"/>
      <w:r>
        <w:rPr>
          <w:rFonts w:hint="eastAsia"/>
          <w:lang w:val="en-US" w:eastAsia="zh-CN"/>
        </w:rPr>
        <w:t>服务可用性和连续性</w:t>
      </w:r>
      <w:bookmarkEnd w:id="190"/>
      <w:bookmarkEnd w:id="191"/>
      <w:bookmarkEnd w:id="192"/>
    </w:p>
    <w:p w14:paraId="3437A35C">
      <w:pPr>
        <w:pStyle w:val="27"/>
        <w:bidi w:val="0"/>
        <w:rPr>
          <w:rFonts w:hint="eastAsia"/>
          <w:lang w:val="en-US" w:eastAsia="zh-CN"/>
        </w:rPr>
      </w:pPr>
      <w:r>
        <w:rPr>
          <w:rFonts w:hint="eastAsia"/>
          <w:lang w:val="en-US" w:eastAsia="zh-CN"/>
        </w:rPr>
        <w:t>可用性管理与连续性管理是保障业务稳健运行的核心能力模块，二者协同实现 “预防故障发生” 和 “灾难快速恢复” 的双重目标。</w:t>
      </w:r>
    </w:p>
    <w:p w14:paraId="0E2F65DD">
      <w:pPr>
        <w:pStyle w:val="27"/>
        <w:bidi w:val="0"/>
        <w:rPr>
          <w:rFonts w:hint="eastAsia"/>
          <w:lang w:val="en-US" w:eastAsia="zh-CN"/>
        </w:rPr>
      </w:pPr>
      <w:r>
        <w:rPr>
          <w:rFonts w:hint="eastAsia"/>
          <w:lang w:val="en-US" w:eastAsia="zh-CN"/>
        </w:rPr>
        <w:t>可用性管理的核心目标是最大化IT服务有效运行时间，确保服务在约定时间内可被正常访问和使用；连续性管理的核心目标是确保灾难事件后关键业务能在可接受的时间内恢复。</w:t>
      </w:r>
      <w:bookmarkStart w:id="193" w:name="_Toc3884"/>
      <w:bookmarkStart w:id="194" w:name="_Toc29601"/>
    </w:p>
    <w:p w14:paraId="6C852405">
      <w:pPr>
        <w:pStyle w:val="28"/>
        <w:bidi w:val="0"/>
        <w:rPr>
          <w:rFonts w:hint="default"/>
          <w:lang w:val="en-US" w:eastAsia="zh-CN"/>
        </w:rPr>
      </w:pPr>
      <w:bookmarkStart w:id="195" w:name="_Toc17399"/>
      <w:r>
        <w:rPr>
          <w:rFonts w:hint="eastAsia"/>
          <w:lang w:val="en-US" w:eastAsia="zh-CN"/>
        </w:rPr>
        <w:t>容量管理</w:t>
      </w:r>
      <w:bookmarkEnd w:id="195"/>
    </w:p>
    <w:bookmarkEnd w:id="193"/>
    <w:bookmarkEnd w:id="194"/>
    <w:p w14:paraId="6ECCAE1A">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容量管理的核心目的是通过科学预测与动态调控资源，确保IT基础设施与服务能力匹配的要求，实现“成本可控，风险预控，效能最优”的平衡。</w:t>
      </w:r>
    </w:p>
    <w:p w14:paraId="357B504D">
      <w:pPr>
        <w:keepNext w:val="0"/>
        <w:keepLines w:val="0"/>
        <w:pageBreakBefore w:val="0"/>
        <w:widowControl w:val="0"/>
        <w:kinsoku w:val="0"/>
        <w:wordWrap/>
        <w:overflowPunct/>
        <w:topLinePunct w:val="0"/>
        <w:autoSpaceDE w:val="0"/>
        <w:autoSpaceDN w:val="0"/>
        <w:bidi w:val="0"/>
        <w:adjustRightInd w:val="0"/>
        <w:snapToGrid w:val="0"/>
        <w:spacing w:line="360" w:lineRule="auto"/>
        <w:ind w:left="0" w:firstLine="480" w:firstLineChars="20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容量管理的三大核心目的是：</w:t>
      </w:r>
    </w:p>
    <w:p w14:paraId="32D4DD34">
      <w:pPr>
        <w:keepNext w:val="0"/>
        <w:keepLines w:val="0"/>
        <w:pageBreakBefore w:val="0"/>
        <w:widowControl w:val="0"/>
        <w:numPr>
          <w:ilvl w:val="0"/>
          <w:numId w:val="20"/>
        </w:numPr>
        <w:kinsoku w:val="0"/>
        <w:wordWrap/>
        <w:overflowPunct/>
        <w:topLinePunct w:val="0"/>
        <w:autoSpaceDE w:val="0"/>
        <w:autoSpaceDN w:val="0"/>
        <w:bidi w:val="0"/>
        <w:adjustRightInd w:val="0"/>
        <w:snapToGrid w:val="0"/>
        <w:spacing w:line="360" w:lineRule="auto"/>
        <w:ind w:left="425" w:leftChars="0" w:hanging="425" w:firstLineChars="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保障服务连续性</w:t>
      </w:r>
    </w:p>
    <w:p w14:paraId="759F8F7C">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firstLine="500" w:firstLineChars="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实时监控CPU内存、带宽等关键资源，避免因资源耗尽导致服务中断</w:t>
      </w:r>
    </w:p>
    <w:p w14:paraId="7009DF5E">
      <w:pPr>
        <w:keepNext w:val="0"/>
        <w:keepLines w:val="0"/>
        <w:pageBreakBefore w:val="0"/>
        <w:widowControl w:val="0"/>
        <w:numPr>
          <w:ilvl w:val="0"/>
          <w:numId w:val="20"/>
        </w:numPr>
        <w:kinsoku w:val="0"/>
        <w:wordWrap/>
        <w:overflowPunct/>
        <w:topLinePunct w:val="0"/>
        <w:autoSpaceDE w:val="0"/>
        <w:autoSpaceDN w:val="0"/>
        <w:bidi w:val="0"/>
        <w:adjustRightInd w:val="0"/>
        <w:snapToGrid w:val="0"/>
        <w:spacing w:line="360" w:lineRule="auto"/>
        <w:ind w:left="425" w:leftChars="0" w:hanging="425" w:firstLineChars="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优化资源效能</w:t>
      </w:r>
    </w:p>
    <w:p w14:paraId="0713BAE3">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left="420" w:left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消除资源浪费：识别闲置资源，通过资源回收或缩容降低运营成本，避免过度配置。</w:t>
      </w:r>
    </w:p>
    <w:p w14:paraId="0D2A0F19">
      <w:pPr>
        <w:keepNext w:val="0"/>
        <w:keepLines w:val="0"/>
        <w:pageBreakBefore w:val="0"/>
        <w:widowControl w:val="0"/>
        <w:numPr>
          <w:ilvl w:val="0"/>
          <w:numId w:val="20"/>
        </w:numPr>
        <w:kinsoku w:val="0"/>
        <w:wordWrap/>
        <w:overflowPunct/>
        <w:topLinePunct w:val="0"/>
        <w:autoSpaceDE w:val="0"/>
        <w:autoSpaceDN w:val="0"/>
        <w:bidi w:val="0"/>
        <w:adjustRightInd w:val="0"/>
        <w:snapToGrid w:val="0"/>
        <w:spacing w:line="360" w:lineRule="auto"/>
        <w:ind w:left="425" w:leftChars="0" w:hanging="425" w:firstLineChars="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驱动服务规划</w:t>
      </w:r>
    </w:p>
    <w:p w14:paraId="4C902D72">
      <w:pPr>
        <w:keepNext w:val="0"/>
        <w:keepLines w:val="0"/>
        <w:pageBreakBefore w:val="0"/>
        <w:widowControl w:val="0"/>
        <w:numPr>
          <w:ilvl w:val="0"/>
          <w:numId w:val="0"/>
        </w:numPr>
        <w:kinsoku w:val="0"/>
        <w:wordWrap/>
        <w:overflowPunct/>
        <w:topLinePunct w:val="0"/>
        <w:autoSpaceDE w:val="0"/>
        <w:autoSpaceDN w:val="0"/>
        <w:bidi w:val="0"/>
        <w:adjustRightInd w:val="0"/>
        <w:snapToGrid w:val="0"/>
        <w:spacing w:line="360" w:lineRule="auto"/>
        <w:ind w:left="420" w:leftChars="200"/>
        <w:jc w:val="left"/>
        <w:textAlignment w:val="baseline"/>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为系统改造提供容量可行性分析</w:t>
      </w:r>
    </w:p>
    <w:p w14:paraId="48A999AC">
      <w:pPr>
        <w:pStyle w:val="28"/>
        <w:bidi w:val="0"/>
      </w:pPr>
      <w:bookmarkStart w:id="196" w:name="_Toc11132"/>
      <w:bookmarkStart w:id="197" w:name="_Toc29548"/>
      <w:bookmarkStart w:id="198" w:name="_Toc14965"/>
      <w:r>
        <w:t>信息安全管理</w:t>
      </w:r>
      <w:bookmarkEnd w:id="196"/>
      <w:bookmarkEnd w:id="197"/>
      <w:bookmarkEnd w:id="198"/>
    </w:p>
    <w:p w14:paraId="1EFE9A1E">
      <w:pPr>
        <w:pStyle w:val="27"/>
        <w:bidi w:val="0"/>
        <w:rPr>
          <w:rFonts w:hint="eastAsia"/>
          <w:lang w:val="en-US" w:eastAsia="zh-CN"/>
        </w:rPr>
      </w:pPr>
      <w:r>
        <w:rPr>
          <w:rFonts w:hint="eastAsia"/>
          <w:lang w:val="en-US" w:eastAsia="zh-CN"/>
        </w:rPr>
        <w:t>信息安全管理的目的是确保公司提供给客户的运行维护服务是安全的，实现客户利益。需要定期进行安全自查和隐患分析，在人员、物理、网络、系统、数据、应用、管理等方面进行安全检查，查找安全漏洞，采取有效的措施予以解决。</w:t>
      </w:r>
    </w:p>
    <w:p w14:paraId="6D34A322">
      <w:pPr>
        <w:pStyle w:val="27"/>
        <w:bidi w:val="0"/>
        <w:rPr>
          <w:rFonts w:hint="eastAsia"/>
          <w:lang w:val="en-US" w:eastAsia="zh-CN"/>
        </w:rPr>
      </w:pPr>
      <w:r>
        <w:rPr>
          <w:rFonts w:hint="eastAsia"/>
          <w:lang w:val="en-US" w:eastAsia="zh-CN"/>
        </w:rPr>
        <w:t>安全自查和隐患分析分为局部自查和全面自查两种方式，局部自查指的是根据信息系统目前的安全状态进行重点自查，全面自查指的是针对整个信息系统进行全面自查。局部自查随时进行，全面自查一年至少要进行一次，相关过程记录予以保持。</w:t>
      </w:r>
    </w:p>
    <w:p w14:paraId="2F6A0238">
      <w:pPr>
        <w:keepNext w:val="0"/>
        <w:keepLines w:val="0"/>
        <w:pageBreakBefore w:val="0"/>
        <w:widowControl w:val="0"/>
        <w:kinsoku w:val="0"/>
        <w:wordWrap/>
        <w:overflowPunct/>
        <w:topLinePunct w:val="0"/>
        <w:autoSpaceDE w:val="0"/>
        <w:autoSpaceDN w:val="0"/>
        <w:bidi w:val="0"/>
        <w:adjustRightInd w:val="0"/>
        <w:snapToGrid w:val="0"/>
        <w:spacing w:line="360" w:lineRule="auto"/>
        <w:ind w:left="22" w:right="205" w:firstLine="485"/>
        <w:jc w:val="both"/>
        <w:textAlignment w:val="baseline"/>
        <w:rPr>
          <w:rFonts w:hint="default" w:ascii="宋体" w:hAnsi="宋体" w:eastAsia="宋体" w:cs="宋体"/>
          <w:spacing w:val="-5"/>
          <w:sz w:val="24"/>
          <w:szCs w:val="24"/>
          <w:lang w:val="en-US" w:eastAsia="zh-CN"/>
        </w:rPr>
      </w:pPr>
    </w:p>
    <w:sectPr>
      <w:footerReference r:id="rId5" w:type="default"/>
      <w:pgSz w:w="11906" w:h="16839"/>
      <w:pgMar w:top="1431" w:right="1740" w:bottom="1375" w:left="1785"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77158">
    <w:pPr>
      <w:spacing w:line="167" w:lineRule="auto"/>
      <w:ind w:left="4091"/>
      <w:rPr>
        <w:rFonts w:ascii="Calibri" w:hAnsi="Calibri" w:eastAsia="Calibri" w:cs="Calibri"/>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02C3E7"/>
    <w:multiLevelType w:val="singleLevel"/>
    <w:tmpl w:val="8602C3E7"/>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97E7A393"/>
    <w:multiLevelType w:val="singleLevel"/>
    <w:tmpl w:val="97E7A393"/>
    <w:lvl w:ilvl="0" w:tentative="0">
      <w:start w:val="1"/>
      <w:numFmt w:val="decimal"/>
      <w:lvlText w:val="%1."/>
      <w:lvlJc w:val="left"/>
      <w:pPr>
        <w:ind w:left="425" w:hanging="425"/>
      </w:pPr>
      <w:rPr>
        <w:rFonts w:hint="default"/>
      </w:rPr>
    </w:lvl>
  </w:abstractNum>
  <w:abstractNum w:abstractNumId="3">
    <w:nsid w:val="98EFF5C6"/>
    <w:multiLevelType w:val="singleLevel"/>
    <w:tmpl w:val="98EFF5C6"/>
    <w:lvl w:ilvl="0" w:tentative="0">
      <w:start w:val="1"/>
      <w:numFmt w:val="decimal"/>
      <w:lvlText w:val="%1."/>
      <w:lvlJc w:val="left"/>
      <w:pPr>
        <w:ind w:left="425" w:hanging="425"/>
      </w:pPr>
      <w:rPr>
        <w:rFonts w:hint="default"/>
      </w:rPr>
    </w:lvl>
  </w:abstractNum>
  <w:abstractNum w:abstractNumId="4">
    <w:nsid w:val="ADF65F28"/>
    <w:multiLevelType w:val="singleLevel"/>
    <w:tmpl w:val="ADF65F28"/>
    <w:lvl w:ilvl="0" w:tentative="0">
      <w:start w:val="1"/>
      <w:numFmt w:val="decimal"/>
      <w:lvlText w:val="%1."/>
      <w:lvlJc w:val="left"/>
      <w:pPr>
        <w:ind w:left="425" w:hanging="425"/>
      </w:pPr>
      <w:rPr>
        <w:rFonts w:hint="default"/>
      </w:rPr>
    </w:lvl>
  </w:abstractNum>
  <w:abstractNum w:abstractNumId="5">
    <w:nsid w:val="AE6BBC96"/>
    <w:multiLevelType w:val="singleLevel"/>
    <w:tmpl w:val="AE6BBC96"/>
    <w:lvl w:ilvl="0" w:tentative="0">
      <w:start w:val="1"/>
      <w:numFmt w:val="decimal"/>
      <w:lvlText w:val="%1."/>
      <w:lvlJc w:val="left"/>
      <w:pPr>
        <w:ind w:left="425" w:hanging="425"/>
      </w:pPr>
      <w:rPr>
        <w:rFonts w:hint="default"/>
      </w:rPr>
    </w:lvl>
  </w:abstractNum>
  <w:abstractNum w:abstractNumId="6">
    <w:nsid w:val="B2504DFD"/>
    <w:multiLevelType w:val="singleLevel"/>
    <w:tmpl w:val="B2504DFD"/>
    <w:lvl w:ilvl="0" w:tentative="0">
      <w:start w:val="1"/>
      <w:numFmt w:val="decimal"/>
      <w:lvlText w:val="%1."/>
      <w:lvlJc w:val="left"/>
      <w:pPr>
        <w:ind w:left="425" w:hanging="425"/>
      </w:pPr>
      <w:rPr>
        <w:rFonts w:hint="default"/>
      </w:rPr>
    </w:lvl>
  </w:abstractNum>
  <w:abstractNum w:abstractNumId="7">
    <w:nsid w:val="B5A99E46"/>
    <w:multiLevelType w:val="singleLevel"/>
    <w:tmpl w:val="B5A99E46"/>
    <w:lvl w:ilvl="0" w:tentative="0">
      <w:start w:val="1"/>
      <w:numFmt w:val="decimal"/>
      <w:lvlText w:val="%1."/>
      <w:lvlJc w:val="left"/>
      <w:pPr>
        <w:ind w:left="425" w:hanging="425"/>
      </w:pPr>
      <w:rPr>
        <w:rFonts w:hint="default"/>
      </w:rPr>
    </w:lvl>
  </w:abstractNum>
  <w:abstractNum w:abstractNumId="8">
    <w:nsid w:val="CCEDFA8C"/>
    <w:multiLevelType w:val="singleLevel"/>
    <w:tmpl w:val="CCEDFA8C"/>
    <w:lvl w:ilvl="0" w:tentative="0">
      <w:start w:val="1"/>
      <w:numFmt w:val="decimal"/>
      <w:lvlText w:val="%1."/>
      <w:lvlJc w:val="left"/>
      <w:pPr>
        <w:ind w:left="425" w:hanging="425"/>
      </w:pPr>
      <w:rPr>
        <w:rFonts w:hint="default"/>
      </w:rPr>
    </w:lvl>
  </w:abstractNum>
  <w:abstractNum w:abstractNumId="9">
    <w:nsid w:val="EB792C90"/>
    <w:multiLevelType w:val="singleLevel"/>
    <w:tmpl w:val="EB792C90"/>
    <w:lvl w:ilvl="0" w:tentative="0">
      <w:start w:val="1"/>
      <w:numFmt w:val="decimal"/>
      <w:lvlText w:val="%1."/>
      <w:lvlJc w:val="left"/>
      <w:pPr>
        <w:ind w:left="425" w:hanging="425"/>
      </w:pPr>
      <w:rPr>
        <w:rFonts w:hint="default"/>
      </w:rPr>
    </w:lvl>
  </w:abstractNum>
  <w:abstractNum w:abstractNumId="10">
    <w:nsid w:val="EE442DA0"/>
    <w:multiLevelType w:val="singleLevel"/>
    <w:tmpl w:val="EE442DA0"/>
    <w:lvl w:ilvl="0" w:tentative="0">
      <w:start w:val="1"/>
      <w:numFmt w:val="decimal"/>
      <w:lvlText w:val="%1."/>
      <w:lvlJc w:val="left"/>
      <w:pPr>
        <w:ind w:left="425" w:hanging="425"/>
      </w:pPr>
      <w:rPr>
        <w:rFonts w:hint="default"/>
      </w:rPr>
    </w:lvl>
  </w:abstractNum>
  <w:abstractNum w:abstractNumId="11">
    <w:nsid w:val="F31A6FD9"/>
    <w:multiLevelType w:val="singleLevel"/>
    <w:tmpl w:val="F31A6FD9"/>
    <w:lvl w:ilvl="0" w:tentative="0">
      <w:start w:val="1"/>
      <w:numFmt w:val="decimal"/>
      <w:lvlText w:val="%1."/>
      <w:lvlJc w:val="left"/>
      <w:pPr>
        <w:ind w:left="425" w:hanging="425"/>
      </w:pPr>
      <w:rPr>
        <w:rFonts w:hint="default"/>
      </w:rPr>
    </w:lvl>
  </w:abstractNum>
  <w:abstractNum w:abstractNumId="12">
    <w:nsid w:val="FE298A6F"/>
    <w:multiLevelType w:val="singleLevel"/>
    <w:tmpl w:val="FE298A6F"/>
    <w:lvl w:ilvl="0" w:tentative="0">
      <w:start w:val="1"/>
      <w:numFmt w:val="decimal"/>
      <w:lvlText w:val="%1."/>
      <w:lvlJc w:val="left"/>
      <w:pPr>
        <w:ind w:left="425" w:hanging="425"/>
      </w:pPr>
      <w:rPr>
        <w:rFonts w:hint="default"/>
      </w:rPr>
    </w:lvl>
  </w:abstractNum>
  <w:abstractNum w:abstractNumId="13">
    <w:nsid w:val="03DE4E8D"/>
    <w:multiLevelType w:val="singleLevel"/>
    <w:tmpl w:val="03DE4E8D"/>
    <w:lvl w:ilvl="0" w:tentative="0">
      <w:start w:val="1"/>
      <w:numFmt w:val="decimal"/>
      <w:lvlText w:val="%1."/>
      <w:lvlJc w:val="left"/>
      <w:pPr>
        <w:ind w:left="425" w:hanging="425"/>
      </w:pPr>
      <w:rPr>
        <w:rFonts w:hint="default"/>
      </w:rPr>
    </w:lvl>
  </w:abstractNum>
  <w:abstractNum w:abstractNumId="14">
    <w:nsid w:val="203D6AF2"/>
    <w:multiLevelType w:val="singleLevel"/>
    <w:tmpl w:val="203D6AF2"/>
    <w:lvl w:ilvl="0" w:tentative="0">
      <w:start w:val="1"/>
      <w:numFmt w:val="decimal"/>
      <w:lvlText w:val="(%1)"/>
      <w:lvlJc w:val="left"/>
      <w:pPr>
        <w:tabs>
          <w:tab w:val="left" w:pos="420"/>
        </w:tabs>
        <w:ind w:left="845" w:hanging="425"/>
      </w:pPr>
      <w:rPr>
        <w:rFonts w:hint="default"/>
      </w:rPr>
    </w:lvl>
  </w:abstractNum>
  <w:abstractNum w:abstractNumId="15">
    <w:nsid w:val="2A654C3E"/>
    <w:multiLevelType w:val="singleLevel"/>
    <w:tmpl w:val="2A654C3E"/>
    <w:lvl w:ilvl="0" w:tentative="0">
      <w:start w:val="1"/>
      <w:numFmt w:val="decimal"/>
      <w:lvlText w:val="%1."/>
      <w:lvlJc w:val="left"/>
      <w:pPr>
        <w:ind w:left="425" w:hanging="425"/>
      </w:pPr>
      <w:rPr>
        <w:rFonts w:hint="default"/>
      </w:rPr>
    </w:lvl>
  </w:abstractNum>
  <w:abstractNum w:abstractNumId="16">
    <w:nsid w:val="37583E12"/>
    <w:multiLevelType w:val="singleLevel"/>
    <w:tmpl w:val="37583E12"/>
    <w:lvl w:ilvl="0" w:tentative="0">
      <w:start w:val="1"/>
      <w:numFmt w:val="decimal"/>
      <w:lvlText w:val="%1."/>
      <w:lvlJc w:val="left"/>
      <w:pPr>
        <w:ind w:left="425" w:hanging="425"/>
      </w:pPr>
      <w:rPr>
        <w:rFonts w:hint="default"/>
      </w:rPr>
    </w:lvl>
  </w:abstractNum>
  <w:abstractNum w:abstractNumId="17">
    <w:nsid w:val="480AB847"/>
    <w:multiLevelType w:val="singleLevel"/>
    <w:tmpl w:val="480AB847"/>
    <w:lvl w:ilvl="0" w:tentative="0">
      <w:start w:val="1"/>
      <w:numFmt w:val="decimal"/>
      <w:lvlText w:val="(%1)"/>
      <w:lvlJc w:val="left"/>
      <w:pPr>
        <w:tabs>
          <w:tab w:val="left" w:pos="420"/>
        </w:tabs>
        <w:ind w:left="845" w:hanging="425"/>
      </w:pPr>
      <w:rPr>
        <w:rFonts w:hint="default"/>
      </w:rPr>
    </w:lvl>
  </w:abstractNum>
  <w:abstractNum w:abstractNumId="18">
    <w:nsid w:val="4F082375"/>
    <w:multiLevelType w:val="singleLevel"/>
    <w:tmpl w:val="4F082375"/>
    <w:lvl w:ilvl="0" w:tentative="0">
      <w:start w:val="1"/>
      <w:numFmt w:val="decimal"/>
      <w:lvlText w:val="%1."/>
      <w:lvlJc w:val="left"/>
      <w:pPr>
        <w:ind w:left="425" w:hanging="425"/>
      </w:pPr>
      <w:rPr>
        <w:rFonts w:hint="default"/>
      </w:rPr>
    </w:lvl>
  </w:abstractNum>
  <w:abstractNum w:abstractNumId="19">
    <w:nsid w:val="6075584A"/>
    <w:multiLevelType w:val="singleLevel"/>
    <w:tmpl w:val="6075584A"/>
    <w:lvl w:ilvl="0" w:tentative="0">
      <w:start w:val="1"/>
      <w:numFmt w:val="decimal"/>
      <w:lvlText w:val="%1."/>
      <w:lvlJc w:val="left"/>
      <w:pPr>
        <w:ind w:left="425" w:hanging="425"/>
      </w:pPr>
      <w:rPr>
        <w:rFonts w:hint="default"/>
      </w:rPr>
    </w:lvl>
  </w:abstractNum>
  <w:num w:numId="1">
    <w:abstractNumId w:val="1"/>
  </w:num>
  <w:num w:numId="2">
    <w:abstractNumId w:val="6"/>
  </w:num>
  <w:num w:numId="3">
    <w:abstractNumId w:val="15"/>
  </w:num>
  <w:num w:numId="4">
    <w:abstractNumId w:val="5"/>
  </w:num>
  <w:num w:numId="5">
    <w:abstractNumId w:val="3"/>
  </w:num>
  <w:num w:numId="6">
    <w:abstractNumId w:val="10"/>
  </w:num>
  <w:num w:numId="7">
    <w:abstractNumId w:val="11"/>
  </w:num>
  <w:num w:numId="8">
    <w:abstractNumId w:val="7"/>
  </w:num>
  <w:num w:numId="9">
    <w:abstractNumId w:val="16"/>
  </w:num>
  <w:num w:numId="10">
    <w:abstractNumId w:val="18"/>
  </w:num>
  <w:num w:numId="11">
    <w:abstractNumId w:val="17"/>
  </w:num>
  <w:num w:numId="12">
    <w:abstractNumId w:val="2"/>
  </w:num>
  <w:num w:numId="13">
    <w:abstractNumId w:val="14"/>
  </w:num>
  <w:num w:numId="14">
    <w:abstractNumId w:val="0"/>
  </w:num>
  <w:num w:numId="15">
    <w:abstractNumId w:val="19"/>
  </w:num>
  <w:num w:numId="16">
    <w:abstractNumId w:val="13"/>
  </w:num>
  <w:num w:numId="17">
    <w:abstractNumId w:val="9"/>
  </w:num>
  <w:num w:numId="18">
    <w:abstractNumId w:val="8"/>
  </w:num>
  <w:num w:numId="19">
    <w:abstractNumId w:val="4"/>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A9652E1"/>
    <w:rsid w:val="212D20A3"/>
    <w:rsid w:val="25BD6835"/>
    <w:rsid w:val="2BFC6E49"/>
    <w:rsid w:val="2C2301B5"/>
    <w:rsid w:val="2DAC07F4"/>
    <w:rsid w:val="32562ADC"/>
    <w:rsid w:val="33A84AF8"/>
    <w:rsid w:val="37215DAE"/>
    <w:rsid w:val="3B36176B"/>
    <w:rsid w:val="3E7A3FF6"/>
    <w:rsid w:val="3FE5588A"/>
    <w:rsid w:val="41246170"/>
    <w:rsid w:val="43DF5027"/>
    <w:rsid w:val="4AC07235"/>
    <w:rsid w:val="52911BE2"/>
    <w:rsid w:val="55627866"/>
    <w:rsid w:val="58F24A5D"/>
    <w:rsid w:val="67852F40"/>
    <w:rsid w:val="6A486BD3"/>
    <w:rsid w:val="702A0734"/>
    <w:rsid w:val="7204105E"/>
    <w:rsid w:val="767F0748"/>
    <w:rsid w:val="7DBA79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10901</Words>
  <Characters>11310</Characters>
  <Lines>0</Lines>
  <Paragraphs>0</Paragraphs>
  <TotalTime>41</TotalTime>
  <ScaleCrop>false</ScaleCrop>
  <LinksUpToDate>false</LinksUpToDate>
  <CharactersWithSpaces>11623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2025-08-18T16:17:00Z</dcterms:created>
  <dc:creator>谢永刚</dc:creator>
  <cp:lastModifiedBy>郝宇</cp:lastModifiedBy>
  <dcterms:modified xsi:type="dcterms:W3CDTF">2026-04-15T17:03:12Z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2025-08-18T16:20:33Z</vt:filetime>
  </property>
  <property fmtid="{D5CDD505-2E9C-101B-9397-08002B2CF9AE}" pid="3" name="CRO">
    <vt:lpwstr>wqlLaW5nc29mdCBQREYgdG8gV1BTIDExNQ</vt:lpwstr>
  </property>
  <property fmtid="{D5CDD505-2E9C-101B-9397-08002B2CF9AE}" pid="4" name="ICV">
    <vt:lpwstr>98BBBA0FA0594341AEF42EACDE08FE03_12</vt:lpwstr>
  </property>
  <property fmtid="{D5CDD505-2E9C-101B-9397-08002B2CF9AE}" pid="5" name="KSOProductBuildVer">
    <vt:lpwstr>2052-12.1.0.25865</vt:lpwstr>
  </property>
  <property fmtid="{D5CDD505-2E9C-101B-9397-08002B2CF9AE}" pid="6" name="KSOTemplateDocerSaveRecord">
    <vt:lpwstr>eyJoZGlkIjoiZWI4NmUzMGY2ODA3MDc4ZTFlMjZjZTAyMjM0NmVmODgiLCJ1c2VySWQiOiIxMDc1MzgyOSJ9</vt:lpwstr>
  </property>
</Properties>
</file>