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3C852">
      <w:pPr>
        <w:pStyle w:val="32"/>
        <w:keepNext w:val="0"/>
        <w:keepLines w:val="0"/>
        <w:pageBreakBefore w:val="0"/>
        <w:widowControl w:val="0"/>
        <w:kinsoku w:val="0"/>
        <w:wordWrap/>
        <w:overflowPunct/>
        <w:topLinePunct w:val="0"/>
        <w:autoSpaceDE w:val="0"/>
        <w:autoSpaceDN w:val="0"/>
        <w:bidi w:val="0"/>
        <w:adjustRightInd w:val="0"/>
        <w:snapToGrid w:val="0"/>
      </w:pPr>
      <w:bookmarkStart w:id="0" w:name="_Toc25647"/>
      <w:bookmarkStart w:id="1" w:name="_Toc1482"/>
    </w:p>
    <w:p w14:paraId="045E1C3F">
      <w:pPr>
        <w:pStyle w:val="32"/>
        <w:keepNext w:val="0"/>
        <w:keepLines w:val="0"/>
        <w:pageBreakBefore w:val="0"/>
        <w:widowControl w:val="0"/>
        <w:kinsoku w:val="0"/>
        <w:wordWrap/>
        <w:overflowPunct/>
        <w:topLinePunct w:val="0"/>
        <w:autoSpaceDE w:val="0"/>
        <w:autoSpaceDN w:val="0"/>
        <w:bidi w:val="0"/>
        <w:adjustRightInd w:val="0"/>
        <w:snapToGrid w:val="0"/>
      </w:pPr>
      <w:bookmarkStart w:id="2" w:name="_Toc17763"/>
      <w:r>
        <w:t>2025年度</w:t>
      </w:r>
      <w:bookmarkEnd w:id="0"/>
      <w:bookmarkEnd w:id="1"/>
      <w:bookmarkStart w:id="3" w:name="_Toc21173"/>
      <w:bookmarkStart w:id="4" w:name="_Toc2350"/>
      <w:r>
        <w:t>运维服务能力管理计划</w:t>
      </w:r>
      <w:bookmarkEnd w:id="2"/>
      <w:bookmarkEnd w:id="3"/>
      <w:bookmarkEnd w:id="4"/>
    </w:p>
    <w:p w14:paraId="1B32694C">
      <w:pPr>
        <w:bidi w:val="0"/>
        <w:rPr>
          <w:rFonts w:hint="eastAsia"/>
          <w:lang w:val="en-US" w:eastAsia="zh-CN"/>
        </w:rPr>
      </w:pPr>
    </w:p>
    <w:p w14:paraId="53B1D101">
      <w:pPr>
        <w:bidi w:val="0"/>
        <w:rPr>
          <w:rFonts w:hint="eastAsia"/>
          <w:lang w:val="en-US" w:eastAsia="zh-CN"/>
        </w:rPr>
      </w:pPr>
    </w:p>
    <w:p w14:paraId="3FC60ED1">
      <w:pPr>
        <w:bidi w:val="0"/>
        <w:rPr>
          <w:rFonts w:hint="eastAsia"/>
          <w:lang w:val="en-US" w:eastAsia="zh-CN"/>
        </w:rPr>
      </w:pPr>
    </w:p>
    <w:p w14:paraId="7A9CF489">
      <w:pPr>
        <w:bidi w:val="0"/>
        <w:rPr>
          <w:rFonts w:hint="eastAsia"/>
          <w:lang w:val="en-US" w:eastAsia="zh-CN"/>
        </w:rPr>
      </w:pPr>
    </w:p>
    <w:p w14:paraId="3107B94E">
      <w:pPr>
        <w:bidi w:val="0"/>
        <w:rPr>
          <w:rFonts w:hint="eastAsia"/>
          <w:lang w:val="en-US" w:eastAsia="zh-CN"/>
        </w:rPr>
      </w:pPr>
    </w:p>
    <w:p w14:paraId="04F00EC1">
      <w:pPr>
        <w:bidi w:val="0"/>
        <w:rPr>
          <w:rFonts w:hint="eastAsia"/>
          <w:lang w:val="en-US" w:eastAsia="zh-CN"/>
        </w:rPr>
      </w:pPr>
    </w:p>
    <w:p w14:paraId="01BE19C7">
      <w:pPr>
        <w:bidi w:val="0"/>
        <w:rPr>
          <w:rFonts w:hint="eastAsia"/>
          <w:lang w:val="en-US" w:eastAsia="zh-CN"/>
        </w:rPr>
      </w:pPr>
    </w:p>
    <w:p w14:paraId="6C695189">
      <w:pPr>
        <w:bidi w:val="0"/>
        <w:rPr>
          <w:rFonts w:hint="eastAsia"/>
          <w:lang w:val="en-US" w:eastAsia="zh-CN"/>
        </w:rPr>
      </w:pPr>
    </w:p>
    <w:p w14:paraId="3C0C7398">
      <w:pPr>
        <w:bidi w:val="0"/>
        <w:rPr>
          <w:rFonts w:hint="eastAsia"/>
          <w:lang w:val="en-US" w:eastAsia="zh-CN"/>
        </w:rPr>
      </w:pPr>
    </w:p>
    <w:p w14:paraId="722EB291">
      <w:pPr>
        <w:bidi w:val="0"/>
        <w:rPr>
          <w:rFonts w:hint="eastAsia"/>
          <w:lang w:eastAsia="zh-CN"/>
        </w:rPr>
      </w:pPr>
      <w:r>
        <w:rPr>
          <w:rFonts w:hint="eastAsia"/>
          <w:lang w:val="en-US" w:eastAsia="zh-CN"/>
        </w:rPr>
        <w:tab/>
      </w:r>
    </w:p>
    <w:p w14:paraId="072C2BF8">
      <w:pPr>
        <w:keepNext w:val="0"/>
        <w:keepLines w:val="0"/>
        <w:pageBreakBefore w:val="0"/>
        <w:widowControl w:val="0"/>
        <w:kinsoku w:val="0"/>
        <w:wordWrap/>
        <w:overflowPunct/>
        <w:topLinePunct w:val="0"/>
        <w:autoSpaceDE w:val="0"/>
        <w:autoSpaceDN w:val="0"/>
        <w:bidi w:val="0"/>
        <w:adjustRightInd w:val="0"/>
        <w:snapToGrid w:val="0"/>
        <w:spacing w:before="224" w:line="220" w:lineRule="auto"/>
        <w:ind w:left="2925"/>
        <w:rPr>
          <w:rFonts w:ascii="宋体" w:hAnsi="宋体" w:eastAsia="宋体" w:cs="宋体"/>
          <w:sz w:val="36"/>
          <w:szCs w:val="36"/>
        </w:rPr>
      </w:pPr>
      <w:r>
        <w:rPr>
          <w:rFonts w:ascii="宋体" w:hAnsi="宋体" w:eastAsia="宋体" w:cs="宋体"/>
          <w:spacing w:val="-12"/>
          <w:sz w:val="36"/>
          <w:szCs w:val="36"/>
        </w:rPr>
        <w:t>2025年</w:t>
      </w:r>
      <w:r>
        <w:rPr>
          <w:rFonts w:ascii="宋体" w:hAnsi="宋体" w:eastAsia="宋体" w:cs="宋体"/>
          <w:spacing w:val="-48"/>
          <w:sz w:val="36"/>
          <w:szCs w:val="36"/>
        </w:rPr>
        <w:t xml:space="preserve"> </w:t>
      </w:r>
      <w:r>
        <w:rPr>
          <w:rFonts w:ascii="宋体" w:hAnsi="宋体" w:eastAsia="宋体" w:cs="宋体"/>
          <w:spacing w:val="-12"/>
          <w:sz w:val="36"/>
          <w:szCs w:val="36"/>
        </w:rPr>
        <w:t>1</w:t>
      </w:r>
      <w:r>
        <w:rPr>
          <w:rFonts w:ascii="宋体" w:hAnsi="宋体" w:eastAsia="宋体" w:cs="宋体"/>
          <w:spacing w:val="-67"/>
          <w:sz w:val="36"/>
          <w:szCs w:val="36"/>
        </w:rPr>
        <w:t xml:space="preserve"> </w:t>
      </w:r>
      <w:r>
        <w:rPr>
          <w:rFonts w:ascii="宋体" w:hAnsi="宋体" w:eastAsia="宋体" w:cs="宋体"/>
          <w:spacing w:val="-12"/>
          <w:sz w:val="36"/>
          <w:szCs w:val="36"/>
        </w:rPr>
        <w:t>月</w:t>
      </w:r>
      <w:r>
        <w:rPr>
          <w:rFonts w:ascii="宋体" w:hAnsi="宋体" w:eastAsia="宋体" w:cs="宋体"/>
          <w:spacing w:val="-69"/>
          <w:sz w:val="36"/>
          <w:szCs w:val="36"/>
        </w:rPr>
        <w:t xml:space="preserve"> </w:t>
      </w:r>
      <w:r>
        <w:rPr>
          <w:rFonts w:ascii="宋体" w:hAnsi="宋体" w:eastAsia="宋体" w:cs="宋体"/>
          <w:spacing w:val="-12"/>
          <w:sz w:val="36"/>
          <w:szCs w:val="36"/>
        </w:rPr>
        <w:t>3 日</w:t>
      </w:r>
    </w:p>
    <w:p w14:paraId="65C1BA97">
      <w:pPr>
        <w:keepNext w:val="0"/>
        <w:keepLines w:val="0"/>
        <w:pageBreakBefore w:val="0"/>
        <w:widowControl w:val="0"/>
        <w:kinsoku w:val="0"/>
        <w:wordWrap/>
        <w:overflowPunct/>
        <w:topLinePunct w:val="0"/>
        <w:autoSpaceDE w:val="0"/>
        <w:autoSpaceDN w:val="0"/>
        <w:bidi w:val="0"/>
        <w:adjustRightInd w:val="0"/>
        <w:snapToGrid w:val="0"/>
        <w:spacing w:line="220" w:lineRule="auto"/>
        <w:rPr>
          <w:rFonts w:ascii="宋体" w:hAnsi="宋体" w:eastAsia="宋体" w:cs="宋体"/>
          <w:sz w:val="36"/>
          <w:szCs w:val="36"/>
        </w:rPr>
        <w:sectPr>
          <w:pgSz w:w="11906" w:h="16839"/>
          <w:pgMar w:top="1431" w:right="1785" w:bottom="0" w:left="1785" w:header="0" w:footer="0" w:gutter="0"/>
          <w:cols w:space="720" w:num="1"/>
        </w:sectPr>
      </w:pPr>
    </w:p>
    <w:p w14:paraId="617DA836">
      <w:pPr>
        <w:keepNext w:val="0"/>
        <w:keepLines w:val="0"/>
        <w:pageBreakBefore w:val="0"/>
        <w:widowControl w:val="0"/>
        <w:kinsoku w:val="0"/>
        <w:wordWrap/>
        <w:overflowPunct/>
        <w:topLinePunct w:val="0"/>
        <w:autoSpaceDE w:val="0"/>
        <w:autoSpaceDN w:val="0"/>
        <w:bidi w:val="0"/>
        <w:adjustRightInd w:val="0"/>
        <w:snapToGrid w:val="0"/>
        <w:spacing w:before="39" w:line="220" w:lineRule="auto"/>
        <w:ind w:left="3794"/>
        <w:outlineLvl w:val="0"/>
        <w:rPr>
          <w:rFonts w:ascii="宋体" w:hAnsi="宋体" w:eastAsia="宋体" w:cs="宋体"/>
          <w:sz w:val="20"/>
          <w:szCs w:val="20"/>
        </w:rPr>
      </w:pPr>
      <w:bookmarkStart w:id="5" w:name="_Toc4208"/>
      <w:bookmarkStart w:id="6" w:name="_Toc2932"/>
      <w:bookmarkStart w:id="7" w:name="_Toc16104"/>
      <w:r>
        <w:rPr>
          <w:rFonts w:ascii="宋体" w:hAnsi="宋体" w:eastAsia="宋体" w:cs="宋体"/>
          <w:spacing w:val="-2"/>
          <w:sz w:val="20"/>
          <w:szCs w:val="20"/>
        </w:rPr>
        <w:t>文档信息</w:t>
      </w:r>
      <w:bookmarkEnd w:id="5"/>
      <w:bookmarkEnd w:id="6"/>
      <w:bookmarkEnd w:id="7"/>
    </w:p>
    <w:p w14:paraId="7DA9FDDC">
      <w:pPr>
        <w:keepNext w:val="0"/>
        <w:keepLines w:val="0"/>
        <w:pageBreakBefore w:val="0"/>
        <w:widowControl w:val="0"/>
        <w:kinsoku w:val="0"/>
        <w:wordWrap/>
        <w:overflowPunct/>
        <w:topLinePunct w:val="0"/>
        <w:autoSpaceDE w:val="0"/>
        <w:autoSpaceDN w:val="0"/>
        <w:bidi w:val="0"/>
        <w:adjustRightInd w:val="0"/>
        <w:snapToGrid w:val="0"/>
        <w:spacing w:before="228"/>
      </w:pPr>
    </w:p>
    <w:tbl>
      <w:tblPr>
        <w:tblStyle w:val="24"/>
        <w:tblW w:w="8222"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3"/>
        <w:gridCol w:w="1696"/>
        <w:gridCol w:w="2302"/>
        <w:gridCol w:w="1557"/>
        <w:gridCol w:w="1104"/>
      </w:tblGrid>
      <w:tr w14:paraId="694B7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563" w:type="dxa"/>
          </w:tcPr>
          <w:p w14:paraId="4C867AC4">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12"/>
            </w:pPr>
            <w:r>
              <w:rPr>
                <w:spacing w:val="-2"/>
              </w:rPr>
              <w:t>文档名称编号</w:t>
            </w:r>
          </w:p>
        </w:tc>
        <w:tc>
          <w:tcPr>
            <w:tcW w:w="6659" w:type="dxa"/>
            <w:gridSpan w:val="4"/>
          </w:tcPr>
          <w:p w14:paraId="2CC6DEDF">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10"/>
            </w:pPr>
            <w:r>
              <w:rPr>
                <w:spacing w:val="-1"/>
              </w:rPr>
              <w:t>202</w:t>
            </w:r>
            <w:r>
              <w:rPr>
                <w:rFonts w:hint="eastAsia"/>
                <w:spacing w:val="-1"/>
                <w:lang w:val="en-US" w:eastAsia="zh-CN"/>
              </w:rPr>
              <w:t>5</w:t>
            </w:r>
            <w:r>
              <w:rPr>
                <w:spacing w:val="-29"/>
              </w:rPr>
              <w:t xml:space="preserve"> </w:t>
            </w:r>
            <w:r>
              <w:rPr>
                <w:spacing w:val="-1"/>
              </w:rPr>
              <w:t>年度运维服务能力管理计划（JSYC-ITSS-FWNLGLPL）</w:t>
            </w:r>
          </w:p>
        </w:tc>
      </w:tr>
      <w:tr w14:paraId="09BCF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563" w:type="dxa"/>
          </w:tcPr>
          <w:p w14:paraId="432E9BE6">
            <w:pPr>
              <w:pStyle w:val="25"/>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112"/>
            </w:pPr>
            <w:r>
              <w:rPr>
                <w:spacing w:val="-2"/>
              </w:rPr>
              <w:t>编制单位</w:t>
            </w:r>
          </w:p>
        </w:tc>
        <w:tc>
          <w:tcPr>
            <w:tcW w:w="6659" w:type="dxa"/>
            <w:gridSpan w:val="4"/>
          </w:tcPr>
          <w:p w14:paraId="63D41BF7">
            <w:pPr>
              <w:pStyle w:val="25"/>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pPr>
            <w:r>
              <w:rPr>
                <w:spacing w:val="-1"/>
              </w:rPr>
              <w:t>江苏云储智能科技有限公司</w:t>
            </w:r>
          </w:p>
        </w:tc>
      </w:tr>
      <w:tr w14:paraId="161F3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563" w:type="dxa"/>
          </w:tcPr>
          <w:p w14:paraId="5BB386D1">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112"/>
            </w:pPr>
            <w:r>
              <w:rPr>
                <w:spacing w:val="-2"/>
              </w:rPr>
              <w:t>文档版本</w:t>
            </w:r>
          </w:p>
        </w:tc>
        <w:tc>
          <w:tcPr>
            <w:tcW w:w="1696" w:type="dxa"/>
          </w:tcPr>
          <w:p w14:paraId="2367303B">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109"/>
            </w:pPr>
            <w:r>
              <w:rPr>
                <w:spacing w:val="-2"/>
              </w:rPr>
              <w:t>版本日期</w:t>
            </w:r>
          </w:p>
        </w:tc>
        <w:tc>
          <w:tcPr>
            <w:tcW w:w="2302" w:type="dxa"/>
          </w:tcPr>
          <w:p w14:paraId="118C44C5">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111"/>
            </w:pPr>
            <w:r>
              <w:rPr>
                <w:spacing w:val="-2"/>
              </w:rPr>
              <w:t>版本说明</w:t>
            </w:r>
          </w:p>
        </w:tc>
        <w:tc>
          <w:tcPr>
            <w:tcW w:w="1557" w:type="dxa"/>
          </w:tcPr>
          <w:p w14:paraId="1F8992E8">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14"/>
            </w:pPr>
            <w:r>
              <w:rPr>
                <w:spacing w:val="-3"/>
              </w:rPr>
              <w:t>作者</w:t>
            </w:r>
          </w:p>
        </w:tc>
        <w:tc>
          <w:tcPr>
            <w:tcW w:w="1104" w:type="dxa"/>
          </w:tcPr>
          <w:p w14:paraId="0BE3772A">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25"/>
            </w:pPr>
            <w:r>
              <w:rPr>
                <w:spacing w:val="-5"/>
              </w:rPr>
              <w:t>审核</w:t>
            </w:r>
          </w:p>
        </w:tc>
      </w:tr>
      <w:tr w14:paraId="529BA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563" w:type="dxa"/>
          </w:tcPr>
          <w:p w14:paraId="2B9330DA">
            <w:pPr>
              <w:pStyle w:val="25"/>
              <w:keepNext w:val="0"/>
              <w:keepLines w:val="0"/>
              <w:pageBreakBefore w:val="0"/>
              <w:widowControl w:val="0"/>
              <w:kinsoku w:val="0"/>
              <w:wordWrap/>
              <w:overflowPunct/>
              <w:topLinePunct w:val="0"/>
              <w:autoSpaceDE w:val="0"/>
              <w:autoSpaceDN w:val="0"/>
              <w:bidi w:val="0"/>
              <w:adjustRightInd w:val="0"/>
              <w:snapToGrid w:val="0"/>
              <w:spacing w:before="150" w:line="239" w:lineRule="auto"/>
              <w:ind w:left="106"/>
            </w:pPr>
            <w:r>
              <w:rPr>
                <w:spacing w:val="-1"/>
              </w:rPr>
              <w:t>V1.0</w:t>
            </w:r>
          </w:p>
        </w:tc>
        <w:tc>
          <w:tcPr>
            <w:tcW w:w="1696" w:type="dxa"/>
          </w:tcPr>
          <w:p w14:paraId="50DAC5FA">
            <w:pPr>
              <w:pStyle w:val="25"/>
              <w:keepNext w:val="0"/>
              <w:keepLines w:val="0"/>
              <w:pageBreakBefore w:val="0"/>
              <w:widowControl w:val="0"/>
              <w:kinsoku w:val="0"/>
              <w:wordWrap/>
              <w:overflowPunct/>
              <w:topLinePunct w:val="0"/>
              <w:autoSpaceDE w:val="0"/>
              <w:autoSpaceDN w:val="0"/>
              <w:bidi w:val="0"/>
              <w:adjustRightInd w:val="0"/>
              <w:snapToGrid w:val="0"/>
              <w:spacing w:before="149"/>
              <w:ind w:left="110"/>
            </w:pPr>
            <w:r>
              <w:rPr>
                <w:spacing w:val="-2"/>
              </w:rPr>
              <w:t>2025-1-3</w:t>
            </w:r>
          </w:p>
        </w:tc>
        <w:tc>
          <w:tcPr>
            <w:tcW w:w="2302" w:type="dxa"/>
          </w:tcPr>
          <w:p w14:paraId="58B30315">
            <w:pPr>
              <w:pStyle w:val="25"/>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113"/>
            </w:pPr>
            <w:r>
              <w:rPr>
                <w:spacing w:val="-3"/>
              </w:rPr>
              <w:t>发布版本</w:t>
            </w:r>
          </w:p>
        </w:tc>
        <w:tc>
          <w:tcPr>
            <w:tcW w:w="1557" w:type="dxa"/>
          </w:tcPr>
          <w:p w14:paraId="5C33A408">
            <w:pPr>
              <w:pStyle w:val="25"/>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116"/>
            </w:pPr>
            <w:r>
              <w:rPr>
                <w:spacing w:val="-3"/>
              </w:rPr>
              <w:t>王朋</w:t>
            </w:r>
          </w:p>
        </w:tc>
        <w:tc>
          <w:tcPr>
            <w:tcW w:w="1104" w:type="dxa"/>
          </w:tcPr>
          <w:p w14:paraId="7E7D010B">
            <w:pPr>
              <w:pStyle w:val="25"/>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120"/>
            </w:pPr>
            <w:r>
              <w:rPr>
                <w:spacing w:val="-3"/>
              </w:rPr>
              <w:t>史晓玲</w:t>
            </w:r>
          </w:p>
        </w:tc>
      </w:tr>
      <w:tr w14:paraId="5D205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1563" w:type="dxa"/>
          </w:tcPr>
          <w:p w14:paraId="463AD946">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696" w:type="dxa"/>
          </w:tcPr>
          <w:p w14:paraId="11A8E7E1">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302" w:type="dxa"/>
          </w:tcPr>
          <w:p w14:paraId="3AAAE9E7">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557" w:type="dxa"/>
          </w:tcPr>
          <w:p w14:paraId="1660139A">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104" w:type="dxa"/>
          </w:tcPr>
          <w:p w14:paraId="77B712C1">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r w14:paraId="460B4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563" w:type="dxa"/>
          </w:tcPr>
          <w:p w14:paraId="23862D9F">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696" w:type="dxa"/>
          </w:tcPr>
          <w:p w14:paraId="16896CC4">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302" w:type="dxa"/>
          </w:tcPr>
          <w:p w14:paraId="26244849">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557" w:type="dxa"/>
          </w:tcPr>
          <w:p w14:paraId="58C435A1">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104" w:type="dxa"/>
          </w:tcPr>
          <w:p w14:paraId="7353A123">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r w14:paraId="6C773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563" w:type="dxa"/>
          </w:tcPr>
          <w:p w14:paraId="01B21F73">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696" w:type="dxa"/>
          </w:tcPr>
          <w:p w14:paraId="2FCB9425">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302" w:type="dxa"/>
          </w:tcPr>
          <w:p w14:paraId="34A0D56A">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557" w:type="dxa"/>
          </w:tcPr>
          <w:p w14:paraId="663B468B">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104" w:type="dxa"/>
          </w:tcPr>
          <w:p w14:paraId="43C085D2">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bl>
    <w:p w14:paraId="553E2BD2">
      <w:pPr>
        <w:pStyle w:val="12"/>
        <w:keepNext w:val="0"/>
        <w:keepLines w:val="0"/>
        <w:pageBreakBefore w:val="0"/>
        <w:widowControl w:val="0"/>
        <w:kinsoku w:val="0"/>
        <w:wordWrap/>
        <w:overflowPunct/>
        <w:topLinePunct w:val="0"/>
        <w:autoSpaceDE w:val="0"/>
        <w:autoSpaceDN w:val="0"/>
        <w:bidi w:val="0"/>
        <w:adjustRightInd w:val="0"/>
        <w:snapToGrid w:val="0"/>
      </w:pPr>
    </w:p>
    <w:p w14:paraId="2C340861">
      <w:pPr>
        <w:keepNext w:val="0"/>
        <w:keepLines w:val="0"/>
        <w:pageBreakBefore w:val="0"/>
        <w:widowControl w:val="0"/>
        <w:kinsoku w:val="0"/>
        <w:wordWrap/>
        <w:overflowPunct/>
        <w:topLinePunct w:val="0"/>
        <w:autoSpaceDE w:val="0"/>
        <w:autoSpaceDN w:val="0"/>
        <w:bidi w:val="0"/>
        <w:adjustRightInd w:val="0"/>
        <w:snapToGrid w:val="0"/>
        <w:sectPr>
          <w:footerReference r:id="rId5" w:type="default"/>
          <w:pgSz w:w="11906" w:h="16839"/>
          <w:pgMar w:top="1349" w:right="1767" w:bottom="1223" w:left="1768" w:header="0" w:footer="1218" w:gutter="0"/>
          <w:cols w:space="720" w:num="1"/>
        </w:sectPr>
      </w:pPr>
    </w:p>
    <w:sdt>
      <w:sdtPr>
        <w:rPr>
          <w:rFonts w:ascii="宋体" w:hAnsi="宋体" w:eastAsia="宋体" w:cs="Arial"/>
          <w:snapToGrid w:val="0"/>
          <w:color w:val="000000"/>
          <w:kern w:val="0"/>
          <w:sz w:val="21"/>
          <w:szCs w:val="21"/>
          <w:lang w:val="en-US" w:eastAsia="en-US" w:bidi="ar-SA"/>
        </w:rPr>
        <w:id w:val="147466092"/>
        <w:docPartObj>
          <w:docPartGallery w:val="Table of Contents"/>
          <w:docPartUnique/>
        </w:docPartObj>
      </w:sdtPr>
      <w:sdtEndPr>
        <w:rPr>
          <w:rFonts w:hint="eastAsia" w:ascii="Microsoft JhengHei" w:hAnsi="Microsoft JhengHei" w:eastAsia="Microsoft JhengHei" w:cs="Microsoft JhengHei"/>
          <w:snapToGrid w:val="0"/>
          <w:color w:val="000000"/>
          <w:kern w:val="0"/>
          <w:sz w:val="21"/>
          <w:szCs w:val="24"/>
          <w:lang w:val="en-US" w:eastAsia="en-US" w:bidi="ar-SA"/>
        </w:rPr>
      </w:sdtEndPr>
      <w:sdtContent>
        <w:p w14:paraId="22458419">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44E2E393">
          <w:pPr>
            <w:pStyle w:val="16"/>
            <w:tabs>
              <w:tab w:val="right" w:leader="dot" w:pos="8371"/>
            </w:tabs>
          </w:pPr>
          <w:r>
            <w:rPr>
              <w:rFonts w:hint="eastAsia" w:ascii="Microsoft JhengHei" w:hAnsi="Microsoft JhengHei" w:eastAsia="Microsoft JhengHei" w:cs="Microsoft JhengHei"/>
              <w:snapToGrid w:val="0"/>
              <w:color w:val="000000"/>
              <w:kern w:val="0"/>
              <w:sz w:val="24"/>
              <w:szCs w:val="24"/>
              <w:lang w:val="en-US" w:eastAsia="en-US" w:bidi="ar-SA"/>
            </w:rPr>
            <w:fldChar w:fldCharType="begin"/>
          </w:r>
          <w:r>
            <w:rPr>
              <w:rFonts w:hint="eastAsia" w:ascii="Microsoft JhengHei" w:hAnsi="Microsoft JhengHei" w:eastAsia="Microsoft JhengHei" w:cs="Microsoft JhengHei"/>
              <w:snapToGrid w:val="0"/>
              <w:color w:val="000000"/>
              <w:kern w:val="0"/>
              <w:sz w:val="24"/>
              <w:szCs w:val="24"/>
              <w:lang w:val="en-US" w:eastAsia="en-US" w:bidi="ar-SA"/>
            </w:rPr>
            <w:instrText xml:space="preserve">TOC \o "1-3" \h \u </w:instrText>
          </w:r>
          <w:r>
            <w:rPr>
              <w:rFonts w:hint="eastAsia" w:ascii="Microsoft JhengHei" w:hAnsi="Microsoft JhengHei" w:eastAsia="Microsoft JhengHei" w:cs="Microsoft JhengHei"/>
              <w:snapToGrid w:val="0"/>
              <w:color w:val="000000"/>
              <w:kern w:val="0"/>
              <w:sz w:val="24"/>
              <w:szCs w:val="24"/>
              <w:lang w:val="en-US" w:eastAsia="en-US" w:bidi="ar-SA"/>
            </w:rPr>
            <w:fldChar w:fldCharType="separate"/>
          </w: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_Toc17763 </w:instrText>
          </w:r>
          <w:r>
            <w:rPr>
              <w:rFonts w:hint="eastAsia" w:ascii="Microsoft JhengHei" w:hAnsi="Microsoft JhengHei" w:eastAsia="Microsoft JhengHei" w:cs="Microsoft JhengHei"/>
              <w:snapToGrid w:val="0"/>
              <w:kern w:val="0"/>
              <w:szCs w:val="24"/>
              <w:lang w:val="en-US" w:eastAsia="en-US" w:bidi="ar-SA"/>
            </w:rPr>
            <w:fldChar w:fldCharType="separate"/>
          </w:r>
          <w:r>
            <w:t>2025年度运维服务能力管理计划</w:t>
          </w:r>
          <w:r>
            <w:tab/>
          </w:r>
          <w:r>
            <w:fldChar w:fldCharType="begin"/>
          </w:r>
          <w:r>
            <w:instrText xml:space="preserve"> PAGEREF _Toc17763 \h </w:instrText>
          </w:r>
          <w:r>
            <w:fldChar w:fldCharType="separate"/>
          </w:r>
          <w:r>
            <w:t>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F4937FE">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_Toc21508 </w:instrText>
          </w:r>
          <w:r>
            <w:rPr>
              <w:rFonts w:hint="eastAsia" w:ascii="Microsoft JhengHei" w:hAnsi="Microsoft JhengHei" w:eastAsia="Microsoft JhengHei" w:cs="Microsoft JhengHei"/>
              <w:snapToGrid w:val="0"/>
              <w:kern w:val="0"/>
              <w:szCs w:val="24"/>
              <w:lang w:val="en-US" w:eastAsia="en-US" w:bidi="ar-SA"/>
            </w:rPr>
            <w:fldChar w:fldCharType="separate"/>
          </w:r>
          <w:r>
            <w:t>江苏云储智能科技有限公司</w:t>
          </w:r>
          <w:r>
            <w:tab/>
          </w:r>
          <w:r>
            <w:fldChar w:fldCharType="begin"/>
          </w:r>
          <w:r>
            <w:instrText xml:space="preserve"> PAGEREF _Toc21508 \h </w:instrText>
          </w:r>
          <w:r>
            <w:fldChar w:fldCharType="separate"/>
          </w:r>
          <w:r>
            <w:t>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76EE732">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_Toc16104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ascii="宋体" w:hAnsi="宋体" w:eastAsia="宋体" w:cs="宋体"/>
              <w:spacing w:val="-2"/>
              <w:szCs w:val="20"/>
            </w:rPr>
            <w:t>文档信息</w:t>
          </w:r>
          <w:r>
            <w:tab/>
          </w:r>
          <w:r>
            <w:fldChar w:fldCharType="begin"/>
          </w:r>
          <w:r>
            <w:instrText xml:space="preserve"> PAGEREF _Toc16104 \h </w:instrText>
          </w:r>
          <w:r>
            <w:fldChar w:fldCharType="separate"/>
          </w:r>
          <w:r>
            <w:t>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1663DA6">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_Toc16981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1. </w:t>
          </w:r>
          <w:r>
            <w:t>概要说明</w:t>
          </w:r>
          <w:r>
            <w:tab/>
          </w:r>
          <w:r>
            <w:fldChar w:fldCharType="begin"/>
          </w:r>
          <w:r>
            <w:instrText xml:space="preserve"> PAGEREF _Toc16981 \h </w:instrText>
          </w:r>
          <w:r>
            <w:fldChar w:fldCharType="separate"/>
          </w:r>
          <w:r>
            <w:t>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12B4EAC">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_Toc4722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2. </w:t>
          </w:r>
          <w:r>
            <w:t>年度目标</w:t>
          </w:r>
          <w:r>
            <w:tab/>
          </w:r>
          <w:r>
            <w:fldChar w:fldCharType="begin"/>
          </w:r>
          <w:r>
            <w:instrText xml:space="preserve"> PAGEREF _Toc4722 \h </w:instrText>
          </w:r>
          <w:r>
            <w:fldChar w:fldCharType="separate"/>
          </w:r>
          <w:r>
            <w:t>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17894D3">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_Toc24292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 </w:t>
          </w:r>
          <w:r>
            <w:t>人员方面</w:t>
          </w:r>
          <w:r>
            <w:tab/>
          </w:r>
          <w:r>
            <w:fldChar w:fldCharType="begin"/>
          </w:r>
          <w:r>
            <w:instrText xml:space="preserve"> PAGEREF _Toc24292 \h </w:instrText>
          </w:r>
          <w:r>
            <w:fldChar w:fldCharType="separate"/>
          </w:r>
          <w:r>
            <w:t>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4524398">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_Toc8034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3.1. </w:t>
          </w:r>
          <w:r>
            <w:t>现状分析</w:t>
          </w:r>
          <w:r>
            <w:tab/>
          </w:r>
          <w:r>
            <w:fldChar w:fldCharType="begin"/>
          </w:r>
          <w:r>
            <w:instrText xml:space="preserve"> PAGEREF _Toc8034 \h </w:instrText>
          </w:r>
          <w:r>
            <w:fldChar w:fldCharType="separate"/>
          </w:r>
          <w:r>
            <w:t>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745009F">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_Toc6106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3.2. </w:t>
          </w:r>
          <w:r>
            <w:rPr>
              <w:rFonts w:hint="eastAsia"/>
              <w:lang w:val="en-US" w:eastAsia="zh-CN"/>
            </w:rPr>
            <w:t>改进目标</w:t>
          </w:r>
          <w:r>
            <w:tab/>
          </w:r>
          <w:r>
            <w:fldChar w:fldCharType="begin"/>
          </w:r>
          <w:r>
            <w:instrText xml:space="preserve"> PAGEREF _Toc6106 \h </w:instrText>
          </w:r>
          <w:r>
            <w:fldChar w:fldCharType="separate"/>
          </w:r>
          <w:r>
            <w:t>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4222F1B">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_Toc15944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 </w:t>
          </w:r>
          <w:r>
            <w:rPr>
              <w:rFonts w:hint="eastAsia"/>
              <w:lang w:val="en-US" w:eastAsia="zh-CN"/>
            </w:rPr>
            <w:t>实施计划</w:t>
          </w:r>
          <w:r>
            <w:tab/>
          </w:r>
          <w:r>
            <w:fldChar w:fldCharType="begin"/>
          </w:r>
          <w:r>
            <w:instrText xml:space="preserve"> PAGEREF _Toc15944 \h </w:instrText>
          </w:r>
          <w:r>
            <w:fldChar w:fldCharType="separate"/>
          </w:r>
          <w:r>
            <w:t>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7A6C186">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_Toc8815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3.3.1. </w:t>
          </w:r>
          <w:r>
            <w:t>人员</w:t>
          </w:r>
          <w:r>
            <w:rPr>
              <w:rFonts w:hint="eastAsia"/>
              <w:lang w:val="en-US" w:eastAsia="zh-CN"/>
            </w:rPr>
            <w:t>招聘</w:t>
          </w:r>
          <w:r>
            <w:tab/>
          </w:r>
          <w:r>
            <w:fldChar w:fldCharType="begin"/>
          </w:r>
          <w:r>
            <w:instrText xml:space="preserve"> PAGEREF _Toc8815 \h </w:instrText>
          </w:r>
          <w:r>
            <w:fldChar w:fldCharType="separate"/>
          </w:r>
          <w:r>
            <w:t>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45901CB">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_Toc6872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3.3.2. </w:t>
          </w:r>
          <w:r>
            <w:rPr>
              <w:rFonts w:hint="eastAsia"/>
              <w:lang w:val="en-US" w:eastAsia="zh-CN"/>
            </w:rPr>
            <w:t>人员储备计划</w:t>
          </w:r>
          <w:r>
            <w:tab/>
          </w:r>
          <w:r>
            <w:fldChar w:fldCharType="begin"/>
          </w:r>
          <w:r>
            <w:instrText xml:space="preserve"> PAGEREF _Toc6872 \h </w:instrText>
          </w:r>
          <w:r>
            <w:fldChar w:fldCharType="separate"/>
          </w:r>
          <w:r>
            <w:t>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CBF57FF">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_Toc373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3.3.3. </w:t>
          </w:r>
          <w:r>
            <w:t>人员培训</w:t>
          </w:r>
          <w:r>
            <w:tab/>
          </w:r>
          <w:r>
            <w:fldChar w:fldCharType="begin"/>
          </w:r>
          <w:r>
            <w:instrText xml:space="preserve"> PAGEREF _Toc373 \h </w:instrText>
          </w:r>
          <w:r>
            <w:fldChar w:fldCharType="separate"/>
          </w:r>
          <w:r>
            <w:t>7</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A2AC1C7">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_Toc25281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3.3.4. </w:t>
          </w:r>
          <w:r>
            <w:rPr>
              <w:rFonts w:hint="eastAsia"/>
              <w:lang w:val="en-US" w:eastAsia="zh-CN"/>
            </w:rPr>
            <w:t>备份计划</w:t>
          </w:r>
          <w:r>
            <w:tab/>
          </w:r>
          <w:r>
            <w:fldChar w:fldCharType="begin"/>
          </w:r>
          <w:r>
            <w:instrText xml:space="preserve"> PAGEREF _Toc25281 \h </w:instrText>
          </w:r>
          <w:r>
            <w:fldChar w:fldCharType="separate"/>
          </w:r>
          <w:r>
            <w:t>8</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C6EB65D">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_Toc12641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3.3.5. </w:t>
          </w:r>
          <w:r>
            <w:t>绩效考核</w:t>
          </w:r>
          <w:r>
            <w:tab/>
          </w:r>
          <w:r>
            <w:fldChar w:fldCharType="begin"/>
          </w:r>
          <w:r>
            <w:instrText xml:space="preserve"> PAGEREF _Toc12641 \h </w:instrText>
          </w:r>
          <w:r>
            <w:fldChar w:fldCharType="separate"/>
          </w:r>
          <w:r>
            <w:t>8</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016FD48">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_Toc6180 </w:instrText>
          </w:r>
          <w:r>
            <w:rPr>
              <w:rFonts w:hint="eastAsia" w:ascii="Microsoft JhengHei" w:hAnsi="Microsoft JhengHei" w:eastAsia="Microsoft JhengHei" w:cs="Microsoft JhengHei"/>
              <w:snapToGrid w:val="0"/>
              <w:kern w:val="0"/>
              <w:szCs w:val="24"/>
              <w:lang w:val="en-US" w:eastAsia="en-US" w:bidi="ar-SA"/>
            </w:rPr>
            <w:fldChar w:fldCharType="separate"/>
          </w:r>
          <w:r>
            <w:rPr>
              <w:szCs w:val="24"/>
            </w:rPr>
            <w:t>3</w:t>
          </w:r>
          <w:r>
            <w:tab/>
          </w:r>
          <w:r>
            <w:fldChar w:fldCharType="begin"/>
          </w:r>
          <w:r>
            <w:instrText xml:space="preserve"> PAGEREF _Toc6180 \h </w:instrText>
          </w:r>
          <w:r>
            <w:fldChar w:fldCharType="separate"/>
          </w:r>
          <w:r>
            <w:t>9</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78E48E8">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_Toc11623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3.3.6. </w:t>
          </w:r>
          <w:r>
            <w:rPr>
              <w:rFonts w:hint="eastAsia"/>
              <w:lang w:val="en-US" w:eastAsia="zh-CN"/>
            </w:rPr>
            <w:t>技能评价</w:t>
          </w:r>
          <w:r>
            <w:tab/>
          </w:r>
          <w:r>
            <w:fldChar w:fldCharType="begin"/>
          </w:r>
          <w:r>
            <w:instrText xml:space="preserve"> PAGEREF _Toc11623 \h </w:instrText>
          </w:r>
          <w:r>
            <w:fldChar w:fldCharType="separate"/>
          </w:r>
          <w:r>
            <w:t>9</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A637F01">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_Toc3244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 </w:t>
          </w:r>
          <w:r>
            <w:t>资源方面</w:t>
          </w:r>
          <w:r>
            <w:tab/>
          </w:r>
          <w:r>
            <w:fldChar w:fldCharType="begin"/>
          </w:r>
          <w:r>
            <w:instrText xml:space="preserve"> PAGEREF _Toc3244 \h </w:instrText>
          </w:r>
          <w:r>
            <w:fldChar w:fldCharType="separate"/>
          </w:r>
          <w:r>
            <w:t>9</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6AB5F53">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_Toc24225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4.1. </w:t>
          </w:r>
          <w:r>
            <w:t>现状分析</w:t>
          </w:r>
          <w:r>
            <w:tab/>
          </w:r>
          <w:r>
            <w:fldChar w:fldCharType="begin"/>
          </w:r>
          <w:r>
            <w:instrText xml:space="preserve"> PAGEREF _Toc24225 \h </w:instrText>
          </w:r>
          <w:r>
            <w:fldChar w:fldCharType="separate"/>
          </w:r>
          <w:r>
            <w:t>9</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41E4C77">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_Toc29348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 </w:t>
          </w:r>
          <w:r>
            <w:rPr>
              <w:rFonts w:hint="eastAsia"/>
              <w:lang w:val="en-US" w:eastAsia="zh-CN"/>
            </w:rPr>
            <w:t>改进目标</w:t>
          </w:r>
          <w:r>
            <w:tab/>
          </w:r>
          <w:r>
            <w:fldChar w:fldCharType="begin"/>
          </w:r>
          <w:r>
            <w:instrText xml:space="preserve"> PAGEREF _Toc29348 \h </w:instrText>
          </w:r>
          <w:r>
            <w:fldChar w:fldCharType="separate"/>
          </w:r>
          <w:r>
            <w:t>9</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768B1EA">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_Toc19811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4.2.1. </w:t>
          </w:r>
          <w:r>
            <w:t>运维工具</w:t>
          </w:r>
          <w:r>
            <w:tab/>
          </w:r>
          <w:r>
            <w:fldChar w:fldCharType="begin"/>
          </w:r>
          <w:r>
            <w:instrText xml:space="preserve"> PAGEREF _Toc19811 \h </w:instrText>
          </w:r>
          <w:r>
            <w:fldChar w:fldCharType="separate"/>
          </w:r>
          <w:r>
            <w:t>9</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AA1EAE3">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_Toc7036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4.2.2. </w:t>
          </w:r>
          <w:r>
            <w:t>服务台建设</w:t>
          </w:r>
          <w:r>
            <w:tab/>
          </w:r>
          <w:r>
            <w:fldChar w:fldCharType="begin"/>
          </w:r>
          <w:r>
            <w:instrText xml:space="preserve"> PAGEREF _Toc7036 \h </w:instrText>
          </w:r>
          <w:r>
            <w:fldChar w:fldCharType="separate"/>
          </w:r>
          <w:r>
            <w:t>9</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BF13E45">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_Toc28193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4.2.3. </w:t>
          </w:r>
          <w:r>
            <w:t>备品备件</w:t>
          </w:r>
          <w:r>
            <w:tab/>
          </w:r>
          <w:r>
            <w:fldChar w:fldCharType="begin"/>
          </w:r>
          <w:r>
            <w:instrText xml:space="preserve"> PAGEREF _Toc28193 \h </w:instrText>
          </w:r>
          <w:r>
            <w:fldChar w:fldCharType="separate"/>
          </w:r>
          <w:r>
            <w:t>10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6A8923D">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_Toc30609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4.2.4. </w:t>
          </w:r>
          <w:r>
            <w:t>知识库</w:t>
          </w:r>
          <w:r>
            <w:tab/>
          </w:r>
          <w:r>
            <w:fldChar w:fldCharType="begin"/>
          </w:r>
          <w:r>
            <w:instrText xml:space="preserve"> PAGEREF _Toc30609 \h </w:instrText>
          </w:r>
          <w:r>
            <w:fldChar w:fldCharType="separate"/>
          </w:r>
          <w:r>
            <w:t>10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E24856A">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_Toc28309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4.2.5. </w:t>
          </w:r>
          <w:r>
            <w:rPr>
              <w:rFonts w:hint="eastAsia"/>
              <w:lang w:val="en-US" w:eastAsia="zh-CN"/>
            </w:rPr>
            <w:t>最终软件库</w:t>
          </w:r>
          <w:r>
            <w:tab/>
          </w:r>
          <w:r>
            <w:fldChar w:fldCharType="begin"/>
          </w:r>
          <w:r>
            <w:instrText xml:space="preserve"> PAGEREF _Toc28309 \h </w:instrText>
          </w:r>
          <w:r>
            <w:fldChar w:fldCharType="separate"/>
          </w:r>
          <w:r>
            <w:t>10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D829024">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_Toc18752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4.2.6. </w:t>
          </w:r>
          <w:r>
            <w:rPr>
              <w:rFonts w:hint="eastAsia"/>
              <w:lang w:val="en-US" w:eastAsia="zh-CN"/>
            </w:rPr>
            <w:t>服务数据</w:t>
          </w:r>
          <w:r>
            <w:tab/>
          </w:r>
          <w:r>
            <w:fldChar w:fldCharType="begin"/>
          </w:r>
          <w:r>
            <w:instrText xml:space="preserve"> PAGEREF _Toc18752 \h </w:instrText>
          </w:r>
          <w:r>
            <w:fldChar w:fldCharType="separate"/>
          </w:r>
          <w:r>
            <w:t>10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BF9B27A">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_Toc19718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4.3. </w:t>
          </w:r>
          <w:r>
            <w:rPr>
              <w:rFonts w:hint="eastAsia"/>
              <w:lang w:val="en-US" w:eastAsia="zh-CN"/>
            </w:rPr>
            <w:t>实施计划</w:t>
          </w:r>
          <w:r>
            <w:tab/>
          </w:r>
          <w:r>
            <w:fldChar w:fldCharType="begin"/>
          </w:r>
          <w:r>
            <w:instrText xml:space="preserve"> PAGEREF _Toc19718 \h </w:instrText>
          </w:r>
          <w:r>
            <w:fldChar w:fldCharType="separate"/>
          </w:r>
          <w:r>
            <w:t>10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2B04E46">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_Toc19852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5. </w:t>
          </w:r>
          <w:r>
            <w:t>技术方面</w:t>
          </w:r>
          <w:r>
            <w:tab/>
          </w:r>
          <w:r>
            <w:fldChar w:fldCharType="begin"/>
          </w:r>
          <w:r>
            <w:instrText xml:space="preserve"> PAGEREF _Toc19852 \h </w:instrText>
          </w:r>
          <w:r>
            <w:fldChar w:fldCharType="separate"/>
          </w:r>
          <w:r>
            <w:t>12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64BB38F">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_Toc4835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5.1. </w:t>
          </w:r>
          <w:r>
            <w:t>现状分析</w:t>
          </w:r>
          <w:r>
            <w:tab/>
          </w:r>
          <w:r>
            <w:fldChar w:fldCharType="begin"/>
          </w:r>
          <w:r>
            <w:instrText xml:space="preserve"> PAGEREF _Toc4835 \h </w:instrText>
          </w:r>
          <w:r>
            <w:fldChar w:fldCharType="separate"/>
          </w:r>
          <w:r>
            <w:t>12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CB65EF6">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_Toc28374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5.2. </w:t>
          </w:r>
          <w:r>
            <w:rPr>
              <w:rFonts w:hint="eastAsia"/>
              <w:lang w:val="en-US" w:eastAsia="zh-CN"/>
            </w:rPr>
            <w:t>改进目标</w:t>
          </w:r>
          <w:r>
            <w:tab/>
          </w:r>
          <w:r>
            <w:fldChar w:fldCharType="begin"/>
          </w:r>
          <w:r>
            <w:instrText xml:space="preserve"> PAGEREF _Toc28374 \h </w:instrText>
          </w:r>
          <w:r>
            <w:fldChar w:fldCharType="separate"/>
          </w:r>
          <w:r>
            <w:t>12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C44AC35">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_Toc5386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5.3. </w:t>
          </w:r>
          <w:r>
            <w:rPr>
              <w:rFonts w:hint="eastAsia"/>
              <w:lang w:val="en-US" w:eastAsia="zh-CN"/>
            </w:rPr>
            <w:t>实施计划</w:t>
          </w:r>
          <w:r>
            <w:tab/>
          </w:r>
          <w:r>
            <w:fldChar w:fldCharType="begin"/>
          </w:r>
          <w:r>
            <w:instrText xml:space="preserve"> PAGEREF _Toc5386 \h </w:instrText>
          </w:r>
          <w:r>
            <w:fldChar w:fldCharType="separate"/>
          </w:r>
          <w:r>
            <w:t>12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452C282">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_Toc31354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 </w:t>
          </w:r>
          <w:r>
            <w:t>过程体系方面</w:t>
          </w:r>
          <w:r>
            <w:tab/>
          </w:r>
          <w:r>
            <w:fldChar w:fldCharType="begin"/>
          </w:r>
          <w:r>
            <w:instrText xml:space="preserve"> PAGEREF _Toc31354 \h </w:instrText>
          </w:r>
          <w:r>
            <w:fldChar w:fldCharType="separate"/>
          </w:r>
          <w:r>
            <w:t>12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1EE96AA">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_Toc28531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6.1. </w:t>
          </w:r>
          <w:r>
            <w:t>现状分析</w:t>
          </w:r>
          <w:r>
            <w:tab/>
          </w:r>
          <w:r>
            <w:fldChar w:fldCharType="begin"/>
          </w:r>
          <w:r>
            <w:instrText xml:space="preserve"> PAGEREF _Toc28531 \h </w:instrText>
          </w:r>
          <w:r>
            <w:fldChar w:fldCharType="separate"/>
          </w:r>
          <w:r>
            <w:t>12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D180999">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_Toc22619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 </w:t>
          </w:r>
          <w:r>
            <w:t>改进目标</w:t>
          </w:r>
          <w:r>
            <w:tab/>
          </w:r>
          <w:r>
            <w:fldChar w:fldCharType="begin"/>
          </w:r>
          <w:r>
            <w:instrText xml:space="preserve"> PAGEREF _Toc22619 \h </w:instrText>
          </w:r>
          <w:r>
            <w:fldChar w:fldCharType="separate"/>
          </w:r>
          <w:r>
            <w:t>13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5DE7FCC">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_Toc24350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6.2.1. </w:t>
          </w:r>
          <w:r>
            <w:rPr>
              <w:rFonts w:hint="eastAsia"/>
              <w:lang w:val="en-US" w:eastAsia="zh-CN"/>
            </w:rPr>
            <w:t>过程框架设计</w:t>
          </w:r>
          <w:r>
            <w:tab/>
          </w:r>
          <w:r>
            <w:fldChar w:fldCharType="begin"/>
          </w:r>
          <w:r>
            <w:instrText xml:space="preserve"> PAGEREF _Toc24350 \h </w:instrText>
          </w:r>
          <w:r>
            <w:fldChar w:fldCharType="separate"/>
          </w:r>
          <w:r>
            <w:t>13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8AF464C">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_Toc31634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6.2.2. </w:t>
          </w:r>
          <w:r>
            <w:t>服务级别管理</w:t>
          </w:r>
          <w:r>
            <w:tab/>
          </w:r>
          <w:r>
            <w:fldChar w:fldCharType="begin"/>
          </w:r>
          <w:r>
            <w:instrText xml:space="preserve"> PAGEREF _Toc31634 \h </w:instrText>
          </w:r>
          <w:r>
            <w:fldChar w:fldCharType="separate"/>
          </w:r>
          <w:r>
            <w:t>13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C940E49">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_Toc29805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6.2.3. </w:t>
          </w:r>
          <w:r>
            <w:t>服务报告管理</w:t>
          </w:r>
          <w:r>
            <w:tab/>
          </w:r>
          <w:r>
            <w:fldChar w:fldCharType="begin"/>
          </w:r>
          <w:r>
            <w:instrText xml:space="preserve"> PAGEREF _Toc29805 \h </w:instrText>
          </w:r>
          <w:r>
            <w:fldChar w:fldCharType="separate"/>
          </w:r>
          <w:r>
            <w:t>13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1FA7706">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_Toc15845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6.2.4. </w:t>
          </w:r>
          <w:r>
            <w:t>事件管理</w:t>
          </w:r>
          <w:r>
            <w:tab/>
          </w:r>
          <w:r>
            <w:fldChar w:fldCharType="begin"/>
          </w:r>
          <w:r>
            <w:instrText xml:space="preserve"> PAGEREF _Toc15845 \h </w:instrText>
          </w:r>
          <w:r>
            <w:fldChar w:fldCharType="separate"/>
          </w:r>
          <w:r>
            <w:t>13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49D3502">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_Toc10579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6.2.5. </w:t>
          </w:r>
          <w:r>
            <w:t>问题管理</w:t>
          </w:r>
          <w:r>
            <w:tab/>
          </w:r>
          <w:r>
            <w:fldChar w:fldCharType="begin"/>
          </w:r>
          <w:r>
            <w:instrText xml:space="preserve"> PAGEREF _Toc10579 \h </w:instrText>
          </w:r>
          <w:r>
            <w:fldChar w:fldCharType="separate"/>
          </w:r>
          <w:r>
            <w:t>14</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AE2D161">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_Toc9140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6.2.6. </w:t>
          </w:r>
          <w:r>
            <w:t>变更管理</w:t>
          </w:r>
          <w:r>
            <w:tab/>
          </w:r>
          <w:r>
            <w:fldChar w:fldCharType="begin"/>
          </w:r>
          <w:r>
            <w:instrText xml:space="preserve"> PAGEREF _Toc9140 \h </w:instrText>
          </w:r>
          <w:r>
            <w:fldChar w:fldCharType="separate"/>
          </w:r>
          <w:r>
            <w:t>14</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08CA1A0">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_Toc514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6.2.7. </w:t>
          </w:r>
          <w:r>
            <w:t>发布</w:t>
          </w:r>
          <w:r>
            <w:rPr>
              <w:rFonts w:hint="eastAsia"/>
              <w:lang w:val="en-US" w:eastAsia="zh-CN"/>
            </w:rPr>
            <w:t>管理</w:t>
          </w:r>
          <w:r>
            <w:tab/>
          </w:r>
          <w:r>
            <w:fldChar w:fldCharType="begin"/>
          </w:r>
          <w:r>
            <w:instrText xml:space="preserve"> PAGEREF _Toc514 \h </w:instrText>
          </w:r>
          <w:r>
            <w:fldChar w:fldCharType="separate"/>
          </w:r>
          <w:r>
            <w:t>14</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CC86C90">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_Toc13429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6.2.8. </w:t>
          </w:r>
          <w:r>
            <w:rPr>
              <w:rFonts w:hint="eastAsia"/>
              <w:lang w:val="en-US" w:eastAsia="zh-CN"/>
            </w:rPr>
            <w:t>配置</w:t>
          </w:r>
          <w:r>
            <w:t>管理</w:t>
          </w:r>
          <w:r>
            <w:tab/>
          </w:r>
          <w:r>
            <w:fldChar w:fldCharType="begin"/>
          </w:r>
          <w:r>
            <w:instrText xml:space="preserve"> PAGEREF _Toc13429 \h </w:instrText>
          </w:r>
          <w:r>
            <w:fldChar w:fldCharType="separate"/>
          </w:r>
          <w:r>
            <w:t>14</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A1291FA">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_Toc21498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6.2.9. </w:t>
          </w:r>
          <w:r>
            <w:rPr>
              <w:rFonts w:hint="eastAsia"/>
              <w:lang w:val="en-US" w:eastAsia="zh-CN"/>
            </w:rPr>
            <w:t>服务可用性和连续性管理</w:t>
          </w:r>
          <w:r>
            <w:tab/>
          </w:r>
          <w:r>
            <w:fldChar w:fldCharType="begin"/>
          </w:r>
          <w:r>
            <w:instrText xml:space="preserve"> PAGEREF _Toc21498 \h </w:instrText>
          </w:r>
          <w:r>
            <w:fldChar w:fldCharType="separate"/>
          </w:r>
          <w:r>
            <w:t>15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DAB6AD1">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_Toc13309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6.2.10. </w:t>
          </w:r>
          <w:r>
            <w:rPr>
              <w:rFonts w:hint="eastAsia"/>
              <w:lang w:val="en-US" w:eastAsia="zh-CN"/>
            </w:rPr>
            <w:t>容量管理</w:t>
          </w:r>
          <w:r>
            <w:tab/>
          </w:r>
          <w:r>
            <w:fldChar w:fldCharType="begin"/>
          </w:r>
          <w:r>
            <w:instrText xml:space="preserve"> PAGEREF _Toc13309 \h </w:instrText>
          </w:r>
          <w:r>
            <w:fldChar w:fldCharType="separate"/>
          </w:r>
          <w:r>
            <w:t>15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2502876">
          <w:pPr>
            <w:pStyle w:val="13"/>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_Toc28333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6.2.11. </w:t>
          </w:r>
          <w:r>
            <w:t>信息安全管理</w:t>
          </w:r>
          <w:r>
            <w:tab/>
          </w:r>
          <w:r>
            <w:fldChar w:fldCharType="begin"/>
          </w:r>
          <w:r>
            <w:instrText xml:space="preserve"> PAGEREF _Toc28333 \h </w:instrText>
          </w:r>
          <w:r>
            <w:fldChar w:fldCharType="separate"/>
          </w:r>
          <w:r>
            <w:t>15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6AEA58D">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_Toc11047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6.3. </w:t>
          </w:r>
          <w:r>
            <w:t>实施计划</w:t>
          </w:r>
          <w:r>
            <w:tab/>
          </w:r>
          <w:r>
            <w:fldChar w:fldCharType="begin"/>
          </w:r>
          <w:r>
            <w:instrText xml:space="preserve"> PAGEREF _Toc11047 \h </w:instrText>
          </w:r>
          <w:r>
            <w:fldChar w:fldCharType="separate"/>
          </w:r>
          <w:r>
            <w:t>15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D64B908">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_Toc31242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7. </w:t>
          </w:r>
          <w:r>
            <w:t>交付管理</w:t>
          </w:r>
          <w:r>
            <w:tab/>
          </w:r>
          <w:r>
            <w:fldChar w:fldCharType="begin"/>
          </w:r>
          <w:r>
            <w:instrText xml:space="preserve"> PAGEREF _Toc31242 \h </w:instrText>
          </w:r>
          <w:r>
            <w:fldChar w:fldCharType="separate"/>
          </w:r>
          <w:r>
            <w:t>19</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AB70312">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_Toc25240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7.1. </w:t>
          </w:r>
          <w:r>
            <w:t>现状分析</w:t>
          </w:r>
          <w:r>
            <w:tab/>
          </w:r>
          <w:r>
            <w:fldChar w:fldCharType="begin"/>
          </w:r>
          <w:r>
            <w:instrText xml:space="preserve"> PAGEREF _Toc25240 \h </w:instrText>
          </w:r>
          <w:r>
            <w:fldChar w:fldCharType="separate"/>
          </w:r>
          <w:r>
            <w:t>19</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86E3F64">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_Toc17080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7.2. </w:t>
          </w:r>
          <w:r>
            <w:t>改进目标</w:t>
          </w:r>
          <w:r>
            <w:tab/>
          </w:r>
          <w:r>
            <w:fldChar w:fldCharType="begin"/>
          </w:r>
          <w:r>
            <w:instrText xml:space="preserve"> PAGEREF _Toc17080 \h </w:instrText>
          </w:r>
          <w:r>
            <w:fldChar w:fldCharType="separate"/>
          </w:r>
          <w:r>
            <w:t>20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89F07FB">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_Toc18604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7.3. </w:t>
          </w:r>
          <w:r>
            <w:t>实施计划</w:t>
          </w:r>
          <w:r>
            <w:tab/>
          </w:r>
          <w:r>
            <w:fldChar w:fldCharType="begin"/>
          </w:r>
          <w:r>
            <w:instrText xml:space="preserve"> PAGEREF _Toc18604 \h </w:instrText>
          </w:r>
          <w:r>
            <w:fldChar w:fldCharType="separate"/>
          </w:r>
          <w:r>
            <w:t>20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5E7C06B">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_Toc10435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8. </w:t>
          </w:r>
          <w:r>
            <w:t>应急响应</w:t>
          </w:r>
          <w:r>
            <w:tab/>
          </w:r>
          <w:r>
            <w:fldChar w:fldCharType="begin"/>
          </w:r>
          <w:r>
            <w:instrText xml:space="preserve"> PAGEREF _Toc10435 \h </w:instrText>
          </w:r>
          <w:r>
            <w:fldChar w:fldCharType="separate"/>
          </w:r>
          <w:r>
            <w:t>20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094B54F">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_Toc17367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8.1. </w:t>
          </w:r>
          <w:r>
            <w:t>现状分析</w:t>
          </w:r>
          <w:r>
            <w:tab/>
          </w:r>
          <w:r>
            <w:fldChar w:fldCharType="begin"/>
          </w:r>
          <w:r>
            <w:instrText xml:space="preserve"> PAGEREF _Toc17367 \h </w:instrText>
          </w:r>
          <w:r>
            <w:fldChar w:fldCharType="separate"/>
          </w:r>
          <w:r>
            <w:t>20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E3D3EC6">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_Toc19715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8.2. </w:t>
          </w:r>
          <w:r>
            <w:t>改进目标</w:t>
          </w:r>
          <w:r>
            <w:tab/>
          </w:r>
          <w:r>
            <w:fldChar w:fldCharType="begin"/>
          </w:r>
          <w:r>
            <w:instrText xml:space="preserve"> PAGEREF _Toc19715 \h </w:instrText>
          </w:r>
          <w:r>
            <w:fldChar w:fldCharType="separate"/>
          </w:r>
          <w:r>
            <w:t>21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A329676">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_Toc15610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8.3. </w:t>
          </w:r>
          <w:r>
            <w:t>实施计划</w:t>
          </w:r>
          <w:r>
            <w:tab/>
          </w:r>
          <w:r>
            <w:fldChar w:fldCharType="begin"/>
          </w:r>
          <w:r>
            <w:instrText xml:space="preserve"> PAGEREF _Toc15610 \h </w:instrText>
          </w:r>
          <w:r>
            <w:fldChar w:fldCharType="separate"/>
          </w:r>
          <w:r>
            <w:t>21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2B47A1D">
          <w:pPr>
            <w:pStyle w:val="16"/>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_Toc14993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9. </w:t>
          </w:r>
          <w:r>
            <w:t>质量管理</w:t>
          </w:r>
          <w:r>
            <w:tab/>
          </w:r>
          <w:r>
            <w:fldChar w:fldCharType="begin"/>
          </w:r>
          <w:r>
            <w:instrText xml:space="preserve"> PAGEREF _Toc14993 \h </w:instrText>
          </w:r>
          <w:r>
            <w:fldChar w:fldCharType="separate"/>
          </w:r>
          <w:r>
            <w:t>21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AABE745">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_Toc18818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9.1. </w:t>
          </w:r>
          <w:r>
            <w:t>现状分析</w:t>
          </w:r>
          <w:r>
            <w:tab/>
          </w:r>
          <w:r>
            <w:fldChar w:fldCharType="begin"/>
          </w:r>
          <w:r>
            <w:instrText xml:space="preserve"> PAGEREF _Toc18818 \h </w:instrText>
          </w:r>
          <w:r>
            <w:fldChar w:fldCharType="separate"/>
          </w:r>
          <w:r>
            <w:t>21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48D2054">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_Toc29953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9.2. </w:t>
          </w:r>
          <w:r>
            <w:t>改进目标</w:t>
          </w:r>
          <w:r>
            <w:tab/>
          </w:r>
          <w:r>
            <w:fldChar w:fldCharType="begin"/>
          </w:r>
          <w:r>
            <w:instrText xml:space="preserve"> PAGEREF _Toc29953 \h </w:instrText>
          </w:r>
          <w:r>
            <w:fldChar w:fldCharType="separate"/>
          </w:r>
          <w:r>
            <w:t>21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33A485C">
          <w:pPr>
            <w:pStyle w:val="17"/>
            <w:tabs>
              <w:tab w:val="right" w:leader="dot" w:pos="8371"/>
            </w:tabs>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_Toc23362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9.3. </w:t>
          </w:r>
          <w:r>
            <w:t>实施计划</w:t>
          </w:r>
          <w:r>
            <w:tab/>
          </w:r>
          <w:r>
            <w:fldChar w:fldCharType="begin"/>
          </w:r>
          <w:r>
            <w:instrText xml:space="preserve"> PAGEREF _Toc23362 \h </w:instrText>
          </w:r>
          <w:r>
            <w:fldChar w:fldCharType="separate"/>
          </w:r>
          <w:r>
            <w:t>21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59FC4ED">
          <w:pPr>
            <w:keepNext w:val="0"/>
            <w:keepLines w:val="0"/>
            <w:pageBreakBefore w:val="0"/>
            <w:widowControl w:val="0"/>
            <w:kinsoku w:val="0"/>
            <w:wordWrap/>
            <w:overflowPunct/>
            <w:topLinePunct w:val="0"/>
            <w:autoSpaceDE w:val="0"/>
            <w:autoSpaceDN w:val="0"/>
            <w:bidi w:val="0"/>
            <w:adjustRightInd w:val="0"/>
            <w:snapToGrid w:val="0"/>
            <w:spacing w:line="220" w:lineRule="auto"/>
            <w:rPr>
              <w:rFonts w:hint="eastAsia" w:ascii="Microsoft JhengHei" w:hAnsi="Microsoft JhengHei" w:eastAsia="Microsoft JhengHei" w:cs="Microsoft JhengHei"/>
              <w:snapToGrid w:val="0"/>
              <w:color w:val="000000"/>
              <w:kern w:val="0"/>
              <w:sz w:val="21"/>
              <w:szCs w:val="24"/>
              <w:lang w:val="en-US" w:eastAsia="en-US" w:bidi="ar-SA"/>
            </w:rPr>
          </w:pPr>
          <w:r>
            <w:rPr>
              <w:rFonts w:hint="eastAsia" w:ascii="Microsoft JhengHei" w:hAnsi="Microsoft JhengHei" w:eastAsia="Microsoft JhengHei" w:cs="Microsoft JhengHei"/>
              <w:snapToGrid w:val="0"/>
              <w:color w:val="000000"/>
              <w:kern w:val="0"/>
              <w:szCs w:val="24"/>
              <w:lang w:val="en-US" w:eastAsia="en-US" w:bidi="ar-SA"/>
            </w:rPr>
            <w:fldChar w:fldCharType="end"/>
          </w:r>
        </w:p>
      </w:sdtContent>
    </w:sdt>
    <w:p w14:paraId="71AB65F7">
      <w:pPr>
        <w:keepNext w:val="0"/>
        <w:keepLines w:val="0"/>
        <w:pageBreakBefore w:val="0"/>
        <w:widowControl w:val="0"/>
        <w:kinsoku w:val="0"/>
        <w:wordWrap/>
        <w:overflowPunct/>
        <w:topLinePunct w:val="0"/>
        <w:autoSpaceDE w:val="0"/>
        <w:autoSpaceDN w:val="0"/>
        <w:bidi w:val="0"/>
        <w:adjustRightInd w:val="0"/>
        <w:snapToGrid w:val="0"/>
        <w:spacing w:line="220" w:lineRule="auto"/>
        <w:rPr>
          <w:rFonts w:hint="eastAsia" w:ascii="Microsoft JhengHei" w:hAnsi="Microsoft JhengHei" w:eastAsia="Microsoft JhengHei" w:cs="Microsoft JhengHei"/>
          <w:snapToGrid w:val="0"/>
          <w:color w:val="000000"/>
          <w:kern w:val="0"/>
          <w:sz w:val="21"/>
          <w:szCs w:val="24"/>
          <w:lang w:val="en-US" w:eastAsia="en-US" w:bidi="ar-SA"/>
        </w:rPr>
      </w:pPr>
    </w:p>
    <w:p w14:paraId="01C01E40">
      <w:pPr>
        <w:keepNext w:val="0"/>
        <w:keepLines w:val="0"/>
        <w:pageBreakBefore w:val="0"/>
        <w:widowControl w:val="0"/>
        <w:tabs>
          <w:tab w:val="right" w:leader="dot" w:pos="8330"/>
        </w:tabs>
        <w:kinsoku w:val="0"/>
        <w:wordWrap/>
        <w:overflowPunct/>
        <w:topLinePunct w:val="0"/>
        <w:autoSpaceDE w:val="0"/>
        <w:autoSpaceDN w:val="0"/>
        <w:bidi w:val="0"/>
        <w:adjustRightInd w:val="0"/>
        <w:snapToGrid w:val="0"/>
        <w:spacing w:before="251" w:line="220" w:lineRule="auto"/>
        <w:ind w:left="276"/>
        <w:rPr>
          <w:rFonts w:ascii="Calibri" w:hAnsi="Calibri" w:eastAsia="Calibri" w:cs="Calibri"/>
          <w:sz w:val="20"/>
          <w:szCs w:val="20"/>
        </w:rPr>
      </w:pPr>
    </w:p>
    <w:p w14:paraId="10F91D20">
      <w:pPr>
        <w:keepNext w:val="0"/>
        <w:keepLines w:val="0"/>
        <w:pageBreakBefore w:val="0"/>
        <w:widowControl w:val="0"/>
        <w:kinsoku w:val="0"/>
        <w:wordWrap/>
        <w:overflowPunct/>
        <w:topLinePunct w:val="0"/>
        <w:autoSpaceDE w:val="0"/>
        <w:autoSpaceDN w:val="0"/>
        <w:bidi w:val="0"/>
        <w:adjustRightInd w:val="0"/>
        <w:snapToGrid w:val="0"/>
        <w:spacing w:line="220" w:lineRule="auto"/>
        <w:rPr>
          <w:rFonts w:ascii="Calibri" w:hAnsi="Calibri" w:eastAsia="Calibri" w:cs="Calibri"/>
          <w:sz w:val="20"/>
          <w:szCs w:val="20"/>
        </w:rPr>
        <w:sectPr>
          <w:footerReference r:id="rId6" w:type="default"/>
          <w:pgSz w:w="11906" w:h="16839"/>
          <w:pgMar w:top="1370" w:right="1767" w:bottom="1637" w:left="1768" w:header="0" w:footer="1385" w:gutter="0"/>
          <w:cols w:space="720" w:num="1"/>
        </w:sectPr>
      </w:pPr>
    </w:p>
    <w:p w14:paraId="15B5A20E">
      <w:pPr>
        <w:pStyle w:val="27"/>
        <w:keepNext w:val="0"/>
        <w:keepLines w:val="0"/>
        <w:pageBreakBefore w:val="0"/>
        <w:widowControl w:val="0"/>
        <w:kinsoku w:val="0"/>
        <w:wordWrap/>
        <w:overflowPunct/>
        <w:topLinePunct w:val="0"/>
        <w:autoSpaceDE w:val="0"/>
        <w:autoSpaceDN w:val="0"/>
        <w:bidi w:val="0"/>
        <w:adjustRightInd w:val="0"/>
        <w:snapToGrid w:val="0"/>
      </w:pPr>
      <w:bookmarkStart w:id="8" w:name="_Toc18839"/>
      <w:bookmarkStart w:id="9" w:name="_Toc10726"/>
      <w:bookmarkStart w:id="10" w:name="_Toc16981"/>
      <w:r>
        <w:t>概要说明</w:t>
      </w:r>
      <w:bookmarkEnd w:id="8"/>
      <w:bookmarkEnd w:id="9"/>
      <w:bookmarkEnd w:id="10"/>
    </w:p>
    <w:p w14:paraId="2A84AA1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hint="eastAsia" w:ascii="宋体" w:hAnsi="宋体" w:eastAsia="宋体" w:cs="宋体"/>
          <w:spacing w:val="-2"/>
          <w:sz w:val="24"/>
          <w:szCs w:val="24"/>
        </w:rPr>
        <w:t>2025</w:t>
      </w:r>
      <w:r>
        <w:rPr>
          <w:rFonts w:ascii="宋体" w:hAnsi="宋体" w:eastAsia="宋体" w:cs="宋体"/>
          <w:spacing w:val="-2"/>
          <w:sz w:val="24"/>
          <w:szCs w:val="24"/>
        </w:rPr>
        <w:t>年度运维服务管理能力计划用于指导公司管理和提高运维服务能力，在本年度内按照服务级别协议以及服务目录，实施运维服务管理与服务运营活动。实施服务管理计划的目的是达成公司既定的服务质量目标、规划并合理使用资源、保证业务连续性和运维服务连续性、不断改进服务过程。为客户提供稳定、安全、高效的运行维护服务。</w:t>
      </w:r>
    </w:p>
    <w:p w14:paraId="4D00437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本文档在公司相关管理要求和管理策略基础上，定义了能力管理计划。通过规划公司在运维服务方面的人力、资源、技术、过程、质量、交付</w:t>
      </w:r>
      <w:r>
        <w:rPr>
          <w:rFonts w:hint="eastAsia" w:ascii="宋体" w:hAnsi="宋体" w:eastAsia="宋体" w:cs="宋体"/>
          <w:spacing w:val="-2"/>
          <w:sz w:val="24"/>
          <w:szCs w:val="24"/>
          <w:lang w:val="en-US" w:eastAsia="zh-CN"/>
        </w:rPr>
        <w:t>和</w:t>
      </w:r>
      <w:r>
        <w:rPr>
          <w:rFonts w:ascii="宋体" w:hAnsi="宋体" w:eastAsia="宋体" w:cs="宋体"/>
          <w:spacing w:val="-2"/>
          <w:sz w:val="24"/>
          <w:szCs w:val="24"/>
        </w:rPr>
        <w:t>应急等方面的能力，并通过有计划的开展能力建设工作，促进公司业务的发展。</w:t>
      </w:r>
    </w:p>
    <w:p w14:paraId="636082AF">
      <w:pPr>
        <w:pStyle w:val="27"/>
        <w:keepNext w:val="0"/>
        <w:keepLines w:val="0"/>
        <w:pageBreakBefore w:val="0"/>
        <w:widowControl w:val="0"/>
        <w:kinsoku w:val="0"/>
        <w:wordWrap/>
        <w:overflowPunct/>
        <w:topLinePunct w:val="0"/>
        <w:autoSpaceDE w:val="0"/>
        <w:autoSpaceDN w:val="0"/>
        <w:bidi w:val="0"/>
        <w:adjustRightInd w:val="0"/>
        <w:snapToGrid w:val="0"/>
      </w:pPr>
      <w:bookmarkStart w:id="11" w:name="_Toc16113"/>
      <w:bookmarkStart w:id="12" w:name="_Toc23626"/>
      <w:bookmarkStart w:id="13" w:name="_Toc4722"/>
      <w:r>
        <w:t>年度目标</w:t>
      </w:r>
      <w:bookmarkEnd w:id="11"/>
      <w:bookmarkEnd w:id="12"/>
      <w:bookmarkEnd w:id="13"/>
    </w:p>
    <w:p w14:paraId="6DAEF93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在公司运维服务全体员工的不懈努力下，根据公司发展愿景及战略绩效目标，特制定2025年运维业务的经营目标如下：</w:t>
      </w:r>
    </w:p>
    <w:p w14:paraId="56DF314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运维业务收入超 1200 万。其中</w:t>
      </w:r>
    </w:p>
    <w:p w14:paraId="35D9A0D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hint="eastAsia" w:ascii="宋体" w:hAnsi="宋体" w:eastAsia="宋体" w:cs="宋体"/>
          <w:spacing w:val="-2"/>
          <w:sz w:val="24"/>
          <w:szCs w:val="24"/>
          <w:lang w:val="en-US" w:eastAsia="zh-CN"/>
        </w:rPr>
        <w:t>财务</w:t>
      </w:r>
      <w:r>
        <w:rPr>
          <w:rFonts w:ascii="宋体" w:hAnsi="宋体" w:eastAsia="宋体" w:cs="宋体"/>
          <w:spacing w:val="-2"/>
          <w:sz w:val="24"/>
          <w:szCs w:val="24"/>
        </w:rPr>
        <w:t>信息化运维 600 万；</w:t>
      </w:r>
    </w:p>
    <w:p w14:paraId="526880E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hint="eastAsia" w:ascii="宋体" w:hAnsi="宋体" w:eastAsia="宋体" w:cs="宋体"/>
          <w:spacing w:val="-2"/>
          <w:sz w:val="24"/>
          <w:szCs w:val="24"/>
          <w:lang w:val="en-US" w:eastAsia="zh-CN"/>
        </w:rPr>
        <w:t>通信</w:t>
      </w:r>
      <w:r>
        <w:rPr>
          <w:rFonts w:ascii="宋体" w:hAnsi="宋体" w:eastAsia="宋体" w:cs="宋体"/>
          <w:spacing w:val="-2"/>
          <w:sz w:val="24"/>
          <w:szCs w:val="24"/>
        </w:rPr>
        <w:t>信息化运维 300 万；</w:t>
      </w:r>
    </w:p>
    <w:p w14:paraId="4DEF15F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教育信息化运维 300 万；</w:t>
      </w:r>
    </w:p>
    <w:p w14:paraId="3990AF2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为完成该目标，需首先保证老客户的持续服务，维持老客户的 800 余万的收入，将能完成约 67%左右的任务指标，还需要拓展新的运维客户去完成剩余运维业务收入。其次，针对已经完成建设的客户，在维持良好客户关系的基础上，开拓运维服务收入来源，如开展维护服务项目，或扩大项目规模，增加老客户的收入额。</w:t>
      </w:r>
    </w:p>
    <w:p w14:paraId="3A14F98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为了将运维业务更加专业化，我公司的运维业务在市场上更有竞争力。公司决定于本周期度引入 GB/T28827.1-20</w:t>
      </w:r>
      <w:r>
        <w:rPr>
          <w:rFonts w:hint="eastAsia" w:ascii="宋体" w:hAnsi="宋体" w:eastAsia="宋体" w:cs="宋体"/>
          <w:spacing w:val="-2"/>
          <w:sz w:val="24"/>
          <w:szCs w:val="24"/>
          <w:lang w:val="en-US" w:eastAsia="zh-CN"/>
        </w:rPr>
        <w:t>2</w:t>
      </w:r>
      <w:r>
        <w:rPr>
          <w:rFonts w:ascii="宋体" w:hAnsi="宋体" w:eastAsia="宋体" w:cs="宋体"/>
          <w:spacing w:val="-2"/>
          <w:sz w:val="24"/>
          <w:szCs w:val="24"/>
        </w:rPr>
        <w:t xml:space="preserve">2《信息技术服务 运行维护 第 1 部分：通用要求》、GB/T28827.2-2012《信息技术服务运行维护第 2 部分：交付规范》、GB/T28827.3-2012《信息技术服务运行维护 第 3 部分：应急响应规范》及 </w:t>
      </w:r>
      <w:r>
        <w:rPr>
          <w:rFonts w:hint="eastAsia" w:ascii="宋体" w:hAnsi="宋体" w:eastAsia="宋体" w:cs="宋体"/>
          <w:spacing w:val="-2"/>
          <w:sz w:val="24"/>
          <w:szCs w:val="24"/>
        </w:rPr>
        <w:t>T/CESA 1299—2023</w:t>
      </w:r>
      <w:r>
        <w:rPr>
          <w:rFonts w:ascii="宋体" w:hAnsi="宋体" w:eastAsia="宋体" w:cs="宋体"/>
          <w:spacing w:val="-2"/>
          <w:sz w:val="24"/>
          <w:szCs w:val="24"/>
        </w:rPr>
        <w:t>《信息技术服务运行维护服务能力成熟度模型》，建立以提升运维服务力为导向的运维服务能力管理体系。公司根据 ITSS 体系的要求，结合业务发展需要，从人员管理、资源管理、技术管理、服务过程管理、交付管理、应急管理及质量管理等方面梳理、改进和完善原有的运维服务体系，形成了人力、过程、资源、技术、质量、交付</w:t>
      </w:r>
      <w:r>
        <w:rPr>
          <w:rFonts w:hint="eastAsia" w:ascii="宋体" w:hAnsi="宋体" w:eastAsia="宋体" w:cs="宋体"/>
          <w:spacing w:val="-2"/>
          <w:sz w:val="24"/>
          <w:szCs w:val="24"/>
          <w:lang w:val="en-US" w:eastAsia="zh-CN"/>
        </w:rPr>
        <w:t>和</w:t>
      </w:r>
      <w:r>
        <w:rPr>
          <w:rFonts w:ascii="宋体" w:hAnsi="宋体" w:eastAsia="宋体" w:cs="宋体"/>
          <w:spacing w:val="-2"/>
          <w:sz w:val="24"/>
          <w:szCs w:val="24"/>
        </w:rPr>
        <w:t>应急等方面相互结合、相互促进、协调一致的运维服务能力管理体系。</w:t>
      </w:r>
    </w:p>
    <w:p w14:paraId="0CC15F0B">
      <w:pPr>
        <w:pStyle w:val="27"/>
        <w:keepNext w:val="0"/>
        <w:keepLines w:val="0"/>
        <w:pageBreakBefore w:val="0"/>
        <w:widowControl w:val="0"/>
        <w:kinsoku w:val="0"/>
        <w:wordWrap/>
        <w:overflowPunct/>
        <w:topLinePunct w:val="0"/>
        <w:autoSpaceDE w:val="0"/>
        <w:autoSpaceDN w:val="0"/>
        <w:bidi w:val="0"/>
        <w:adjustRightInd w:val="0"/>
        <w:snapToGrid w:val="0"/>
      </w:pPr>
      <w:bookmarkStart w:id="14" w:name="_Toc24292"/>
      <w:bookmarkStart w:id="15" w:name="_Toc3935"/>
      <w:bookmarkStart w:id="16" w:name="_Toc10479"/>
      <w:r>
        <w:t>人员方面</w:t>
      </w:r>
      <w:bookmarkEnd w:id="14"/>
      <w:bookmarkEnd w:id="15"/>
      <w:bookmarkEnd w:id="16"/>
    </w:p>
    <w:p w14:paraId="5B722212">
      <w:pPr>
        <w:pStyle w:val="29"/>
        <w:keepNext w:val="0"/>
        <w:keepLines w:val="0"/>
        <w:pageBreakBefore w:val="0"/>
        <w:widowControl w:val="0"/>
        <w:kinsoku w:val="0"/>
        <w:wordWrap/>
        <w:overflowPunct/>
        <w:topLinePunct w:val="0"/>
        <w:autoSpaceDE w:val="0"/>
        <w:autoSpaceDN w:val="0"/>
        <w:bidi w:val="0"/>
        <w:adjustRightInd w:val="0"/>
        <w:snapToGrid w:val="0"/>
      </w:pPr>
      <w:bookmarkStart w:id="17" w:name="bookmark62"/>
      <w:bookmarkEnd w:id="17"/>
      <w:bookmarkStart w:id="18" w:name="_Toc14134"/>
      <w:bookmarkStart w:id="19" w:name="_Toc8034"/>
      <w:bookmarkStart w:id="20" w:name="_Toc3415"/>
      <w:r>
        <w:t>现状分析</w:t>
      </w:r>
      <w:bookmarkEnd w:id="18"/>
      <w:bookmarkEnd w:id="19"/>
      <w:bookmarkEnd w:id="20"/>
    </w:p>
    <w:p w14:paraId="519B3F2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结合公司202</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年度运维业务状况及工作运维工作计划，为了使人才结构和人才比例满足公司业务增长的要求。特制定2025年度人员储备计划并展开工作。</w:t>
      </w:r>
    </w:p>
    <w:p w14:paraId="5F14D8D8">
      <w:pPr>
        <w:pStyle w:val="29"/>
        <w:keepNext w:val="0"/>
        <w:keepLines w:val="0"/>
        <w:pageBreakBefore w:val="0"/>
        <w:widowControl w:val="0"/>
        <w:kinsoku w:val="0"/>
        <w:wordWrap/>
        <w:overflowPunct/>
        <w:topLinePunct w:val="0"/>
        <w:autoSpaceDE w:val="0"/>
        <w:autoSpaceDN w:val="0"/>
        <w:bidi w:val="0"/>
        <w:adjustRightInd w:val="0"/>
        <w:snapToGrid w:val="0"/>
      </w:pPr>
      <w:bookmarkStart w:id="21" w:name="_Toc6106"/>
      <w:r>
        <w:rPr>
          <w:rFonts w:hint="eastAsia"/>
          <w:lang w:val="en-US" w:eastAsia="zh-CN"/>
        </w:rPr>
        <w:t>改进目标</w:t>
      </w:r>
      <w:bookmarkEnd w:id="21"/>
    </w:p>
    <w:p w14:paraId="589721D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满足当前运维业务的需要，降低目前在岗人员的工作压力，保证服务的持续性。</w:t>
      </w:r>
    </w:p>
    <w:p w14:paraId="32818EB6">
      <w:pPr>
        <w:pStyle w:val="29"/>
        <w:keepNext w:val="0"/>
        <w:keepLines w:val="0"/>
        <w:pageBreakBefore w:val="0"/>
        <w:widowControl w:val="0"/>
        <w:kinsoku w:val="0"/>
        <w:wordWrap/>
        <w:overflowPunct/>
        <w:topLinePunct w:val="0"/>
        <w:autoSpaceDE w:val="0"/>
        <w:autoSpaceDN w:val="0"/>
        <w:bidi w:val="0"/>
        <w:adjustRightInd w:val="0"/>
        <w:snapToGrid w:val="0"/>
      </w:pPr>
      <w:bookmarkStart w:id="22" w:name="_Toc15944"/>
      <w:r>
        <w:rPr>
          <w:rFonts w:hint="eastAsia"/>
          <w:lang w:val="en-US" w:eastAsia="zh-CN"/>
        </w:rPr>
        <w:t>实施计划</w:t>
      </w:r>
      <w:bookmarkEnd w:id="22"/>
    </w:p>
    <w:p w14:paraId="5553396B">
      <w:pPr>
        <w:pStyle w:val="30"/>
        <w:keepNext w:val="0"/>
        <w:keepLines w:val="0"/>
        <w:pageBreakBefore w:val="0"/>
        <w:widowControl w:val="0"/>
        <w:kinsoku w:val="0"/>
        <w:wordWrap/>
        <w:overflowPunct/>
        <w:topLinePunct w:val="0"/>
        <w:autoSpaceDE w:val="0"/>
        <w:autoSpaceDN w:val="0"/>
        <w:bidi w:val="0"/>
        <w:adjustRightInd w:val="0"/>
        <w:snapToGrid w:val="0"/>
      </w:pPr>
      <w:bookmarkStart w:id="23" w:name="_Toc8815"/>
      <w:bookmarkStart w:id="24" w:name="_Toc11219"/>
      <w:bookmarkStart w:id="25" w:name="_Toc26732"/>
      <w:r>
        <w:t>人员</w:t>
      </w:r>
      <w:r>
        <w:rPr>
          <w:rFonts w:hint="eastAsia"/>
          <w:lang w:val="en-US" w:eastAsia="zh-CN"/>
        </w:rPr>
        <w:t>招聘</w:t>
      </w:r>
      <w:bookmarkEnd w:id="23"/>
      <w:bookmarkEnd w:id="24"/>
      <w:bookmarkEnd w:id="25"/>
    </w:p>
    <w:p w14:paraId="491B529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为满足企业发展对人才的需求，以202</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年度企业经营计划为依据，结合公司实际情况，为公司提供人力资源的支持。综合部会同各部门确定今年度招聘岗位及人数，针对待招聘的岗位进行招聘渠道、招聘方式的选择。</w:t>
      </w:r>
    </w:p>
    <w:p w14:paraId="14B85FE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依据对202</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年预估的公司业务目标，为提高客户满意度，运维部需要招聘</w:t>
      </w:r>
      <w:r>
        <w:rPr>
          <w:rFonts w:hint="eastAsia" w:ascii="宋体" w:hAnsi="宋体" w:eastAsia="宋体" w:cs="宋体"/>
          <w:spacing w:val="-2"/>
          <w:sz w:val="24"/>
          <w:szCs w:val="24"/>
          <w:lang w:val="en-US" w:eastAsia="zh-CN"/>
        </w:rPr>
        <w:t>9</w:t>
      </w:r>
      <w:r>
        <w:rPr>
          <w:rFonts w:ascii="宋体" w:hAnsi="宋体" w:eastAsia="宋体" w:cs="宋体"/>
          <w:spacing w:val="-2"/>
          <w:sz w:val="24"/>
          <w:szCs w:val="24"/>
        </w:rPr>
        <w:t>名新员工，包括运维实施工程师、数据库工程师、网络工程师等多个岗位，通过校园招聘、网络招聘、内部推荐的方式进行人才引进。</w:t>
      </w:r>
    </w:p>
    <w:p w14:paraId="5CEB13B1">
      <w:pPr>
        <w:keepNext w:val="0"/>
        <w:keepLines w:val="0"/>
        <w:pageBreakBefore w:val="0"/>
        <w:widowControl w:val="0"/>
        <w:kinsoku w:val="0"/>
        <w:wordWrap/>
        <w:overflowPunct/>
        <w:topLinePunct w:val="0"/>
        <w:autoSpaceDE w:val="0"/>
        <w:autoSpaceDN w:val="0"/>
        <w:bidi w:val="0"/>
        <w:adjustRightInd w:val="0"/>
        <w:snapToGrid w:val="0"/>
        <w:spacing w:before="1" w:line="377" w:lineRule="auto"/>
        <w:ind w:left="39" w:right="180" w:firstLine="600"/>
        <w:jc w:val="both"/>
        <w:rPr>
          <w:rFonts w:ascii="宋体" w:hAnsi="宋体" w:eastAsia="宋体" w:cs="宋体"/>
          <w:spacing w:val="-1"/>
          <w:sz w:val="24"/>
          <w:szCs w:val="24"/>
        </w:rPr>
      </w:pPr>
      <w:bookmarkStart w:id="26" w:name="_Toc9504"/>
      <w:bookmarkStart w:id="27" w:name="_Toc1260"/>
      <w:r>
        <w:rPr>
          <w:rFonts w:ascii="宋体" w:hAnsi="宋体" w:eastAsia="宋体" w:cs="宋体"/>
          <w:spacing w:val="-1"/>
          <w:sz w:val="24"/>
          <w:szCs w:val="24"/>
        </w:rPr>
        <w:t>具体招聘计划如下：</w:t>
      </w:r>
      <w:bookmarkEnd w:id="26"/>
      <w:bookmarkEnd w:id="27"/>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1092"/>
        <w:gridCol w:w="1524"/>
        <w:gridCol w:w="1944"/>
        <w:gridCol w:w="1308"/>
      </w:tblGrid>
      <w:tr w14:paraId="0F054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21" w:type="dxa"/>
            <w:gridSpan w:val="5"/>
          </w:tcPr>
          <w:p w14:paraId="5753452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bookmarkStart w:id="28" w:name="_Toc21729"/>
            <w:bookmarkStart w:id="29" w:name="_Toc3032"/>
            <w:r>
              <w:rPr>
                <w:rFonts w:hint="eastAsia" w:ascii="宋体" w:hAnsi="宋体" w:eastAsia="宋体" w:cs="宋体"/>
                <w:spacing w:val="-2"/>
                <w:sz w:val="21"/>
                <w:szCs w:val="21"/>
                <w:vertAlign w:val="baseline"/>
                <w:lang w:val="en-US" w:eastAsia="zh-CN"/>
              </w:rPr>
              <w:t>2025年人员招聘计划</w:t>
            </w:r>
          </w:p>
        </w:tc>
      </w:tr>
      <w:tr w14:paraId="0016C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53" w:type="dxa"/>
          </w:tcPr>
          <w:p w14:paraId="6EE9023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岗位名称</w:t>
            </w:r>
          </w:p>
        </w:tc>
        <w:tc>
          <w:tcPr>
            <w:tcW w:w="1092" w:type="dxa"/>
          </w:tcPr>
          <w:p w14:paraId="24EBCA1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招聘人数</w:t>
            </w:r>
          </w:p>
        </w:tc>
        <w:tc>
          <w:tcPr>
            <w:tcW w:w="1524" w:type="dxa"/>
          </w:tcPr>
          <w:p w14:paraId="4C68FCF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责任部门</w:t>
            </w:r>
          </w:p>
        </w:tc>
        <w:tc>
          <w:tcPr>
            <w:tcW w:w="1944" w:type="dxa"/>
          </w:tcPr>
          <w:p w14:paraId="3285AB7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预计到岗日期</w:t>
            </w:r>
          </w:p>
        </w:tc>
        <w:tc>
          <w:tcPr>
            <w:tcW w:w="1308" w:type="dxa"/>
          </w:tcPr>
          <w:p w14:paraId="443EC29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招聘方式</w:t>
            </w:r>
          </w:p>
        </w:tc>
      </w:tr>
      <w:tr w14:paraId="62E2F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753" w:type="dxa"/>
            <w:shd w:val="clear" w:color="auto" w:fill="auto"/>
          </w:tcPr>
          <w:p w14:paraId="0B088DC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0FB6621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0CF39D5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综合部</w:t>
            </w:r>
          </w:p>
        </w:tc>
        <w:tc>
          <w:tcPr>
            <w:tcW w:w="1944" w:type="dxa"/>
            <w:shd w:val="clear" w:color="auto" w:fill="auto"/>
          </w:tcPr>
          <w:p w14:paraId="605E070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z w:val="21"/>
                <w:szCs w:val="21"/>
                <w:lang w:val="en-US" w:eastAsia="zh-CN"/>
              </w:rPr>
            </w:pPr>
            <w:r>
              <w:rPr>
                <w:rFonts w:hint="eastAsia" w:ascii="宋体" w:hAnsi="宋体" w:eastAsia="宋体" w:cs="宋体"/>
                <w:spacing w:val="-2"/>
                <w:sz w:val="21"/>
                <w:szCs w:val="21"/>
                <w:vertAlign w:val="baseline"/>
                <w:lang w:val="en-US" w:eastAsia="zh-CN"/>
              </w:rPr>
              <w:t>2025年2月</w:t>
            </w:r>
          </w:p>
        </w:tc>
        <w:tc>
          <w:tcPr>
            <w:tcW w:w="1308" w:type="dxa"/>
          </w:tcPr>
          <w:p w14:paraId="33C7992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5794E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tcPr>
          <w:p w14:paraId="724F969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数据库工程师</w:t>
            </w:r>
          </w:p>
        </w:tc>
        <w:tc>
          <w:tcPr>
            <w:tcW w:w="1092" w:type="dxa"/>
          </w:tcPr>
          <w:p w14:paraId="34BC9ED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tcPr>
          <w:p w14:paraId="6E51A22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综合部</w:t>
            </w:r>
          </w:p>
        </w:tc>
        <w:tc>
          <w:tcPr>
            <w:tcW w:w="1944" w:type="dxa"/>
          </w:tcPr>
          <w:p w14:paraId="7A925A2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2025年3月</w:t>
            </w:r>
          </w:p>
        </w:tc>
        <w:tc>
          <w:tcPr>
            <w:tcW w:w="1308" w:type="dxa"/>
          </w:tcPr>
          <w:p w14:paraId="1809AF2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648EF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tcPr>
          <w:p w14:paraId="1D92A0C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运维实施工程师</w:t>
            </w:r>
          </w:p>
        </w:tc>
        <w:tc>
          <w:tcPr>
            <w:tcW w:w="1092" w:type="dxa"/>
          </w:tcPr>
          <w:p w14:paraId="18D5D85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1C014FA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综合部</w:t>
            </w:r>
          </w:p>
        </w:tc>
        <w:tc>
          <w:tcPr>
            <w:tcW w:w="1944" w:type="dxa"/>
          </w:tcPr>
          <w:p w14:paraId="6A7C3B5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2025年4月</w:t>
            </w:r>
          </w:p>
        </w:tc>
        <w:tc>
          <w:tcPr>
            <w:tcW w:w="1308" w:type="dxa"/>
          </w:tcPr>
          <w:p w14:paraId="62BDE84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4A438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shd w:val="clear" w:color="auto" w:fill="auto"/>
          </w:tcPr>
          <w:p w14:paraId="62E8741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default"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软件工程师</w:t>
            </w:r>
          </w:p>
        </w:tc>
        <w:tc>
          <w:tcPr>
            <w:tcW w:w="1092" w:type="dxa"/>
            <w:shd w:val="clear" w:color="auto" w:fill="auto"/>
          </w:tcPr>
          <w:p w14:paraId="56DD56A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default"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7E6D3A2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综合部</w:t>
            </w:r>
          </w:p>
        </w:tc>
        <w:tc>
          <w:tcPr>
            <w:tcW w:w="1944" w:type="dxa"/>
            <w:shd w:val="clear" w:color="auto" w:fill="auto"/>
          </w:tcPr>
          <w:p w14:paraId="6FD599B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2025年5月</w:t>
            </w:r>
          </w:p>
        </w:tc>
        <w:tc>
          <w:tcPr>
            <w:tcW w:w="1308" w:type="dxa"/>
            <w:shd w:val="clear" w:color="auto" w:fill="auto"/>
          </w:tcPr>
          <w:p w14:paraId="5D13951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1EFD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shd w:val="clear" w:color="auto" w:fill="auto"/>
          </w:tcPr>
          <w:p w14:paraId="277090B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5282C7F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w:t>
            </w:r>
          </w:p>
        </w:tc>
        <w:tc>
          <w:tcPr>
            <w:tcW w:w="1524" w:type="dxa"/>
            <w:shd w:val="clear" w:color="auto" w:fill="auto"/>
          </w:tcPr>
          <w:p w14:paraId="1F5C31B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综合部</w:t>
            </w:r>
          </w:p>
        </w:tc>
        <w:tc>
          <w:tcPr>
            <w:tcW w:w="1944" w:type="dxa"/>
            <w:shd w:val="clear" w:color="auto" w:fill="auto"/>
          </w:tcPr>
          <w:p w14:paraId="22A1BEA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2025年6月</w:t>
            </w:r>
          </w:p>
        </w:tc>
        <w:tc>
          <w:tcPr>
            <w:tcW w:w="1308" w:type="dxa"/>
            <w:shd w:val="clear" w:color="auto" w:fill="auto"/>
          </w:tcPr>
          <w:p w14:paraId="5F26EFF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外聘</w:t>
            </w:r>
          </w:p>
        </w:tc>
      </w:tr>
      <w:tr w14:paraId="596E1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shd w:val="clear" w:color="auto" w:fill="auto"/>
          </w:tcPr>
          <w:p w14:paraId="6E9F0E2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0A2DD52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334E576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综合部</w:t>
            </w:r>
          </w:p>
        </w:tc>
        <w:tc>
          <w:tcPr>
            <w:tcW w:w="1944" w:type="dxa"/>
            <w:shd w:val="clear" w:color="auto" w:fill="auto"/>
          </w:tcPr>
          <w:p w14:paraId="5671FF7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2025年7月</w:t>
            </w:r>
          </w:p>
        </w:tc>
        <w:tc>
          <w:tcPr>
            <w:tcW w:w="1308" w:type="dxa"/>
            <w:shd w:val="clear" w:color="auto" w:fill="auto"/>
          </w:tcPr>
          <w:p w14:paraId="3303577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38C5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shd w:val="clear" w:color="auto" w:fill="auto"/>
          </w:tcPr>
          <w:p w14:paraId="3361176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6C9494C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shd w:val="clear" w:color="auto" w:fill="auto"/>
            <w:vAlign w:val="center"/>
          </w:tcPr>
          <w:p w14:paraId="61CEBE9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综合部</w:t>
            </w:r>
          </w:p>
        </w:tc>
        <w:tc>
          <w:tcPr>
            <w:tcW w:w="1944" w:type="dxa"/>
            <w:vMerge w:val="restart"/>
            <w:shd w:val="clear" w:color="auto" w:fill="auto"/>
            <w:vAlign w:val="center"/>
          </w:tcPr>
          <w:p w14:paraId="00A562C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2025年10月</w:t>
            </w:r>
          </w:p>
        </w:tc>
        <w:tc>
          <w:tcPr>
            <w:tcW w:w="1308" w:type="dxa"/>
            <w:shd w:val="clear" w:color="auto" w:fill="auto"/>
          </w:tcPr>
          <w:p w14:paraId="1552932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736CA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shd w:val="clear" w:color="auto" w:fill="auto"/>
          </w:tcPr>
          <w:p w14:paraId="5FB6F40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网络工程师</w:t>
            </w:r>
          </w:p>
        </w:tc>
        <w:tc>
          <w:tcPr>
            <w:tcW w:w="1092" w:type="dxa"/>
            <w:shd w:val="clear" w:color="auto" w:fill="auto"/>
          </w:tcPr>
          <w:p w14:paraId="07A9F7E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shd w:val="clear" w:color="auto" w:fill="auto"/>
            <w:vAlign w:val="center"/>
          </w:tcPr>
          <w:p w14:paraId="6B3CCEC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综合部</w:t>
            </w:r>
          </w:p>
        </w:tc>
        <w:tc>
          <w:tcPr>
            <w:tcW w:w="1944" w:type="dxa"/>
            <w:vMerge w:val="continue"/>
            <w:shd w:val="clear" w:color="auto" w:fill="auto"/>
            <w:vAlign w:val="center"/>
          </w:tcPr>
          <w:p w14:paraId="29DB5C9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p>
        </w:tc>
        <w:tc>
          <w:tcPr>
            <w:tcW w:w="1308" w:type="dxa"/>
            <w:shd w:val="clear" w:color="auto" w:fill="auto"/>
          </w:tcPr>
          <w:p w14:paraId="33758CA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bl>
    <w:p w14:paraId="4EA3CC08">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30" w:name="_Toc6872"/>
      <w:r>
        <w:rPr>
          <w:rFonts w:hint="eastAsia"/>
          <w:lang w:val="en-US" w:eastAsia="zh-CN"/>
        </w:rPr>
        <w:t>人员储备计划</w:t>
      </w:r>
      <w:bookmarkEnd w:id="30"/>
    </w:p>
    <w:p w14:paraId="72EB64E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为了使人才结构和人才比例满足公司业务增长的要求。特制定2025年度人员内部储备计划，并开展相关工作。</w:t>
      </w:r>
    </w:p>
    <w:p w14:paraId="4AABFC3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综合部与汇同各部门进行关键岗位的识别，确定运维部经理、运维项目经理等为关键岗位。依据公司的业务发展和人才情况进行分析，确定出储备的人数。</w:t>
      </w:r>
    </w:p>
    <w:p w14:paraId="54747A0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lang w:val="en-US" w:eastAsia="zh-CN"/>
        </w:rPr>
      </w:pPr>
      <w:r>
        <w:rPr>
          <w:rFonts w:ascii="宋体" w:hAnsi="宋体" w:eastAsia="宋体" w:cs="宋体"/>
          <w:spacing w:val="-2"/>
          <w:sz w:val="24"/>
          <w:szCs w:val="24"/>
        </w:rPr>
        <w:t>依据储备方式为该岗位的低一级的岗位确定储备对象的岗位，并对储备人员进行培养、培训以及考核和考评。</w:t>
      </w:r>
    </w:p>
    <w:p w14:paraId="0E567E32">
      <w:pPr>
        <w:keepNext w:val="0"/>
        <w:keepLines w:val="0"/>
        <w:pageBreakBefore w:val="0"/>
        <w:widowControl w:val="0"/>
        <w:kinsoku w:val="0"/>
        <w:wordWrap/>
        <w:overflowPunct/>
        <w:topLinePunct w:val="0"/>
        <w:autoSpaceDE w:val="0"/>
        <w:autoSpaceDN w:val="0"/>
        <w:bidi w:val="0"/>
        <w:adjustRightInd w:val="0"/>
        <w:snapToGrid w:val="0"/>
        <w:spacing w:before="1" w:line="377" w:lineRule="auto"/>
        <w:ind w:left="39" w:right="180" w:firstLine="600"/>
        <w:jc w:val="both"/>
        <w:rPr>
          <w:rFonts w:ascii="宋体" w:hAnsi="宋体" w:eastAsia="宋体" w:cs="宋体"/>
          <w:spacing w:val="-2"/>
          <w:sz w:val="24"/>
          <w:szCs w:val="24"/>
        </w:rPr>
      </w:pPr>
      <w:r>
        <w:rPr>
          <w:rFonts w:hint="eastAsia" w:ascii="宋体" w:hAnsi="宋体" w:eastAsia="宋体" w:cs="宋体"/>
          <w:spacing w:val="-2"/>
          <w:sz w:val="24"/>
          <w:szCs w:val="24"/>
          <w:lang w:val="en-US" w:eastAsia="zh-CN"/>
        </w:rPr>
        <w:t>内部储备计划如下:</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0"/>
        <w:gridCol w:w="1150"/>
        <w:gridCol w:w="1533"/>
        <w:gridCol w:w="1960"/>
        <w:gridCol w:w="1293"/>
      </w:tblGrid>
      <w:tr w14:paraId="4271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26" w:type="dxa"/>
            <w:gridSpan w:val="5"/>
          </w:tcPr>
          <w:p w14:paraId="18706ED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4"/>
                <w:szCs w:val="24"/>
                <w:vertAlign w:val="baseline"/>
                <w:lang w:val="en-US" w:eastAsia="zh-CN"/>
              </w:rPr>
            </w:pPr>
            <w:r>
              <w:rPr>
                <w:rFonts w:hint="eastAsia" w:eastAsia="宋体"/>
                <w:spacing w:val="-2"/>
                <w:sz w:val="24"/>
                <w:szCs w:val="24"/>
                <w:vertAlign w:val="baseline"/>
                <w:lang w:val="en-US" w:eastAsia="zh-CN"/>
              </w:rPr>
              <w:t>2025年人员储备计划</w:t>
            </w:r>
          </w:p>
        </w:tc>
      </w:tr>
      <w:tr w14:paraId="0D792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3D7ECB3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岗位名称</w:t>
            </w:r>
          </w:p>
        </w:tc>
        <w:tc>
          <w:tcPr>
            <w:tcW w:w="1150" w:type="dxa"/>
            <w:vAlign w:val="center"/>
          </w:tcPr>
          <w:p w14:paraId="5BC88D5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储备人数</w:t>
            </w:r>
          </w:p>
        </w:tc>
        <w:tc>
          <w:tcPr>
            <w:tcW w:w="1533" w:type="dxa"/>
            <w:vAlign w:val="center"/>
          </w:tcPr>
          <w:p w14:paraId="49565F8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责任部门</w:t>
            </w:r>
          </w:p>
        </w:tc>
        <w:tc>
          <w:tcPr>
            <w:tcW w:w="1960" w:type="dxa"/>
            <w:vAlign w:val="center"/>
          </w:tcPr>
          <w:p w14:paraId="0879530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预计到岗日期</w:t>
            </w:r>
          </w:p>
        </w:tc>
        <w:tc>
          <w:tcPr>
            <w:tcW w:w="1293" w:type="dxa"/>
            <w:vAlign w:val="center"/>
          </w:tcPr>
          <w:p w14:paraId="4C246AC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储备方式</w:t>
            </w:r>
          </w:p>
        </w:tc>
      </w:tr>
      <w:tr w14:paraId="36C6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jc w:val="center"/>
        </w:trPr>
        <w:tc>
          <w:tcPr>
            <w:tcW w:w="1690" w:type="dxa"/>
            <w:vAlign w:val="center"/>
          </w:tcPr>
          <w:p w14:paraId="0DBC915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运维项目经理</w:t>
            </w:r>
          </w:p>
        </w:tc>
        <w:tc>
          <w:tcPr>
            <w:tcW w:w="1150" w:type="dxa"/>
            <w:vAlign w:val="center"/>
          </w:tcPr>
          <w:p w14:paraId="501242B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1</w:t>
            </w:r>
          </w:p>
        </w:tc>
        <w:tc>
          <w:tcPr>
            <w:tcW w:w="1533" w:type="dxa"/>
            <w:vAlign w:val="center"/>
          </w:tcPr>
          <w:p w14:paraId="2C2ED6A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综合部</w:t>
            </w:r>
          </w:p>
        </w:tc>
        <w:tc>
          <w:tcPr>
            <w:tcW w:w="1960" w:type="dxa"/>
            <w:vAlign w:val="center"/>
          </w:tcPr>
          <w:p w14:paraId="5E98D92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2025年3月</w:t>
            </w:r>
          </w:p>
        </w:tc>
        <w:tc>
          <w:tcPr>
            <w:tcW w:w="1293" w:type="dxa"/>
            <w:vAlign w:val="center"/>
          </w:tcPr>
          <w:p w14:paraId="64A1F7F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内部培养</w:t>
            </w:r>
          </w:p>
        </w:tc>
      </w:tr>
      <w:tr w14:paraId="138C5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6FF8861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运维项目经理</w:t>
            </w:r>
          </w:p>
        </w:tc>
        <w:tc>
          <w:tcPr>
            <w:tcW w:w="1150" w:type="dxa"/>
            <w:vAlign w:val="center"/>
          </w:tcPr>
          <w:p w14:paraId="36B5FBE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1</w:t>
            </w:r>
          </w:p>
        </w:tc>
        <w:tc>
          <w:tcPr>
            <w:tcW w:w="1533" w:type="dxa"/>
            <w:shd w:val="clear" w:color="auto" w:fill="auto"/>
            <w:vAlign w:val="center"/>
          </w:tcPr>
          <w:p w14:paraId="3D3C624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Arial" w:hAnsi="Arial" w:eastAsia="宋体" w:cs="Arial"/>
                <w:snapToGrid w:val="0"/>
                <w:color w:val="000000"/>
                <w:spacing w:val="-2"/>
                <w:kern w:val="0"/>
                <w:sz w:val="21"/>
                <w:szCs w:val="21"/>
                <w:vertAlign w:val="baseline"/>
                <w:lang w:val="en-US" w:eastAsia="zh-CN" w:bidi="ar-SA"/>
              </w:rPr>
            </w:pPr>
            <w:r>
              <w:rPr>
                <w:rFonts w:hint="eastAsia" w:eastAsia="宋体"/>
                <w:spacing w:val="-2"/>
                <w:sz w:val="21"/>
                <w:szCs w:val="21"/>
                <w:vertAlign w:val="baseline"/>
                <w:lang w:val="en-US" w:eastAsia="zh-CN"/>
              </w:rPr>
              <w:t>综合部</w:t>
            </w:r>
          </w:p>
        </w:tc>
        <w:tc>
          <w:tcPr>
            <w:tcW w:w="1960" w:type="dxa"/>
            <w:vAlign w:val="center"/>
          </w:tcPr>
          <w:p w14:paraId="6DFF188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2025年5月</w:t>
            </w:r>
          </w:p>
        </w:tc>
        <w:tc>
          <w:tcPr>
            <w:tcW w:w="1293" w:type="dxa"/>
            <w:vAlign w:val="center"/>
          </w:tcPr>
          <w:p w14:paraId="6021F94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内部培养</w:t>
            </w:r>
          </w:p>
        </w:tc>
      </w:tr>
      <w:tr w14:paraId="6D6DA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Align w:val="center"/>
          </w:tcPr>
          <w:p w14:paraId="7EB05F8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运维部经理</w:t>
            </w:r>
          </w:p>
        </w:tc>
        <w:tc>
          <w:tcPr>
            <w:tcW w:w="1150" w:type="dxa"/>
            <w:vAlign w:val="center"/>
          </w:tcPr>
          <w:p w14:paraId="3B8FBF2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1</w:t>
            </w:r>
          </w:p>
        </w:tc>
        <w:tc>
          <w:tcPr>
            <w:tcW w:w="1533" w:type="dxa"/>
            <w:vAlign w:val="center"/>
          </w:tcPr>
          <w:p w14:paraId="0637522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综合部</w:t>
            </w:r>
          </w:p>
        </w:tc>
        <w:tc>
          <w:tcPr>
            <w:tcW w:w="1960" w:type="dxa"/>
            <w:vAlign w:val="center"/>
          </w:tcPr>
          <w:p w14:paraId="710E001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2025年7月</w:t>
            </w:r>
          </w:p>
        </w:tc>
        <w:tc>
          <w:tcPr>
            <w:tcW w:w="1293" w:type="dxa"/>
            <w:vAlign w:val="center"/>
          </w:tcPr>
          <w:p w14:paraId="198B756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内部培养</w:t>
            </w:r>
          </w:p>
        </w:tc>
      </w:tr>
    </w:tbl>
    <w:p w14:paraId="6235C119">
      <w:pPr>
        <w:keepNext w:val="0"/>
        <w:keepLines w:val="0"/>
        <w:pageBreakBefore w:val="0"/>
        <w:widowControl w:val="0"/>
        <w:kinsoku w:val="0"/>
        <w:wordWrap/>
        <w:overflowPunct/>
        <w:topLinePunct w:val="0"/>
        <w:autoSpaceDE w:val="0"/>
        <w:autoSpaceDN w:val="0"/>
        <w:bidi w:val="0"/>
        <w:adjustRightInd w:val="0"/>
        <w:snapToGrid w:val="0"/>
      </w:pPr>
    </w:p>
    <w:p w14:paraId="27251ECC">
      <w:pPr>
        <w:pStyle w:val="30"/>
        <w:keepNext w:val="0"/>
        <w:keepLines w:val="0"/>
        <w:pageBreakBefore w:val="0"/>
        <w:widowControl w:val="0"/>
        <w:kinsoku w:val="0"/>
        <w:wordWrap/>
        <w:overflowPunct/>
        <w:topLinePunct w:val="0"/>
        <w:autoSpaceDE w:val="0"/>
        <w:autoSpaceDN w:val="0"/>
        <w:bidi w:val="0"/>
        <w:adjustRightInd w:val="0"/>
        <w:snapToGrid w:val="0"/>
      </w:pPr>
      <w:bookmarkStart w:id="31" w:name="_Toc373"/>
      <w:r>
        <w:t>人员培训</w:t>
      </w:r>
      <w:bookmarkEnd w:id="28"/>
      <w:bookmarkEnd w:id="29"/>
      <w:bookmarkEnd w:id="31"/>
    </w:p>
    <w:p w14:paraId="0A41A53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bookmarkStart w:id="32" w:name="bookmark63"/>
      <w:bookmarkEnd w:id="32"/>
      <w:r>
        <w:rPr>
          <w:rFonts w:ascii="宋体" w:hAnsi="宋体" w:eastAsia="宋体" w:cs="宋体"/>
          <w:spacing w:val="-2"/>
          <w:sz w:val="24"/>
          <w:szCs w:val="24"/>
        </w:rPr>
        <w:t>为改善公司各级各类员工的知识结构，提升员工的综合素质，提高员工的工作技能和工作态度，满足公司的快速发展需要，更好的完成公司的各项工作计划与目标。综合部根据各部门的培训计划，对计划进行汇总，分类，明确参训对象、培训时间、培训方式，匹配上合适的讲师与培训课程，有效的组织培训。</w:t>
      </w:r>
    </w:p>
    <w:p w14:paraId="583DA99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z w:val="24"/>
          <w:szCs w:val="24"/>
        </w:rPr>
      </w:pPr>
      <w:r>
        <w:rPr>
          <w:rFonts w:ascii="宋体" w:hAnsi="宋体" w:eastAsia="宋体" w:cs="宋体"/>
          <w:spacing w:val="-2"/>
          <w:sz w:val="24"/>
          <w:szCs w:val="24"/>
        </w:rPr>
        <w:t>培训课程包括通用类、技术类、流程规范类等。</w:t>
      </w:r>
      <w:r>
        <w:rPr>
          <w:rFonts w:ascii="宋体" w:hAnsi="宋体" w:eastAsia="宋体" w:cs="宋体"/>
          <w:spacing w:val="-6"/>
          <w:sz w:val="24"/>
          <w:szCs w:val="24"/>
        </w:rPr>
        <w:t>2025年培训计划如下：</w:t>
      </w:r>
    </w:p>
    <w:tbl>
      <w:tblPr>
        <w:tblStyle w:val="20"/>
        <w:tblW w:w="65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61"/>
        <w:gridCol w:w="2476"/>
        <w:gridCol w:w="1428"/>
        <w:gridCol w:w="1272"/>
        <w:gridCol w:w="713"/>
      </w:tblGrid>
      <w:tr w14:paraId="51DA5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 w:hRule="atLeast"/>
          <w:jc w:val="center"/>
        </w:trPr>
        <w:tc>
          <w:tcPr>
            <w:tcW w:w="655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0BB929">
            <w:pPr>
              <w:keepNext w:val="0"/>
              <w:keepLines w:val="0"/>
              <w:pageBreakBefore w:val="0"/>
              <w:widowControl w:val="0"/>
              <w:suppressLineNumbers w:val="0"/>
              <w:kinsoku w:val="0"/>
              <w:wordWrap/>
              <w:overflowPunct/>
              <w:topLinePunct w:val="0"/>
              <w:autoSpaceDE w:val="0"/>
              <w:autoSpaceDN w:val="0"/>
              <w:bidi w:val="0"/>
              <w:adjustRightInd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16"/>
                <w:szCs w:val="16"/>
                <w:u w:val="none"/>
                <w:lang w:val="en-US" w:eastAsia="zh-CN"/>
              </w:rPr>
              <w:t>人员培训计划</w:t>
            </w:r>
          </w:p>
        </w:tc>
      </w:tr>
      <w:tr w14:paraId="52FB3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0EBD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编号</w:t>
            </w:r>
          </w:p>
        </w:tc>
        <w:tc>
          <w:tcPr>
            <w:tcW w:w="24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0F4E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培训内容</w:t>
            </w:r>
          </w:p>
        </w:tc>
        <w:tc>
          <w:tcPr>
            <w:tcW w:w="14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C6A6E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培训对象</w:t>
            </w:r>
          </w:p>
        </w:tc>
        <w:tc>
          <w:tcPr>
            <w:tcW w:w="12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CD06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培训人员</w:t>
            </w:r>
          </w:p>
        </w:tc>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B593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时间</w:t>
            </w:r>
          </w:p>
        </w:tc>
      </w:tr>
      <w:tr w14:paraId="1EEAD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1F91F">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53338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ITSS</w:t>
            </w:r>
            <w:r>
              <w:rPr>
                <w:rStyle w:val="26"/>
                <w:snapToGrid w:val="0"/>
                <w:color w:val="000000"/>
                <w:lang w:val="en-US" w:eastAsia="zh-CN"/>
              </w:rPr>
              <w:t>标准培训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DB19F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C1BEEE">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外聘</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DE4FC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1月</w:t>
            </w:r>
          </w:p>
        </w:tc>
      </w:tr>
      <w:tr w14:paraId="22725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E4D208">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7DE19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846C01">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823612">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DFBAB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1月</w:t>
            </w:r>
          </w:p>
        </w:tc>
      </w:tr>
      <w:tr w14:paraId="4E4AF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45C31">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F832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A8765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D8837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color w:val="000000"/>
                <w:sz w:val="16"/>
                <w:szCs w:val="16"/>
                <w:u w:val="none"/>
                <w:lang w:val="en-US"/>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A97DA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3月</w:t>
            </w:r>
          </w:p>
        </w:tc>
      </w:tr>
      <w:tr w14:paraId="29E43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C59C2C">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F4788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FDF1A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0E5A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C1C11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3月</w:t>
            </w:r>
          </w:p>
        </w:tc>
      </w:tr>
      <w:tr w14:paraId="6509F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F8EC3E">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C6A4EE">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D1771">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39894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DD1B">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3月</w:t>
            </w:r>
          </w:p>
        </w:tc>
      </w:tr>
      <w:tr w14:paraId="3F18B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E49535">
            <w:pPr>
              <w:keepNext w:val="0"/>
              <w:keepLines w:val="0"/>
              <w:pageBreakBefore w:val="0"/>
              <w:widowControl w:val="0"/>
              <w:numPr>
                <w:ilvl w:val="0"/>
                <w:numId w:val="2"/>
              </w:numPr>
              <w:suppressLineNumbers w:val="0"/>
              <w:tabs>
                <w:tab w:val="center" w:pos="1320"/>
              </w:tabs>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701A42">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运维服务服务知识</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14BE1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全体运维人员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36C8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1193C5">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3月</w:t>
            </w:r>
          </w:p>
        </w:tc>
      </w:tr>
      <w:tr w14:paraId="4601F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4E82FC">
            <w:pPr>
              <w:keepNext w:val="0"/>
              <w:keepLines w:val="0"/>
              <w:pageBreakBefore w:val="0"/>
              <w:widowControl w:val="0"/>
              <w:numPr>
                <w:ilvl w:val="0"/>
                <w:numId w:val="2"/>
              </w:numPr>
              <w:suppressLineNumbers w:val="0"/>
              <w:tabs>
                <w:tab w:val="center" w:pos="1320"/>
              </w:tabs>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749A5">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53625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6F554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B0C61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3月</w:t>
            </w:r>
          </w:p>
        </w:tc>
      </w:tr>
      <w:tr w14:paraId="2375B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62857E">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77DDA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B01F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10932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孙凯</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1E2AC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4月</w:t>
            </w:r>
          </w:p>
        </w:tc>
      </w:tr>
      <w:tr w14:paraId="03E64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7AFC6E">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5F976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26"/>
                <w:snapToGrid w:val="0"/>
                <w:color w:val="000000"/>
                <w:lang w:val="en-US" w:eastAsia="zh-CN"/>
              </w:rPr>
              <w:t>介绍</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4E89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CD6E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孙凯</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A4F1B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4月</w:t>
            </w:r>
          </w:p>
        </w:tc>
      </w:tr>
      <w:tr w14:paraId="46787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2BEFF0">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04AEF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26"/>
                <w:snapToGrid w:val="0"/>
                <w:color w:val="000000"/>
                <w:lang w:val="en-US" w:eastAsia="zh-CN"/>
              </w:rPr>
              <w:t>及应对策略</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F827E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26"/>
                <w:snapToGrid w:val="0"/>
                <w:color w:val="000000"/>
                <w:lang w:val="en-US" w:eastAsia="zh-CN"/>
              </w:rPr>
              <w:t>测工程师</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2D4575">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8C121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4月</w:t>
            </w:r>
          </w:p>
        </w:tc>
      </w:tr>
      <w:tr w14:paraId="73907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C31DA6">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03845D">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0968D2">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823D2F">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7C868">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4月</w:t>
            </w:r>
          </w:p>
        </w:tc>
      </w:tr>
      <w:tr w14:paraId="13870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60D544">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0EB2F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26"/>
                <w:snapToGrid w:val="0"/>
                <w:color w:val="000000"/>
                <w:lang w:val="en-US" w:eastAsia="zh-CN"/>
              </w:rPr>
              <w:t>预案培训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1345B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8067D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郑云</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A1867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4月</w:t>
            </w:r>
          </w:p>
        </w:tc>
      </w:tr>
      <w:tr w14:paraId="2AFD4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B0DEC">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41D52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ITSS</w:t>
            </w:r>
            <w:r>
              <w:rPr>
                <w:rStyle w:val="26"/>
                <w:snapToGrid w:val="0"/>
                <w:color w:val="000000"/>
                <w:lang w:val="en-US" w:eastAsia="zh-CN"/>
              </w:rPr>
              <w:t>标准培训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241D0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D250E5">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外聘</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1D4006">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4月</w:t>
            </w:r>
          </w:p>
        </w:tc>
      </w:tr>
      <w:tr w14:paraId="418E1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B43C02">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052D23">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Style w:val="26"/>
                <w:rFonts w:hint="eastAsia"/>
                <w:snapToGrid w:val="0"/>
                <w:color w:val="000000"/>
                <w:lang w:val="en-US" w:eastAsia="zh-CN"/>
              </w:rPr>
              <w:t>Vue</w:t>
            </w:r>
            <w:r>
              <w:rPr>
                <w:rStyle w:val="26"/>
                <w:snapToGrid w:val="0"/>
                <w:color w:val="000000"/>
                <w:lang w:val="en-US" w:eastAsia="zh-CN"/>
              </w:rPr>
              <w:t>前端框架介绍</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472D6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1494C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5B09C6">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5月</w:t>
            </w:r>
          </w:p>
        </w:tc>
      </w:tr>
      <w:tr w14:paraId="5A0DB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79A92D">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F3181">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8F67CA">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2DEC2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92514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r>
      <w:tr w14:paraId="4E5AB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B21AC4">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116116">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ECEFC2">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1CA61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BD670B">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r>
      <w:tr w14:paraId="1388C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701107">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BB02F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数据库规范介绍</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776A36">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42B8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0AC3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6月</w:t>
            </w:r>
          </w:p>
        </w:tc>
      </w:tr>
      <w:tr w14:paraId="6991E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A7C6B">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518F9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IT</w:t>
            </w:r>
            <w:r>
              <w:rPr>
                <w:rStyle w:val="26"/>
                <w:snapToGrid w:val="0"/>
                <w:color w:val="000000"/>
                <w:lang w:val="en-US" w:eastAsia="zh-CN"/>
              </w:rPr>
              <w:t>服务项目经理</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C7A2B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部分人员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82579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外聘</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1A56E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6月</w:t>
            </w:r>
          </w:p>
        </w:tc>
      </w:tr>
      <w:tr w14:paraId="1525E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8E9876">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3DE59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C4D2D6">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31445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57A31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r>
      <w:tr w14:paraId="48035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6D3D63">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381D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产品服务化规范</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6258F3">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E1D26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bidi="ar-SA"/>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4BCA4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7月</w:t>
            </w:r>
          </w:p>
        </w:tc>
      </w:tr>
      <w:tr w14:paraId="4AADD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6CAEE8">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BC658A">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云数据中心建设模式和网络安全</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BCF38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26"/>
                <w:snapToGrid w:val="0"/>
                <w:color w:val="000000"/>
                <w:lang w:val="en-US" w:eastAsia="zh-CN"/>
              </w:rPr>
              <w:t>测工程师</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0C3156">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C72C7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7月</w:t>
            </w:r>
          </w:p>
        </w:tc>
      </w:tr>
      <w:tr w14:paraId="654F4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C21EE0">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6539F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交付规范</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DF007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A4AD4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F674E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7月</w:t>
            </w:r>
          </w:p>
        </w:tc>
      </w:tr>
      <w:tr w14:paraId="345A4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F61C46">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AA8D97">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2BBB4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789684">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D4DAC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7月</w:t>
            </w:r>
          </w:p>
        </w:tc>
      </w:tr>
      <w:tr w14:paraId="7B834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599BA1">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BECF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D42D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16AF6F">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孙凯</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E4B4E8">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8月</w:t>
            </w:r>
          </w:p>
        </w:tc>
      </w:tr>
      <w:tr w14:paraId="3513B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751E61">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6959B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26"/>
                <w:snapToGrid w:val="0"/>
                <w:color w:val="000000"/>
                <w:lang w:val="en-US" w:eastAsia="zh-CN"/>
              </w:rPr>
              <w:t>介绍</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ABC15D">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F75031">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孙凯</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677FE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8月</w:t>
            </w:r>
          </w:p>
        </w:tc>
      </w:tr>
      <w:tr w14:paraId="61496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225DBC">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663A12">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199BF3">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6F478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D3D332">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57006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E2299F">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0FB4C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A95AE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4E770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D5C75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73451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E5B7F9">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7CDAC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26"/>
                <w:snapToGrid w:val="0"/>
                <w:color w:val="000000"/>
                <w:lang w:val="en-US" w:eastAsia="zh-CN"/>
              </w:rPr>
              <w:t>及应对策略</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7504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26"/>
                <w:snapToGrid w:val="0"/>
                <w:color w:val="000000"/>
                <w:lang w:val="en-US" w:eastAsia="zh-CN"/>
              </w:rPr>
              <w:t>测工程师</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BFEE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E503AB">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17178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5B9A5F">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6CE7B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17BD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24D3D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8492E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1EB2D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1"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3E7477">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9144D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运维服务服务知识</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52455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全体运维人员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BC41D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9D951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6159B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394A6C">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51195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93120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409D4">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30A72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9月</w:t>
            </w:r>
          </w:p>
        </w:tc>
      </w:tr>
      <w:tr w14:paraId="3B8C6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0E2BC">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13583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26"/>
                <w:snapToGrid w:val="0"/>
                <w:color w:val="000000"/>
                <w:lang w:val="en-US" w:eastAsia="zh-CN"/>
              </w:rPr>
              <w:t>预案培训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56BBD6">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C40DD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郑云</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2EAB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9月</w:t>
            </w:r>
          </w:p>
        </w:tc>
      </w:tr>
      <w:tr w14:paraId="7F0DA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739FCB">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83FD1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Style w:val="26"/>
                <w:rFonts w:hint="eastAsia"/>
                <w:snapToGrid w:val="0"/>
                <w:color w:val="000000"/>
                <w:lang w:val="en-US" w:eastAsia="zh-CN"/>
              </w:rPr>
              <w:t>vue</w:t>
            </w:r>
            <w:r>
              <w:rPr>
                <w:rStyle w:val="26"/>
                <w:snapToGrid w:val="0"/>
                <w:color w:val="000000"/>
                <w:lang w:val="en-US" w:eastAsia="zh-CN"/>
              </w:rPr>
              <w:t>前端框架介绍</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BAFFA2">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2594DB">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DFD60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11月</w:t>
            </w:r>
          </w:p>
        </w:tc>
      </w:tr>
      <w:tr w14:paraId="394B9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AF5817">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4CB80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1189E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D236F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C8AD01">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r>
      <w:tr w14:paraId="21E7D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9FD244">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35314A">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BCA1E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4EB9E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王朋</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A85EB5">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r>
      <w:tr w14:paraId="6E79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7F1C0">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3719A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18EBD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026A9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孙凯</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86EE8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r>
    </w:tbl>
    <w:p w14:paraId="6218D24C">
      <w:pPr>
        <w:keepNext w:val="0"/>
        <w:keepLines w:val="0"/>
        <w:pageBreakBefore w:val="0"/>
        <w:widowControl w:val="0"/>
        <w:kinsoku w:val="0"/>
        <w:wordWrap/>
        <w:overflowPunct/>
        <w:topLinePunct w:val="0"/>
        <w:autoSpaceDE w:val="0"/>
        <w:autoSpaceDN w:val="0"/>
        <w:bidi w:val="0"/>
        <w:adjustRightInd w:val="0"/>
        <w:snapToGrid w:val="0"/>
        <w:spacing w:line="93" w:lineRule="exact"/>
      </w:pPr>
    </w:p>
    <w:p w14:paraId="0815038B">
      <w:pPr>
        <w:pStyle w:val="30"/>
        <w:keepNext w:val="0"/>
        <w:keepLines w:val="0"/>
        <w:pageBreakBefore w:val="0"/>
        <w:widowControl w:val="0"/>
        <w:kinsoku w:val="0"/>
        <w:wordWrap/>
        <w:overflowPunct/>
        <w:topLinePunct w:val="0"/>
        <w:autoSpaceDE w:val="0"/>
        <w:autoSpaceDN w:val="0"/>
        <w:bidi w:val="0"/>
        <w:adjustRightInd w:val="0"/>
        <w:snapToGrid w:val="0"/>
      </w:pPr>
      <w:bookmarkStart w:id="33" w:name="_Toc25281"/>
      <w:bookmarkStart w:id="34" w:name="_Toc9054"/>
      <w:bookmarkStart w:id="35" w:name="_Toc28693"/>
      <w:r>
        <w:rPr>
          <w:rFonts w:hint="eastAsia"/>
          <w:lang w:val="en-US" w:eastAsia="zh-CN"/>
        </w:rPr>
        <w:t>备份计划</w:t>
      </w:r>
      <w:bookmarkEnd w:id="33"/>
    </w:p>
    <w:p w14:paraId="4A143BE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为满足2025年公司运维服务要求，避免重要岗位人员休假导致的工作承接问题，依据《人员备份管理制度》开展工作。保证运维服务工作有序进行。2025年度备份计划如下:</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
        <w:gridCol w:w="1716"/>
        <w:gridCol w:w="2004"/>
        <w:gridCol w:w="1776"/>
        <w:gridCol w:w="1692"/>
      </w:tblGrid>
      <w:tr w14:paraId="2F16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 w:type="dxa"/>
          </w:tcPr>
          <w:p w14:paraId="514B33D3">
            <w:pPr>
              <w:pStyle w:val="28"/>
              <w:widowControl w:val="0"/>
              <w:ind w:left="0" w:leftChars="0" w:firstLine="0" w:firstLineChars="0"/>
              <w:rPr>
                <w:rFonts w:hint="default"/>
                <w:sz w:val="18"/>
                <w:szCs w:val="18"/>
                <w:vertAlign w:val="baseline"/>
                <w:lang w:val="en-US" w:eastAsia="zh-CN"/>
              </w:rPr>
            </w:pPr>
            <w:r>
              <w:rPr>
                <w:rFonts w:hint="eastAsia"/>
                <w:sz w:val="18"/>
                <w:szCs w:val="18"/>
                <w:vertAlign w:val="baseline"/>
                <w:lang w:val="en-US" w:eastAsia="zh-CN"/>
              </w:rPr>
              <w:t>编号</w:t>
            </w:r>
          </w:p>
        </w:tc>
        <w:tc>
          <w:tcPr>
            <w:tcW w:w="1716" w:type="dxa"/>
          </w:tcPr>
          <w:p w14:paraId="0A3FE4AB">
            <w:pPr>
              <w:pStyle w:val="28"/>
              <w:widowControl w:val="0"/>
              <w:ind w:left="0" w:leftChars="0" w:firstLine="0" w:firstLineChars="0"/>
              <w:rPr>
                <w:rFonts w:hint="default"/>
                <w:sz w:val="18"/>
                <w:szCs w:val="18"/>
                <w:vertAlign w:val="baseline"/>
                <w:lang w:val="en-US" w:eastAsia="zh-CN"/>
              </w:rPr>
            </w:pPr>
            <w:r>
              <w:rPr>
                <w:rFonts w:hint="eastAsia"/>
                <w:sz w:val="18"/>
                <w:szCs w:val="18"/>
                <w:vertAlign w:val="baseline"/>
                <w:lang w:val="en-US" w:eastAsia="zh-CN"/>
              </w:rPr>
              <w:t>A岗位</w:t>
            </w:r>
          </w:p>
        </w:tc>
        <w:tc>
          <w:tcPr>
            <w:tcW w:w="2004" w:type="dxa"/>
          </w:tcPr>
          <w:p w14:paraId="65F672F1">
            <w:pPr>
              <w:pStyle w:val="28"/>
              <w:widowControl w:val="0"/>
              <w:rPr>
                <w:rFonts w:hint="default"/>
                <w:sz w:val="18"/>
                <w:szCs w:val="18"/>
                <w:vertAlign w:val="baseline"/>
                <w:lang w:val="en-US" w:eastAsia="zh-CN"/>
              </w:rPr>
            </w:pPr>
            <w:r>
              <w:rPr>
                <w:rFonts w:hint="eastAsia"/>
                <w:sz w:val="18"/>
                <w:szCs w:val="18"/>
                <w:vertAlign w:val="baseline"/>
                <w:lang w:val="en-US" w:eastAsia="zh-CN"/>
              </w:rPr>
              <w:t>B岗</w:t>
            </w:r>
          </w:p>
        </w:tc>
        <w:tc>
          <w:tcPr>
            <w:tcW w:w="1776" w:type="dxa"/>
          </w:tcPr>
          <w:p w14:paraId="3DAFB414">
            <w:pPr>
              <w:pStyle w:val="28"/>
              <w:widowControl w:val="0"/>
              <w:ind w:left="0" w:leftChars="0" w:firstLine="0" w:firstLineChars="0"/>
              <w:rPr>
                <w:rFonts w:hint="default"/>
                <w:sz w:val="18"/>
                <w:szCs w:val="18"/>
                <w:vertAlign w:val="baseline"/>
                <w:lang w:val="en-US" w:eastAsia="zh-CN"/>
              </w:rPr>
            </w:pPr>
            <w:r>
              <w:rPr>
                <w:rFonts w:hint="eastAsia"/>
                <w:sz w:val="18"/>
                <w:szCs w:val="18"/>
                <w:vertAlign w:val="baseline"/>
                <w:lang w:val="en-US" w:eastAsia="zh-CN"/>
              </w:rPr>
              <w:t>计划备份人数</w:t>
            </w:r>
          </w:p>
        </w:tc>
        <w:tc>
          <w:tcPr>
            <w:tcW w:w="1692" w:type="dxa"/>
          </w:tcPr>
          <w:p w14:paraId="79902074">
            <w:pPr>
              <w:pStyle w:val="28"/>
              <w:widowControl w:val="0"/>
              <w:ind w:left="0" w:leftChars="0" w:firstLine="0" w:firstLineChars="0"/>
              <w:rPr>
                <w:rFonts w:hint="default"/>
                <w:sz w:val="18"/>
                <w:szCs w:val="18"/>
                <w:vertAlign w:val="baseline"/>
                <w:lang w:val="en-US" w:eastAsia="zh-CN"/>
              </w:rPr>
            </w:pPr>
            <w:r>
              <w:rPr>
                <w:rFonts w:hint="eastAsia"/>
                <w:sz w:val="18"/>
                <w:szCs w:val="18"/>
                <w:vertAlign w:val="baseline"/>
                <w:lang w:val="en-US" w:eastAsia="zh-CN"/>
              </w:rPr>
              <w:t>计划完成时间</w:t>
            </w:r>
          </w:p>
        </w:tc>
      </w:tr>
      <w:tr w14:paraId="2F499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 w:type="dxa"/>
          </w:tcPr>
          <w:p w14:paraId="540DEAC9">
            <w:pPr>
              <w:pStyle w:val="28"/>
              <w:widowControl w:val="0"/>
              <w:numPr>
                <w:ilvl w:val="0"/>
                <w:numId w:val="3"/>
              </w:numPr>
              <w:ind w:left="425" w:leftChars="0" w:hanging="425" w:firstLineChars="0"/>
              <w:rPr>
                <w:rFonts w:hint="default"/>
                <w:sz w:val="18"/>
                <w:szCs w:val="18"/>
                <w:vertAlign w:val="baseline"/>
                <w:lang w:val="en-US" w:eastAsia="zh-CN"/>
              </w:rPr>
            </w:pPr>
          </w:p>
        </w:tc>
        <w:tc>
          <w:tcPr>
            <w:tcW w:w="1716" w:type="dxa"/>
          </w:tcPr>
          <w:p w14:paraId="35757C7B">
            <w:pPr>
              <w:pStyle w:val="28"/>
              <w:widowControl w:val="0"/>
              <w:ind w:left="0" w:leftChars="0" w:firstLine="0" w:firstLineChars="0"/>
              <w:rPr>
                <w:rFonts w:hint="default"/>
                <w:sz w:val="18"/>
                <w:szCs w:val="18"/>
                <w:vertAlign w:val="baseline"/>
                <w:lang w:val="en-US" w:eastAsia="zh-CN"/>
              </w:rPr>
            </w:pPr>
            <w:r>
              <w:rPr>
                <w:rFonts w:hint="eastAsia"/>
                <w:sz w:val="18"/>
                <w:szCs w:val="18"/>
                <w:vertAlign w:val="baseline"/>
                <w:lang w:val="en-US" w:eastAsia="zh-CN"/>
              </w:rPr>
              <w:t>运维部经理</w:t>
            </w:r>
          </w:p>
        </w:tc>
        <w:tc>
          <w:tcPr>
            <w:tcW w:w="2004" w:type="dxa"/>
          </w:tcPr>
          <w:p w14:paraId="293F66F8">
            <w:pPr>
              <w:pStyle w:val="28"/>
              <w:widowControl w:val="0"/>
              <w:ind w:left="0" w:leftChars="0" w:firstLine="0" w:firstLineChars="0"/>
              <w:rPr>
                <w:rFonts w:hint="default"/>
                <w:sz w:val="18"/>
                <w:szCs w:val="18"/>
                <w:vertAlign w:val="baseline"/>
                <w:lang w:val="en-US" w:eastAsia="zh-CN"/>
              </w:rPr>
            </w:pPr>
            <w:r>
              <w:rPr>
                <w:rFonts w:hint="eastAsia"/>
                <w:sz w:val="18"/>
                <w:szCs w:val="18"/>
                <w:vertAlign w:val="baseline"/>
                <w:lang w:val="en-US" w:eastAsia="zh-CN"/>
              </w:rPr>
              <w:t>运维项目经理</w:t>
            </w:r>
          </w:p>
        </w:tc>
        <w:tc>
          <w:tcPr>
            <w:tcW w:w="1776" w:type="dxa"/>
          </w:tcPr>
          <w:p w14:paraId="2C353811">
            <w:pPr>
              <w:pStyle w:val="28"/>
              <w:widowControl w:val="0"/>
              <w:ind w:left="0" w:leftChars="0" w:right="0" w:rightChars="0" w:firstLine="0" w:firstLineChars="0"/>
              <w:jc w:val="center"/>
              <w:rPr>
                <w:rFonts w:hint="default"/>
                <w:sz w:val="18"/>
                <w:szCs w:val="18"/>
                <w:vertAlign w:val="baseline"/>
                <w:lang w:val="en-US" w:eastAsia="zh-CN"/>
              </w:rPr>
            </w:pPr>
            <w:r>
              <w:rPr>
                <w:rFonts w:hint="eastAsia"/>
                <w:sz w:val="18"/>
                <w:szCs w:val="18"/>
                <w:vertAlign w:val="baseline"/>
                <w:lang w:val="en-US" w:eastAsia="zh-CN"/>
              </w:rPr>
              <w:t>2</w:t>
            </w:r>
          </w:p>
        </w:tc>
        <w:tc>
          <w:tcPr>
            <w:tcW w:w="1692" w:type="dxa"/>
          </w:tcPr>
          <w:p w14:paraId="63EF35D8">
            <w:pPr>
              <w:pStyle w:val="28"/>
              <w:widowControl w:val="0"/>
              <w:ind w:left="0" w:leftChars="0" w:firstLine="0" w:firstLineChars="0"/>
              <w:rPr>
                <w:rFonts w:hint="default"/>
                <w:sz w:val="18"/>
                <w:szCs w:val="18"/>
                <w:vertAlign w:val="baseline"/>
                <w:lang w:val="en-US" w:eastAsia="zh-CN"/>
              </w:rPr>
            </w:pPr>
            <w:r>
              <w:rPr>
                <w:rFonts w:hint="eastAsia"/>
                <w:sz w:val="18"/>
                <w:szCs w:val="18"/>
                <w:vertAlign w:val="baseline"/>
                <w:lang w:val="en-US" w:eastAsia="zh-CN"/>
              </w:rPr>
              <w:t>2025年3月</w:t>
            </w:r>
          </w:p>
        </w:tc>
      </w:tr>
      <w:tr w14:paraId="74D6A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 w:type="dxa"/>
          </w:tcPr>
          <w:p w14:paraId="28B97EB9">
            <w:pPr>
              <w:pStyle w:val="28"/>
              <w:widowControl w:val="0"/>
              <w:numPr>
                <w:ilvl w:val="0"/>
                <w:numId w:val="3"/>
              </w:numPr>
              <w:ind w:left="425" w:leftChars="0" w:hanging="425" w:firstLineChars="0"/>
              <w:rPr>
                <w:rFonts w:hint="default"/>
                <w:sz w:val="18"/>
                <w:szCs w:val="18"/>
                <w:vertAlign w:val="baseline"/>
                <w:lang w:val="en-US" w:eastAsia="zh-CN"/>
              </w:rPr>
            </w:pPr>
          </w:p>
        </w:tc>
        <w:tc>
          <w:tcPr>
            <w:tcW w:w="1716" w:type="dxa"/>
          </w:tcPr>
          <w:p w14:paraId="6FCE1C35">
            <w:pPr>
              <w:pStyle w:val="28"/>
              <w:widowControl w:val="0"/>
              <w:ind w:left="0" w:leftChars="0" w:firstLine="0" w:firstLineChars="0"/>
              <w:rPr>
                <w:rFonts w:hint="default"/>
                <w:sz w:val="18"/>
                <w:szCs w:val="18"/>
                <w:vertAlign w:val="baseline"/>
                <w:lang w:val="en-US" w:eastAsia="zh-CN"/>
              </w:rPr>
            </w:pPr>
            <w:r>
              <w:rPr>
                <w:rFonts w:hint="eastAsia"/>
                <w:sz w:val="18"/>
                <w:szCs w:val="18"/>
                <w:vertAlign w:val="baseline"/>
                <w:lang w:val="en-US" w:eastAsia="zh-CN"/>
              </w:rPr>
              <w:t>运维项目经理</w:t>
            </w:r>
          </w:p>
        </w:tc>
        <w:tc>
          <w:tcPr>
            <w:tcW w:w="2004" w:type="dxa"/>
          </w:tcPr>
          <w:p w14:paraId="76C5C37A">
            <w:pPr>
              <w:pStyle w:val="28"/>
              <w:widowControl w:val="0"/>
              <w:ind w:left="0" w:leftChars="0" w:firstLine="0" w:firstLineChars="0"/>
              <w:rPr>
                <w:rFonts w:hint="default"/>
                <w:sz w:val="18"/>
                <w:szCs w:val="18"/>
                <w:vertAlign w:val="baseline"/>
                <w:lang w:val="en-US" w:eastAsia="zh-CN"/>
              </w:rPr>
            </w:pPr>
            <w:r>
              <w:rPr>
                <w:rFonts w:hint="eastAsia"/>
                <w:sz w:val="18"/>
                <w:szCs w:val="18"/>
                <w:vertAlign w:val="baseline"/>
                <w:lang w:val="en-US" w:eastAsia="zh-CN"/>
              </w:rPr>
              <w:t>运维实施工程师</w:t>
            </w:r>
          </w:p>
        </w:tc>
        <w:tc>
          <w:tcPr>
            <w:tcW w:w="1776" w:type="dxa"/>
          </w:tcPr>
          <w:p w14:paraId="6EB82CA0">
            <w:pPr>
              <w:pStyle w:val="28"/>
              <w:widowControl w:val="0"/>
              <w:ind w:left="0" w:leftChars="0" w:right="0" w:rightChars="0" w:firstLine="0" w:firstLineChars="0"/>
              <w:jc w:val="center"/>
              <w:rPr>
                <w:rFonts w:hint="default"/>
                <w:sz w:val="18"/>
                <w:szCs w:val="18"/>
                <w:vertAlign w:val="baseline"/>
                <w:lang w:val="en-US" w:eastAsia="zh-CN"/>
              </w:rPr>
            </w:pPr>
            <w:r>
              <w:rPr>
                <w:rFonts w:hint="eastAsia"/>
                <w:sz w:val="18"/>
                <w:szCs w:val="18"/>
                <w:vertAlign w:val="baseline"/>
                <w:lang w:val="en-US" w:eastAsia="zh-CN"/>
              </w:rPr>
              <w:t>1</w:t>
            </w:r>
          </w:p>
        </w:tc>
        <w:tc>
          <w:tcPr>
            <w:tcW w:w="1692" w:type="dxa"/>
          </w:tcPr>
          <w:p w14:paraId="124982BE">
            <w:pPr>
              <w:pStyle w:val="28"/>
              <w:widowControl w:val="0"/>
              <w:ind w:left="0" w:leftChars="0" w:firstLine="0" w:firstLineChars="0"/>
              <w:rPr>
                <w:rFonts w:hint="eastAsia"/>
                <w:sz w:val="18"/>
                <w:szCs w:val="18"/>
                <w:vertAlign w:val="baseline"/>
                <w:lang w:val="en-US" w:eastAsia="zh-CN"/>
              </w:rPr>
            </w:pPr>
            <w:r>
              <w:rPr>
                <w:rFonts w:hint="eastAsia"/>
                <w:sz w:val="18"/>
                <w:szCs w:val="18"/>
                <w:vertAlign w:val="baseline"/>
                <w:lang w:val="en-US" w:eastAsia="zh-CN"/>
              </w:rPr>
              <w:t>2025年4月</w:t>
            </w:r>
          </w:p>
        </w:tc>
      </w:tr>
      <w:tr w14:paraId="3FAD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 w:type="dxa"/>
          </w:tcPr>
          <w:p w14:paraId="0208E7C0">
            <w:pPr>
              <w:pStyle w:val="28"/>
              <w:widowControl w:val="0"/>
              <w:numPr>
                <w:ilvl w:val="0"/>
                <w:numId w:val="3"/>
              </w:numPr>
              <w:ind w:left="425" w:leftChars="0" w:hanging="425" w:firstLineChars="0"/>
              <w:rPr>
                <w:rFonts w:hint="default"/>
                <w:sz w:val="18"/>
                <w:szCs w:val="18"/>
                <w:vertAlign w:val="baseline"/>
                <w:lang w:val="en-US" w:eastAsia="zh-CN"/>
              </w:rPr>
            </w:pPr>
          </w:p>
        </w:tc>
        <w:tc>
          <w:tcPr>
            <w:tcW w:w="1716" w:type="dxa"/>
          </w:tcPr>
          <w:p w14:paraId="07F9F485">
            <w:pPr>
              <w:pStyle w:val="28"/>
              <w:widowControl w:val="0"/>
              <w:ind w:left="0" w:leftChars="0" w:firstLine="0" w:firstLineChars="0"/>
              <w:rPr>
                <w:rFonts w:hint="default"/>
                <w:sz w:val="18"/>
                <w:szCs w:val="18"/>
                <w:vertAlign w:val="baseline"/>
                <w:lang w:val="en-US" w:eastAsia="zh-CN"/>
              </w:rPr>
            </w:pPr>
            <w:r>
              <w:rPr>
                <w:rFonts w:hint="eastAsia"/>
                <w:sz w:val="18"/>
                <w:szCs w:val="18"/>
                <w:vertAlign w:val="baseline"/>
                <w:lang w:val="en-US" w:eastAsia="zh-CN"/>
              </w:rPr>
              <w:t>运维项目经理</w:t>
            </w:r>
          </w:p>
        </w:tc>
        <w:tc>
          <w:tcPr>
            <w:tcW w:w="2004" w:type="dxa"/>
          </w:tcPr>
          <w:p w14:paraId="2A81D47F">
            <w:pPr>
              <w:pStyle w:val="28"/>
              <w:widowControl w:val="0"/>
              <w:ind w:left="0" w:leftChars="0" w:firstLine="0" w:firstLineChars="0"/>
              <w:rPr>
                <w:rFonts w:hint="default"/>
                <w:sz w:val="18"/>
                <w:szCs w:val="18"/>
                <w:vertAlign w:val="baseline"/>
                <w:lang w:val="en-US" w:eastAsia="zh-CN"/>
              </w:rPr>
            </w:pPr>
            <w:r>
              <w:rPr>
                <w:rFonts w:hint="eastAsia"/>
                <w:sz w:val="18"/>
                <w:szCs w:val="18"/>
                <w:vertAlign w:val="baseline"/>
                <w:lang w:val="en-US" w:eastAsia="zh-CN"/>
              </w:rPr>
              <w:t>运维实施工程师</w:t>
            </w:r>
          </w:p>
        </w:tc>
        <w:tc>
          <w:tcPr>
            <w:tcW w:w="1776" w:type="dxa"/>
          </w:tcPr>
          <w:p w14:paraId="2746FC4B">
            <w:pPr>
              <w:pStyle w:val="28"/>
              <w:widowControl w:val="0"/>
              <w:ind w:left="0" w:leftChars="0" w:right="0" w:rightChars="0" w:firstLine="0" w:firstLineChars="0"/>
              <w:jc w:val="center"/>
              <w:rPr>
                <w:rFonts w:hint="default"/>
                <w:sz w:val="18"/>
                <w:szCs w:val="18"/>
                <w:vertAlign w:val="baseline"/>
                <w:lang w:val="en-US" w:eastAsia="zh-CN"/>
              </w:rPr>
            </w:pPr>
            <w:r>
              <w:rPr>
                <w:rFonts w:hint="eastAsia"/>
                <w:sz w:val="18"/>
                <w:szCs w:val="18"/>
                <w:vertAlign w:val="baseline"/>
                <w:lang w:val="en-US" w:eastAsia="zh-CN"/>
              </w:rPr>
              <w:t>2</w:t>
            </w:r>
          </w:p>
        </w:tc>
        <w:tc>
          <w:tcPr>
            <w:tcW w:w="1692" w:type="dxa"/>
          </w:tcPr>
          <w:p w14:paraId="5C57F26E">
            <w:pPr>
              <w:pStyle w:val="28"/>
              <w:widowControl w:val="0"/>
              <w:ind w:left="0" w:leftChars="0" w:firstLine="0" w:firstLineChars="0"/>
              <w:rPr>
                <w:rFonts w:hint="eastAsia"/>
                <w:sz w:val="18"/>
                <w:szCs w:val="18"/>
                <w:vertAlign w:val="baseline"/>
                <w:lang w:val="en-US" w:eastAsia="zh-CN"/>
              </w:rPr>
            </w:pPr>
            <w:r>
              <w:rPr>
                <w:rFonts w:hint="eastAsia"/>
                <w:sz w:val="18"/>
                <w:szCs w:val="18"/>
                <w:vertAlign w:val="baseline"/>
                <w:lang w:val="en-US" w:eastAsia="zh-CN"/>
              </w:rPr>
              <w:t>2025年5月</w:t>
            </w:r>
          </w:p>
        </w:tc>
      </w:tr>
      <w:tr w14:paraId="3AC05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 w:type="dxa"/>
          </w:tcPr>
          <w:p w14:paraId="7C54608F">
            <w:pPr>
              <w:pStyle w:val="28"/>
              <w:widowControl w:val="0"/>
              <w:numPr>
                <w:ilvl w:val="0"/>
                <w:numId w:val="3"/>
              </w:numPr>
              <w:ind w:left="425" w:leftChars="0" w:hanging="425" w:firstLineChars="0"/>
              <w:rPr>
                <w:rFonts w:hint="default"/>
                <w:sz w:val="18"/>
                <w:szCs w:val="18"/>
                <w:vertAlign w:val="baseline"/>
                <w:lang w:val="en-US" w:eastAsia="zh-CN"/>
              </w:rPr>
            </w:pPr>
          </w:p>
        </w:tc>
        <w:tc>
          <w:tcPr>
            <w:tcW w:w="1716" w:type="dxa"/>
          </w:tcPr>
          <w:p w14:paraId="022A372A">
            <w:pPr>
              <w:pStyle w:val="28"/>
              <w:widowControl w:val="0"/>
              <w:ind w:left="0" w:leftChars="0" w:firstLine="0" w:firstLineChars="0"/>
              <w:rPr>
                <w:rFonts w:hint="default"/>
                <w:sz w:val="18"/>
                <w:szCs w:val="18"/>
                <w:vertAlign w:val="baseline"/>
                <w:lang w:val="en-US" w:eastAsia="zh-CN"/>
              </w:rPr>
            </w:pPr>
            <w:r>
              <w:rPr>
                <w:rFonts w:hint="eastAsia"/>
                <w:sz w:val="18"/>
                <w:szCs w:val="18"/>
                <w:vertAlign w:val="baseline"/>
                <w:lang w:val="en-US" w:eastAsia="zh-CN"/>
              </w:rPr>
              <w:t>研发部经理</w:t>
            </w:r>
          </w:p>
        </w:tc>
        <w:tc>
          <w:tcPr>
            <w:tcW w:w="2004" w:type="dxa"/>
          </w:tcPr>
          <w:p w14:paraId="57F3C9E6">
            <w:pPr>
              <w:pStyle w:val="28"/>
              <w:widowControl w:val="0"/>
              <w:ind w:left="0" w:leftChars="0" w:firstLine="0" w:firstLineChars="0"/>
              <w:rPr>
                <w:rFonts w:hint="default"/>
                <w:sz w:val="18"/>
                <w:szCs w:val="18"/>
                <w:vertAlign w:val="baseline"/>
                <w:lang w:val="en-US" w:eastAsia="zh-CN"/>
              </w:rPr>
            </w:pPr>
            <w:r>
              <w:rPr>
                <w:rFonts w:hint="eastAsia"/>
                <w:sz w:val="18"/>
                <w:szCs w:val="18"/>
                <w:vertAlign w:val="baseline"/>
                <w:lang w:val="en-US" w:eastAsia="zh-CN"/>
              </w:rPr>
              <w:t>系统架构师</w:t>
            </w:r>
          </w:p>
        </w:tc>
        <w:tc>
          <w:tcPr>
            <w:tcW w:w="1776" w:type="dxa"/>
          </w:tcPr>
          <w:p w14:paraId="3365B6D8">
            <w:pPr>
              <w:pStyle w:val="28"/>
              <w:widowControl w:val="0"/>
              <w:ind w:left="0" w:leftChars="0" w:right="0" w:rightChars="0" w:firstLine="0" w:firstLineChars="0"/>
              <w:jc w:val="center"/>
              <w:rPr>
                <w:rFonts w:hint="default"/>
                <w:sz w:val="18"/>
                <w:szCs w:val="18"/>
                <w:vertAlign w:val="baseline"/>
                <w:lang w:val="en-US" w:eastAsia="zh-CN"/>
              </w:rPr>
            </w:pPr>
            <w:r>
              <w:rPr>
                <w:rFonts w:hint="eastAsia"/>
                <w:sz w:val="18"/>
                <w:szCs w:val="18"/>
                <w:vertAlign w:val="baseline"/>
                <w:lang w:val="en-US" w:eastAsia="zh-CN"/>
              </w:rPr>
              <w:t>1</w:t>
            </w:r>
          </w:p>
        </w:tc>
        <w:tc>
          <w:tcPr>
            <w:tcW w:w="1692" w:type="dxa"/>
          </w:tcPr>
          <w:p w14:paraId="681A5C48">
            <w:pPr>
              <w:pStyle w:val="28"/>
              <w:widowControl w:val="0"/>
              <w:ind w:left="0" w:leftChars="0" w:firstLine="0" w:firstLineChars="0"/>
              <w:rPr>
                <w:rFonts w:hint="eastAsia"/>
                <w:sz w:val="18"/>
                <w:szCs w:val="18"/>
                <w:vertAlign w:val="baseline"/>
                <w:lang w:val="en-US" w:eastAsia="zh-CN"/>
              </w:rPr>
            </w:pPr>
            <w:r>
              <w:rPr>
                <w:rFonts w:hint="eastAsia"/>
                <w:sz w:val="18"/>
                <w:szCs w:val="18"/>
                <w:vertAlign w:val="baseline"/>
                <w:lang w:val="en-US" w:eastAsia="zh-CN"/>
              </w:rPr>
              <w:t>2025年8月</w:t>
            </w:r>
          </w:p>
        </w:tc>
      </w:tr>
      <w:tr w14:paraId="3608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 w:type="dxa"/>
          </w:tcPr>
          <w:p w14:paraId="2532C26F">
            <w:pPr>
              <w:pStyle w:val="28"/>
              <w:widowControl w:val="0"/>
              <w:numPr>
                <w:ilvl w:val="0"/>
                <w:numId w:val="3"/>
              </w:numPr>
              <w:ind w:left="425" w:leftChars="0" w:hanging="425" w:firstLineChars="0"/>
              <w:rPr>
                <w:rFonts w:hint="default"/>
                <w:sz w:val="18"/>
                <w:szCs w:val="18"/>
                <w:vertAlign w:val="baseline"/>
                <w:lang w:val="en-US" w:eastAsia="zh-CN"/>
              </w:rPr>
            </w:pPr>
          </w:p>
        </w:tc>
        <w:tc>
          <w:tcPr>
            <w:tcW w:w="1716" w:type="dxa"/>
          </w:tcPr>
          <w:p w14:paraId="6438573F">
            <w:pPr>
              <w:pStyle w:val="28"/>
              <w:widowControl w:val="0"/>
              <w:ind w:left="0" w:leftChars="0" w:firstLine="0" w:firstLineChars="0"/>
              <w:rPr>
                <w:rFonts w:hint="default"/>
                <w:sz w:val="18"/>
                <w:szCs w:val="18"/>
                <w:vertAlign w:val="baseline"/>
                <w:lang w:val="en-US" w:eastAsia="zh-CN"/>
              </w:rPr>
            </w:pPr>
            <w:r>
              <w:rPr>
                <w:rFonts w:hint="eastAsia"/>
                <w:sz w:val="18"/>
                <w:szCs w:val="18"/>
                <w:vertAlign w:val="baseline"/>
                <w:lang w:val="en-US" w:eastAsia="zh-CN"/>
              </w:rPr>
              <w:t>备件库经理</w:t>
            </w:r>
          </w:p>
        </w:tc>
        <w:tc>
          <w:tcPr>
            <w:tcW w:w="2004" w:type="dxa"/>
          </w:tcPr>
          <w:p w14:paraId="60F96164">
            <w:pPr>
              <w:pStyle w:val="28"/>
              <w:widowControl w:val="0"/>
              <w:ind w:left="0" w:leftChars="0" w:firstLine="0" w:firstLineChars="0"/>
              <w:rPr>
                <w:rFonts w:hint="default"/>
                <w:sz w:val="18"/>
                <w:szCs w:val="18"/>
                <w:vertAlign w:val="baseline"/>
                <w:lang w:val="en-US" w:eastAsia="zh-CN"/>
              </w:rPr>
            </w:pPr>
            <w:r>
              <w:rPr>
                <w:rFonts w:hint="eastAsia"/>
                <w:sz w:val="18"/>
                <w:szCs w:val="18"/>
                <w:vertAlign w:val="baseline"/>
                <w:lang w:val="en-US" w:eastAsia="zh-CN"/>
              </w:rPr>
              <w:t>备件库管理专员</w:t>
            </w:r>
          </w:p>
        </w:tc>
        <w:tc>
          <w:tcPr>
            <w:tcW w:w="1776" w:type="dxa"/>
          </w:tcPr>
          <w:p w14:paraId="2BF8FFAC">
            <w:pPr>
              <w:pStyle w:val="28"/>
              <w:widowControl w:val="0"/>
              <w:ind w:left="0" w:leftChars="0" w:right="0" w:rightChars="0" w:firstLine="0" w:firstLineChars="0"/>
              <w:jc w:val="center"/>
              <w:rPr>
                <w:rFonts w:hint="default"/>
                <w:sz w:val="18"/>
                <w:szCs w:val="18"/>
                <w:vertAlign w:val="baseline"/>
                <w:lang w:val="en-US" w:eastAsia="zh-CN"/>
              </w:rPr>
            </w:pPr>
            <w:r>
              <w:rPr>
                <w:rFonts w:hint="eastAsia"/>
                <w:sz w:val="18"/>
                <w:szCs w:val="18"/>
                <w:vertAlign w:val="baseline"/>
                <w:lang w:val="en-US" w:eastAsia="zh-CN"/>
              </w:rPr>
              <w:t>1</w:t>
            </w:r>
          </w:p>
        </w:tc>
        <w:tc>
          <w:tcPr>
            <w:tcW w:w="1692" w:type="dxa"/>
          </w:tcPr>
          <w:p w14:paraId="677628D0">
            <w:pPr>
              <w:pStyle w:val="28"/>
              <w:widowControl w:val="0"/>
              <w:ind w:left="0" w:leftChars="0" w:firstLine="0" w:firstLineChars="0"/>
              <w:rPr>
                <w:rFonts w:hint="eastAsia"/>
                <w:sz w:val="18"/>
                <w:szCs w:val="18"/>
                <w:vertAlign w:val="baseline"/>
                <w:lang w:val="en-US" w:eastAsia="zh-CN"/>
              </w:rPr>
            </w:pPr>
            <w:r>
              <w:rPr>
                <w:rFonts w:hint="eastAsia"/>
                <w:sz w:val="18"/>
                <w:szCs w:val="18"/>
                <w:vertAlign w:val="baseline"/>
                <w:lang w:val="en-US" w:eastAsia="zh-CN"/>
              </w:rPr>
              <w:t>2025年9月</w:t>
            </w:r>
          </w:p>
        </w:tc>
      </w:tr>
    </w:tbl>
    <w:p w14:paraId="1BD567F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center"/>
        <w:textAlignment w:val="baseline"/>
        <w:rPr>
          <w:rFonts w:hint="default" w:ascii="宋体" w:hAnsi="宋体" w:eastAsia="宋体" w:cs="宋体"/>
          <w:spacing w:val="-2"/>
          <w:sz w:val="24"/>
          <w:szCs w:val="24"/>
          <w:lang w:val="en-US" w:eastAsia="zh-CN"/>
        </w:rPr>
      </w:pPr>
    </w:p>
    <w:p w14:paraId="17EC0EDE">
      <w:pPr>
        <w:pStyle w:val="30"/>
        <w:keepNext w:val="0"/>
        <w:keepLines w:val="0"/>
        <w:pageBreakBefore w:val="0"/>
        <w:widowControl w:val="0"/>
        <w:kinsoku w:val="0"/>
        <w:wordWrap/>
        <w:overflowPunct/>
        <w:topLinePunct w:val="0"/>
        <w:autoSpaceDE w:val="0"/>
        <w:autoSpaceDN w:val="0"/>
        <w:bidi w:val="0"/>
        <w:adjustRightInd w:val="0"/>
        <w:snapToGrid w:val="0"/>
      </w:pPr>
      <w:bookmarkStart w:id="36" w:name="_Toc12641"/>
      <w:r>
        <w:t>绩效考核</w:t>
      </w:r>
      <w:bookmarkEnd w:id="34"/>
      <w:bookmarkEnd w:id="35"/>
      <w:bookmarkEnd w:id="36"/>
    </w:p>
    <w:p w14:paraId="2C0BC7E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default" w:ascii="宋体" w:hAnsi="宋体" w:eastAsia="宋体" w:cs="宋体"/>
          <w:spacing w:val="-2"/>
          <w:sz w:val="24"/>
          <w:szCs w:val="24"/>
          <w:lang w:val="en-US" w:eastAsia="zh-CN"/>
        </w:rPr>
      </w:pPr>
      <w:bookmarkStart w:id="37" w:name="bookmark64"/>
      <w:bookmarkEnd w:id="37"/>
      <w:r>
        <w:rPr>
          <w:rFonts w:ascii="宋体" w:hAnsi="宋体" w:eastAsia="宋体" w:cs="宋体"/>
          <w:spacing w:val="-2"/>
          <w:sz w:val="24"/>
          <w:szCs w:val="24"/>
        </w:rPr>
        <w:t>为促进和提高公司经营效率，激发员工积极性，了解和考评员工在各考评时段完成的目标及相关职责情况</w:t>
      </w:r>
      <w:r>
        <w:rPr>
          <w:rFonts w:hint="eastAsia" w:ascii="宋体" w:hAnsi="宋体" w:eastAsia="宋体" w:cs="宋体"/>
          <w:spacing w:val="-2"/>
          <w:sz w:val="24"/>
          <w:szCs w:val="24"/>
          <w:lang w:eastAsia="zh-CN"/>
        </w:rPr>
        <w:t>。</w:t>
      </w:r>
      <w:r>
        <w:rPr>
          <w:rFonts w:hint="eastAsia" w:ascii="宋体" w:hAnsi="宋体" w:eastAsia="宋体" w:cs="宋体"/>
          <w:spacing w:val="-2"/>
          <w:sz w:val="24"/>
          <w:szCs w:val="24"/>
          <w:lang w:val="en-US" w:eastAsia="zh-CN"/>
        </w:rPr>
        <w:t>进行月度考核</w:t>
      </w:r>
    </w:p>
    <w:p w14:paraId="4F569C6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月度绩效考评时段为各自然月，绩效考评实施时间为次月 1 日-4 日，遇节假日提前完成，新入职人员当月出勤不满十五天者不参加月度考评，月度考评实施计划如下：</w:t>
      </w:r>
    </w:p>
    <w:tbl>
      <w:tblPr>
        <w:tblStyle w:val="24"/>
        <w:tblW w:w="832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326"/>
        <w:gridCol w:w="1041"/>
        <w:gridCol w:w="2241"/>
        <w:gridCol w:w="3047"/>
      </w:tblGrid>
      <w:tr w14:paraId="182B5C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666" w:type="dxa"/>
          </w:tcPr>
          <w:p w14:paraId="6DFCD67E">
            <w:pPr>
              <w:pStyle w:val="25"/>
              <w:keepNext w:val="0"/>
              <w:keepLines w:val="0"/>
              <w:pageBreakBefore w:val="0"/>
              <w:widowControl w:val="0"/>
              <w:kinsoku w:val="0"/>
              <w:wordWrap/>
              <w:overflowPunct/>
              <w:topLinePunct w:val="0"/>
              <w:autoSpaceDE w:val="0"/>
              <w:autoSpaceDN w:val="0"/>
              <w:bidi w:val="0"/>
              <w:adjustRightInd w:val="0"/>
              <w:snapToGrid w:val="0"/>
              <w:spacing w:before="126" w:line="221" w:lineRule="auto"/>
              <w:ind w:left="94"/>
              <w:rPr>
                <w:sz w:val="24"/>
                <w:szCs w:val="24"/>
              </w:rPr>
            </w:pPr>
            <w:r>
              <w:rPr>
                <w:b/>
                <w:bCs/>
                <w:spacing w:val="-5"/>
                <w:sz w:val="24"/>
                <w:szCs w:val="24"/>
              </w:rPr>
              <w:t>序号</w:t>
            </w:r>
          </w:p>
        </w:tc>
        <w:tc>
          <w:tcPr>
            <w:tcW w:w="1326" w:type="dxa"/>
          </w:tcPr>
          <w:p w14:paraId="09C4B8CD">
            <w:pPr>
              <w:pStyle w:val="25"/>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184"/>
              <w:rPr>
                <w:sz w:val="24"/>
                <w:szCs w:val="24"/>
              </w:rPr>
            </w:pPr>
            <w:r>
              <w:rPr>
                <w:b/>
                <w:bCs/>
                <w:spacing w:val="-5"/>
                <w:sz w:val="24"/>
                <w:szCs w:val="24"/>
              </w:rPr>
              <w:t>考评工作</w:t>
            </w:r>
          </w:p>
        </w:tc>
        <w:tc>
          <w:tcPr>
            <w:tcW w:w="1041" w:type="dxa"/>
          </w:tcPr>
          <w:p w14:paraId="5FED2D8A">
            <w:pPr>
              <w:pStyle w:val="25"/>
              <w:keepNext w:val="0"/>
              <w:keepLines w:val="0"/>
              <w:pageBreakBefore w:val="0"/>
              <w:widowControl w:val="0"/>
              <w:kinsoku w:val="0"/>
              <w:wordWrap/>
              <w:overflowPunct/>
              <w:topLinePunct w:val="0"/>
              <w:autoSpaceDE w:val="0"/>
              <w:autoSpaceDN w:val="0"/>
              <w:bidi w:val="0"/>
              <w:adjustRightInd w:val="0"/>
              <w:snapToGrid w:val="0"/>
              <w:spacing w:before="125" w:line="222" w:lineRule="auto"/>
              <w:ind w:left="294"/>
              <w:rPr>
                <w:sz w:val="24"/>
                <w:szCs w:val="24"/>
              </w:rPr>
            </w:pPr>
            <w:r>
              <w:rPr>
                <w:b/>
                <w:bCs/>
                <w:spacing w:val="-8"/>
                <w:sz w:val="24"/>
                <w:szCs w:val="24"/>
              </w:rPr>
              <w:t>时间</w:t>
            </w:r>
          </w:p>
        </w:tc>
        <w:tc>
          <w:tcPr>
            <w:tcW w:w="2241" w:type="dxa"/>
          </w:tcPr>
          <w:p w14:paraId="20442D00">
            <w:pPr>
              <w:pStyle w:val="25"/>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353"/>
              <w:rPr>
                <w:sz w:val="24"/>
                <w:szCs w:val="24"/>
              </w:rPr>
            </w:pPr>
            <w:r>
              <w:rPr>
                <w:b/>
                <w:bCs/>
                <w:spacing w:val="-6"/>
                <w:sz w:val="24"/>
                <w:szCs w:val="24"/>
              </w:rPr>
              <w:t>责任部门/人员</w:t>
            </w:r>
          </w:p>
        </w:tc>
        <w:tc>
          <w:tcPr>
            <w:tcW w:w="3047" w:type="dxa"/>
          </w:tcPr>
          <w:p w14:paraId="1331EDB2">
            <w:pPr>
              <w:pStyle w:val="25"/>
              <w:keepNext w:val="0"/>
              <w:keepLines w:val="0"/>
              <w:pageBreakBefore w:val="0"/>
              <w:widowControl w:val="0"/>
              <w:kinsoku w:val="0"/>
              <w:wordWrap/>
              <w:overflowPunct/>
              <w:topLinePunct w:val="0"/>
              <w:autoSpaceDE w:val="0"/>
              <w:autoSpaceDN w:val="0"/>
              <w:bidi w:val="0"/>
              <w:adjustRightInd w:val="0"/>
              <w:snapToGrid w:val="0"/>
              <w:spacing w:before="126" w:line="221" w:lineRule="auto"/>
              <w:ind w:left="872"/>
              <w:rPr>
                <w:sz w:val="24"/>
                <w:szCs w:val="24"/>
              </w:rPr>
            </w:pPr>
            <w:r>
              <w:rPr>
                <w:b/>
                <w:bCs/>
                <w:spacing w:val="-9"/>
                <w:sz w:val="24"/>
                <w:szCs w:val="24"/>
              </w:rPr>
              <w:t>备</w:t>
            </w:r>
            <w:r>
              <w:rPr>
                <w:spacing w:val="1"/>
                <w:sz w:val="24"/>
                <w:szCs w:val="24"/>
              </w:rPr>
              <w:t xml:space="preserve">       </w:t>
            </w:r>
            <w:r>
              <w:rPr>
                <w:b/>
                <w:bCs/>
                <w:spacing w:val="-9"/>
                <w:sz w:val="24"/>
                <w:szCs w:val="24"/>
              </w:rPr>
              <w:t>注</w:t>
            </w:r>
          </w:p>
        </w:tc>
      </w:tr>
      <w:tr w14:paraId="5B790E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8" w:hRule="atLeast"/>
          <w:jc w:val="center"/>
        </w:trPr>
        <w:tc>
          <w:tcPr>
            <w:tcW w:w="666" w:type="dxa"/>
          </w:tcPr>
          <w:p w14:paraId="584E8452">
            <w:pPr>
              <w:pStyle w:val="25"/>
              <w:keepNext w:val="0"/>
              <w:keepLines w:val="0"/>
              <w:pageBreakBefore w:val="0"/>
              <w:widowControl w:val="0"/>
              <w:kinsoku w:val="0"/>
              <w:wordWrap/>
              <w:overflowPunct/>
              <w:topLinePunct w:val="0"/>
              <w:autoSpaceDE w:val="0"/>
              <w:autoSpaceDN w:val="0"/>
              <w:bidi w:val="0"/>
              <w:adjustRightInd w:val="0"/>
              <w:snapToGrid w:val="0"/>
              <w:spacing w:before="283" w:line="241" w:lineRule="auto"/>
              <w:ind w:left="293"/>
              <w:rPr>
                <w:sz w:val="24"/>
                <w:szCs w:val="24"/>
              </w:rPr>
            </w:pPr>
            <w:r>
              <w:rPr>
                <w:sz w:val="24"/>
                <w:szCs w:val="24"/>
              </w:rPr>
              <w:t>1</w:t>
            </w:r>
          </w:p>
        </w:tc>
        <w:tc>
          <w:tcPr>
            <w:tcW w:w="1326" w:type="dxa"/>
          </w:tcPr>
          <w:p w14:paraId="2AE58828">
            <w:pPr>
              <w:pStyle w:val="25"/>
              <w:keepNext w:val="0"/>
              <w:keepLines w:val="0"/>
              <w:pageBreakBefore w:val="0"/>
              <w:widowControl w:val="0"/>
              <w:kinsoku w:val="0"/>
              <w:wordWrap/>
              <w:overflowPunct/>
              <w:topLinePunct w:val="0"/>
              <w:autoSpaceDE w:val="0"/>
              <w:autoSpaceDN w:val="0"/>
              <w:bidi w:val="0"/>
              <w:adjustRightInd w:val="0"/>
              <w:snapToGrid w:val="0"/>
              <w:spacing w:before="124" w:line="202" w:lineRule="auto"/>
              <w:ind w:left="463" w:right="181" w:hanging="270"/>
              <w:rPr>
                <w:sz w:val="24"/>
                <w:szCs w:val="24"/>
              </w:rPr>
            </w:pPr>
            <w:r>
              <w:rPr>
                <w:spacing w:val="-5"/>
                <w:sz w:val="24"/>
                <w:szCs w:val="24"/>
              </w:rPr>
              <w:t>员工总结</w:t>
            </w:r>
            <w:r>
              <w:rPr>
                <w:spacing w:val="-13"/>
                <w:sz w:val="24"/>
                <w:szCs w:val="24"/>
              </w:rPr>
              <w:t>自评</w:t>
            </w:r>
          </w:p>
        </w:tc>
        <w:tc>
          <w:tcPr>
            <w:tcW w:w="1041" w:type="dxa"/>
          </w:tcPr>
          <w:p w14:paraId="1B471400">
            <w:pPr>
              <w:pStyle w:val="25"/>
              <w:keepNext w:val="0"/>
              <w:keepLines w:val="0"/>
              <w:pageBreakBefore w:val="0"/>
              <w:widowControl w:val="0"/>
              <w:kinsoku w:val="0"/>
              <w:wordWrap/>
              <w:overflowPunct/>
              <w:topLinePunct w:val="0"/>
              <w:autoSpaceDE w:val="0"/>
              <w:autoSpaceDN w:val="0"/>
              <w:bidi w:val="0"/>
              <w:adjustRightInd w:val="0"/>
              <w:snapToGrid w:val="0"/>
              <w:spacing w:before="249" w:line="225" w:lineRule="auto"/>
              <w:ind w:left="301"/>
              <w:rPr>
                <w:sz w:val="24"/>
                <w:szCs w:val="24"/>
              </w:rPr>
            </w:pPr>
            <w:r>
              <w:rPr>
                <w:spacing w:val="-14"/>
                <w:sz w:val="24"/>
                <w:szCs w:val="24"/>
              </w:rPr>
              <w:t>1</w:t>
            </w:r>
            <w:r>
              <w:rPr>
                <w:spacing w:val="50"/>
                <w:sz w:val="24"/>
                <w:szCs w:val="24"/>
              </w:rPr>
              <w:t xml:space="preserve"> </w:t>
            </w:r>
            <w:r>
              <w:rPr>
                <w:spacing w:val="-14"/>
                <w:sz w:val="24"/>
                <w:szCs w:val="24"/>
              </w:rPr>
              <w:t>日</w:t>
            </w:r>
          </w:p>
        </w:tc>
        <w:tc>
          <w:tcPr>
            <w:tcW w:w="2241" w:type="dxa"/>
          </w:tcPr>
          <w:p w14:paraId="08259F9D">
            <w:pPr>
              <w:pStyle w:val="25"/>
              <w:keepNext w:val="0"/>
              <w:keepLines w:val="0"/>
              <w:pageBreakBefore w:val="0"/>
              <w:widowControl w:val="0"/>
              <w:kinsoku w:val="0"/>
              <w:wordWrap/>
              <w:overflowPunct/>
              <w:topLinePunct w:val="0"/>
              <w:autoSpaceDE w:val="0"/>
              <w:autoSpaceDN w:val="0"/>
              <w:bidi w:val="0"/>
              <w:adjustRightInd w:val="0"/>
              <w:snapToGrid w:val="0"/>
              <w:spacing w:before="249" w:line="220" w:lineRule="auto"/>
              <w:ind w:left="645"/>
              <w:rPr>
                <w:sz w:val="24"/>
                <w:szCs w:val="24"/>
              </w:rPr>
            </w:pPr>
            <w:r>
              <w:rPr>
                <w:spacing w:val="-2"/>
                <w:sz w:val="24"/>
                <w:szCs w:val="24"/>
              </w:rPr>
              <w:t>被考评人</w:t>
            </w:r>
          </w:p>
        </w:tc>
        <w:tc>
          <w:tcPr>
            <w:tcW w:w="3047" w:type="dxa"/>
          </w:tcPr>
          <w:p w14:paraId="591F93A0">
            <w:pPr>
              <w:pStyle w:val="25"/>
              <w:keepNext w:val="0"/>
              <w:keepLines w:val="0"/>
              <w:pageBreakBefore w:val="0"/>
              <w:widowControl w:val="0"/>
              <w:kinsoku w:val="0"/>
              <w:wordWrap/>
              <w:overflowPunct/>
              <w:topLinePunct w:val="0"/>
              <w:autoSpaceDE w:val="0"/>
              <w:autoSpaceDN w:val="0"/>
              <w:bidi w:val="0"/>
              <w:adjustRightInd w:val="0"/>
              <w:snapToGrid w:val="0"/>
              <w:spacing w:before="249" w:line="220" w:lineRule="auto"/>
              <w:ind w:left="12"/>
              <w:rPr>
                <w:sz w:val="24"/>
                <w:szCs w:val="24"/>
              </w:rPr>
            </w:pPr>
            <w:r>
              <w:rPr>
                <w:spacing w:val="-1"/>
                <w:sz w:val="24"/>
                <w:szCs w:val="24"/>
              </w:rPr>
              <w:t>提交《月度绩效考评表》</w:t>
            </w:r>
          </w:p>
        </w:tc>
      </w:tr>
      <w:tr w14:paraId="7A462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6" w:hRule="atLeast"/>
          <w:jc w:val="center"/>
        </w:trPr>
        <w:tc>
          <w:tcPr>
            <w:tcW w:w="666" w:type="dxa"/>
          </w:tcPr>
          <w:p w14:paraId="1CBD8D33">
            <w:pPr>
              <w:keepNext w:val="0"/>
              <w:keepLines w:val="0"/>
              <w:pageBreakBefore w:val="0"/>
              <w:widowControl w:val="0"/>
              <w:kinsoku w:val="0"/>
              <w:wordWrap/>
              <w:overflowPunct/>
              <w:topLinePunct w:val="0"/>
              <w:autoSpaceDE w:val="0"/>
              <w:autoSpaceDN w:val="0"/>
              <w:bidi w:val="0"/>
              <w:adjustRightInd w:val="0"/>
              <w:snapToGrid w:val="0"/>
              <w:spacing w:line="255" w:lineRule="auto"/>
              <w:rPr>
                <w:rFonts w:ascii="Arial"/>
                <w:sz w:val="21"/>
              </w:rPr>
            </w:pPr>
          </w:p>
          <w:p w14:paraId="30A49A07">
            <w:pPr>
              <w:pStyle w:val="25"/>
              <w:keepNext w:val="0"/>
              <w:keepLines w:val="0"/>
              <w:pageBreakBefore w:val="0"/>
              <w:widowControl w:val="0"/>
              <w:kinsoku w:val="0"/>
              <w:wordWrap/>
              <w:overflowPunct/>
              <w:topLinePunct w:val="0"/>
              <w:autoSpaceDE w:val="0"/>
              <w:autoSpaceDN w:val="0"/>
              <w:bidi w:val="0"/>
              <w:adjustRightInd w:val="0"/>
              <w:snapToGrid w:val="0"/>
              <w:spacing w:before="78" w:line="241" w:lineRule="auto"/>
              <w:ind w:left="278"/>
              <w:rPr>
                <w:sz w:val="24"/>
                <w:szCs w:val="24"/>
              </w:rPr>
            </w:pPr>
            <w:r>
              <w:rPr>
                <w:sz w:val="24"/>
                <w:szCs w:val="24"/>
              </w:rPr>
              <w:t>2</w:t>
            </w:r>
          </w:p>
        </w:tc>
        <w:tc>
          <w:tcPr>
            <w:tcW w:w="1326" w:type="dxa"/>
          </w:tcPr>
          <w:p w14:paraId="4F83B666">
            <w:pPr>
              <w:pStyle w:val="25"/>
              <w:keepNext w:val="0"/>
              <w:keepLines w:val="0"/>
              <w:pageBreakBefore w:val="0"/>
              <w:widowControl w:val="0"/>
              <w:kinsoku w:val="0"/>
              <w:wordWrap/>
              <w:overflowPunct/>
              <w:topLinePunct w:val="0"/>
              <w:autoSpaceDE w:val="0"/>
              <w:autoSpaceDN w:val="0"/>
              <w:bidi w:val="0"/>
              <w:adjustRightInd w:val="0"/>
              <w:snapToGrid w:val="0"/>
              <w:spacing w:before="52" w:line="218" w:lineRule="auto"/>
              <w:ind w:left="186"/>
              <w:rPr>
                <w:sz w:val="24"/>
                <w:szCs w:val="24"/>
              </w:rPr>
            </w:pPr>
            <w:r>
              <w:rPr>
                <w:spacing w:val="-3"/>
                <w:sz w:val="24"/>
                <w:szCs w:val="24"/>
              </w:rPr>
              <w:t>主管评价</w:t>
            </w:r>
          </w:p>
        </w:tc>
        <w:tc>
          <w:tcPr>
            <w:tcW w:w="1041" w:type="dxa"/>
          </w:tcPr>
          <w:p w14:paraId="1ED88FBF">
            <w:pPr>
              <w:pStyle w:val="25"/>
              <w:keepNext w:val="0"/>
              <w:keepLines w:val="0"/>
              <w:pageBreakBefore w:val="0"/>
              <w:widowControl w:val="0"/>
              <w:kinsoku w:val="0"/>
              <w:wordWrap/>
              <w:overflowPunct/>
              <w:topLinePunct w:val="0"/>
              <w:autoSpaceDE w:val="0"/>
              <w:autoSpaceDN w:val="0"/>
              <w:bidi w:val="0"/>
              <w:adjustRightInd w:val="0"/>
              <w:snapToGrid w:val="0"/>
              <w:spacing w:before="300" w:line="225" w:lineRule="auto"/>
              <w:ind w:left="166"/>
              <w:rPr>
                <w:sz w:val="24"/>
                <w:szCs w:val="24"/>
              </w:rPr>
            </w:pPr>
            <w:r>
              <w:rPr>
                <w:spacing w:val="-4"/>
                <w:sz w:val="24"/>
                <w:szCs w:val="24"/>
              </w:rPr>
              <w:t>2-3</w:t>
            </w:r>
            <w:r>
              <w:rPr>
                <w:spacing w:val="53"/>
                <w:sz w:val="24"/>
                <w:szCs w:val="24"/>
              </w:rPr>
              <w:t xml:space="preserve"> </w:t>
            </w:r>
            <w:r>
              <w:rPr>
                <w:spacing w:val="-4"/>
                <w:sz w:val="24"/>
                <w:szCs w:val="24"/>
              </w:rPr>
              <w:t>日</w:t>
            </w:r>
          </w:p>
        </w:tc>
        <w:tc>
          <w:tcPr>
            <w:tcW w:w="2241" w:type="dxa"/>
          </w:tcPr>
          <w:p w14:paraId="4E6ECB3C">
            <w:pPr>
              <w:pStyle w:val="25"/>
              <w:keepNext w:val="0"/>
              <w:keepLines w:val="0"/>
              <w:pageBreakBefore w:val="0"/>
              <w:widowControl w:val="0"/>
              <w:kinsoku w:val="0"/>
              <w:wordWrap/>
              <w:overflowPunct/>
              <w:topLinePunct w:val="0"/>
              <w:autoSpaceDE w:val="0"/>
              <w:autoSpaceDN w:val="0"/>
              <w:bidi w:val="0"/>
              <w:adjustRightInd w:val="0"/>
              <w:snapToGrid w:val="0"/>
              <w:spacing w:before="300" w:line="220" w:lineRule="auto"/>
              <w:ind w:left="107"/>
              <w:rPr>
                <w:sz w:val="24"/>
                <w:szCs w:val="24"/>
              </w:rPr>
            </w:pPr>
            <w:r>
              <w:rPr>
                <w:spacing w:val="-2"/>
                <w:sz w:val="24"/>
                <w:szCs w:val="24"/>
              </w:rPr>
              <w:t>直属主管/间接主管</w:t>
            </w:r>
          </w:p>
        </w:tc>
        <w:tc>
          <w:tcPr>
            <w:tcW w:w="3047" w:type="dxa"/>
          </w:tcPr>
          <w:p w14:paraId="1BC16056">
            <w:pPr>
              <w:pStyle w:val="25"/>
              <w:keepNext w:val="0"/>
              <w:keepLines w:val="0"/>
              <w:pageBreakBefore w:val="0"/>
              <w:widowControl w:val="0"/>
              <w:kinsoku w:val="0"/>
              <w:wordWrap/>
              <w:overflowPunct/>
              <w:topLinePunct w:val="0"/>
              <w:autoSpaceDE w:val="0"/>
              <w:autoSpaceDN w:val="0"/>
              <w:bidi w:val="0"/>
              <w:adjustRightInd w:val="0"/>
              <w:snapToGrid w:val="0"/>
              <w:spacing w:before="126" w:line="273" w:lineRule="auto"/>
              <w:ind w:left="14" w:hanging="1"/>
              <w:rPr>
                <w:sz w:val="24"/>
                <w:szCs w:val="24"/>
              </w:rPr>
            </w:pPr>
            <w:r>
              <w:rPr>
                <w:spacing w:val="-2"/>
                <w:sz w:val="24"/>
                <w:szCs w:val="24"/>
              </w:rPr>
              <w:t>直属主管填写评语和考评</w:t>
            </w:r>
            <w:r>
              <w:rPr>
                <w:spacing w:val="47"/>
                <w:sz w:val="24"/>
                <w:szCs w:val="24"/>
              </w:rPr>
              <w:t xml:space="preserve"> </w:t>
            </w:r>
            <w:r>
              <w:rPr>
                <w:spacing w:val="-2"/>
                <w:sz w:val="24"/>
                <w:szCs w:val="24"/>
              </w:rPr>
              <w:t>等级，间接主管确认</w:t>
            </w:r>
          </w:p>
        </w:tc>
      </w:tr>
      <w:tr w14:paraId="6D478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jc w:val="center"/>
        </w:trPr>
        <w:tc>
          <w:tcPr>
            <w:tcW w:w="666" w:type="dxa"/>
          </w:tcPr>
          <w:p w14:paraId="169143DF">
            <w:pPr>
              <w:pStyle w:val="25"/>
              <w:keepNext w:val="0"/>
              <w:keepLines w:val="0"/>
              <w:pageBreakBefore w:val="0"/>
              <w:widowControl w:val="0"/>
              <w:kinsoku w:val="0"/>
              <w:wordWrap/>
              <w:overflowPunct/>
              <w:topLinePunct w:val="0"/>
              <w:autoSpaceDE w:val="0"/>
              <w:autoSpaceDN w:val="0"/>
              <w:bidi w:val="0"/>
              <w:adjustRightInd w:val="0"/>
              <w:snapToGrid w:val="0"/>
              <w:spacing w:before="262"/>
              <w:ind w:left="280"/>
              <w:outlineLvl w:val="2"/>
              <w:rPr>
                <w:sz w:val="24"/>
                <w:szCs w:val="24"/>
              </w:rPr>
            </w:pPr>
            <w:bookmarkStart w:id="38" w:name="bookmark65"/>
            <w:bookmarkEnd w:id="38"/>
            <w:bookmarkStart w:id="39" w:name="_Toc6180"/>
            <w:bookmarkStart w:id="40" w:name="_Toc10852"/>
            <w:bookmarkStart w:id="41" w:name="_Toc13521"/>
            <w:r>
              <w:rPr>
                <w:sz w:val="24"/>
                <w:szCs w:val="24"/>
              </w:rPr>
              <w:t>3</w:t>
            </w:r>
            <w:bookmarkEnd w:id="39"/>
            <w:bookmarkEnd w:id="40"/>
            <w:bookmarkEnd w:id="41"/>
          </w:p>
        </w:tc>
        <w:tc>
          <w:tcPr>
            <w:tcW w:w="1326" w:type="dxa"/>
          </w:tcPr>
          <w:p w14:paraId="50677994">
            <w:pPr>
              <w:pStyle w:val="25"/>
              <w:keepNext w:val="0"/>
              <w:keepLines w:val="0"/>
              <w:pageBreakBefore w:val="0"/>
              <w:widowControl w:val="0"/>
              <w:kinsoku w:val="0"/>
              <w:wordWrap/>
              <w:overflowPunct/>
              <w:topLinePunct w:val="0"/>
              <w:autoSpaceDE w:val="0"/>
              <w:autoSpaceDN w:val="0"/>
              <w:bidi w:val="0"/>
              <w:adjustRightInd w:val="0"/>
              <w:snapToGrid w:val="0"/>
              <w:spacing w:before="229" w:line="220" w:lineRule="auto"/>
              <w:ind w:left="186"/>
              <w:rPr>
                <w:sz w:val="24"/>
                <w:szCs w:val="24"/>
              </w:rPr>
            </w:pPr>
            <w:r>
              <w:rPr>
                <w:spacing w:val="-3"/>
                <w:sz w:val="24"/>
                <w:szCs w:val="24"/>
              </w:rPr>
              <w:t>成绩汇总</w:t>
            </w:r>
          </w:p>
        </w:tc>
        <w:tc>
          <w:tcPr>
            <w:tcW w:w="1041" w:type="dxa"/>
          </w:tcPr>
          <w:p w14:paraId="1CCDA09D">
            <w:pPr>
              <w:pStyle w:val="25"/>
              <w:keepNext w:val="0"/>
              <w:keepLines w:val="0"/>
              <w:pageBreakBefore w:val="0"/>
              <w:widowControl w:val="0"/>
              <w:kinsoku w:val="0"/>
              <w:wordWrap/>
              <w:overflowPunct/>
              <w:topLinePunct w:val="0"/>
              <w:autoSpaceDE w:val="0"/>
              <w:autoSpaceDN w:val="0"/>
              <w:bidi w:val="0"/>
              <w:adjustRightInd w:val="0"/>
              <w:snapToGrid w:val="0"/>
              <w:spacing w:before="228" w:line="225" w:lineRule="auto"/>
              <w:ind w:left="282"/>
              <w:rPr>
                <w:sz w:val="24"/>
                <w:szCs w:val="24"/>
              </w:rPr>
            </w:pPr>
            <w:r>
              <w:rPr>
                <w:spacing w:val="-5"/>
                <w:sz w:val="24"/>
                <w:szCs w:val="24"/>
              </w:rPr>
              <w:t>4</w:t>
            </w:r>
            <w:r>
              <w:rPr>
                <w:spacing w:val="51"/>
                <w:sz w:val="24"/>
                <w:szCs w:val="24"/>
              </w:rPr>
              <w:t xml:space="preserve"> </w:t>
            </w:r>
            <w:r>
              <w:rPr>
                <w:spacing w:val="-5"/>
                <w:sz w:val="24"/>
                <w:szCs w:val="24"/>
              </w:rPr>
              <w:t>日</w:t>
            </w:r>
          </w:p>
        </w:tc>
        <w:tc>
          <w:tcPr>
            <w:tcW w:w="2241" w:type="dxa"/>
          </w:tcPr>
          <w:p w14:paraId="66ED44F7">
            <w:pPr>
              <w:pStyle w:val="25"/>
              <w:keepNext w:val="0"/>
              <w:keepLines w:val="0"/>
              <w:pageBreakBefore w:val="0"/>
              <w:widowControl w:val="0"/>
              <w:kinsoku w:val="0"/>
              <w:wordWrap/>
              <w:overflowPunct/>
              <w:topLinePunct w:val="0"/>
              <w:autoSpaceDE w:val="0"/>
              <w:autoSpaceDN w:val="0"/>
              <w:bidi w:val="0"/>
              <w:adjustRightInd w:val="0"/>
              <w:snapToGrid w:val="0"/>
              <w:spacing w:before="228" w:line="220" w:lineRule="auto"/>
              <w:ind w:left="527"/>
              <w:rPr>
                <w:sz w:val="24"/>
                <w:szCs w:val="24"/>
              </w:rPr>
            </w:pPr>
            <w:r>
              <w:rPr>
                <w:spacing w:val="-2"/>
                <w:sz w:val="24"/>
                <w:szCs w:val="24"/>
              </w:rPr>
              <w:t>综合部</w:t>
            </w:r>
          </w:p>
        </w:tc>
        <w:tc>
          <w:tcPr>
            <w:tcW w:w="3047" w:type="dxa"/>
          </w:tcPr>
          <w:p w14:paraId="0037DC4A">
            <w:pPr>
              <w:pStyle w:val="25"/>
              <w:keepNext w:val="0"/>
              <w:keepLines w:val="0"/>
              <w:pageBreakBefore w:val="0"/>
              <w:widowControl w:val="0"/>
              <w:kinsoku w:val="0"/>
              <w:wordWrap/>
              <w:overflowPunct/>
              <w:topLinePunct w:val="0"/>
              <w:autoSpaceDE w:val="0"/>
              <w:autoSpaceDN w:val="0"/>
              <w:bidi w:val="0"/>
              <w:adjustRightInd w:val="0"/>
              <w:snapToGrid w:val="0"/>
              <w:spacing w:before="228" w:line="220" w:lineRule="auto"/>
              <w:ind w:left="11"/>
              <w:rPr>
                <w:sz w:val="24"/>
                <w:szCs w:val="24"/>
              </w:rPr>
            </w:pPr>
            <w:r>
              <w:rPr>
                <w:spacing w:val="-2"/>
                <w:sz w:val="24"/>
                <w:szCs w:val="24"/>
              </w:rPr>
              <w:t>汇总考核成绩</w:t>
            </w:r>
          </w:p>
        </w:tc>
      </w:tr>
    </w:tbl>
    <w:p w14:paraId="0BF0E976">
      <w:pPr>
        <w:pStyle w:val="30"/>
        <w:keepNext w:val="0"/>
        <w:keepLines w:val="0"/>
        <w:pageBreakBefore w:val="0"/>
        <w:widowControl w:val="0"/>
        <w:kinsoku w:val="0"/>
        <w:wordWrap/>
        <w:overflowPunct/>
        <w:topLinePunct w:val="0"/>
        <w:autoSpaceDE w:val="0"/>
        <w:autoSpaceDN w:val="0"/>
        <w:bidi w:val="0"/>
        <w:adjustRightInd w:val="0"/>
        <w:snapToGrid w:val="0"/>
      </w:pPr>
      <w:bookmarkStart w:id="42" w:name="_Toc11623"/>
      <w:bookmarkStart w:id="43" w:name="_Toc7790"/>
      <w:bookmarkStart w:id="44" w:name="_Toc21869"/>
      <w:r>
        <w:rPr>
          <w:rFonts w:hint="eastAsia"/>
          <w:lang w:val="en-US" w:eastAsia="zh-CN"/>
        </w:rPr>
        <w:t>技能评价</w:t>
      </w:r>
      <w:bookmarkEnd w:id="42"/>
    </w:p>
    <w:p w14:paraId="34130CA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pPr>
      <w:r>
        <w:rPr>
          <w:rFonts w:hint="eastAsia" w:ascii="宋体" w:hAnsi="宋体" w:eastAsia="宋体" w:cs="宋体"/>
          <w:spacing w:val="-1"/>
          <w:sz w:val="24"/>
          <w:szCs w:val="24"/>
          <w:lang w:val="en-US" w:eastAsia="zh-CN"/>
        </w:rPr>
        <w:t>依据《技能评价管理制度》技能评价于12月第一周进行。</w:t>
      </w:r>
    </w:p>
    <w:p w14:paraId="76E187AE">
      <w:pPr>
        <w:pStyle w:val="27"/>
        <w:keepNext w:val="0"/>
        <w:keepLines w:val="0"/>
        <w:pageBreakBefore w:val="0"/>
        <w:widowControl w:val="0"/>
        <w:shd w:val="clear" w:color="auto" w:fill="auto"/>
        <w:kinsoku w:val="0"/>
        <w:wordWrap/>
        <w:overflowPunct/>
        <w:topLinePunct w:val="0"/>
        <w:autoSpaceDE w:val="0"/>
        <w:autoSpaceDN w:val="0"/>
        <w:bidi w:val="0"/>
        <w:adjustRightInd w:val="0"/>
        <w:snapToGrid w:val="0"/>
      </w:pPr>
      <w:bookmarkStart w:id="45" w:name="_Toc3244"/>
      <w:r>
        <w:t>资源方面</w:t>
      </w:r>
      <w:bookmarkEnd w:id="43"/>
      <w:bookmarkEnd w:id="44"/>
      <w:bookmarkEnd w:id="45"/>
    </w:p>
    <w:p w14:paraId="52FE2E44">
      <w:pPr>
        <w:pStyle w:val="29"/>
        <w:keepNext w:val="0"/>
        <w:keepLines w:val="0"/>
        <w:pageBreakBefore w:val="0"/>
        <w:widowControl w:val="0"/>
        <w:kinsoku w:val="0"/>
        <w:wordWrap/>
        <w:overflowPunct/>
        <w:topLinePunct w:val="0"/>
        <w:autoSpaceDE w:val="0"/>
        <w:autoSpaceDN w:val="0"/>
        <w:bidi w:val="0"/>
        <w:adjustRightInd w:val="0"/>
        <w:snapToGrid w:val="0"/>
      </w:pPr>
      <w:bookmarkStart w:id="46" w:name="_Toc24225"/>
      <w:r>
        <w:t>现状分析</w:t>
      </w:r>
      <w:bookmarkEnd w:id="46"/>
    </w:p>
    <w:p w14:paraId="5AA129E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经过多年的运行和发展，运维服务团队结合客户业务运维的特点，已形成一套适合我司信息化发展特点的</w:t>
      </w:r>
      <w:r>
        <w:rPr>
          <w:rFonts w:hint="eastAsia" w:ascii="宋体" w:hAnsi="宋体" w:eastAsia="宋体" w:cs="宋体"/>
          <w:spacing w:val="-2"/>
          <w:sz w:val="24"/>
          <w:szCs w:val="24"/>
          <w:lang w:val="en-US" w:eastAsia="zh-CN"/>
        </w:rPr>
        <w:t>资源</w:t>
      </w:r>
      <w:r>
        <w:rPr>
          <w:rFonts w:ascii="宋体" w:hAnsi="宋体" w:eastAsia="宋体" w:cs="宋体"/>
          <w:spacing w:val="-2"/>
          <w:sz w:val="24"/>
          <w:szCs w:val="24"/>
        </w:rPr>
        <w:t>管理规范，包括</w:t>
      </w:r>
      <w:r>
        <w:rPr>
          <w:rFonts w:hint="eastAsia" w:ascii="宋体" w:hAnsi="宋体" w:eastAsia="宋体" w:cs="宋体"/>
          <w:spacing w:val="-2"/>
          <w:sz w:val="24"/>
          <w:szCs w:val="24"/>
          <w:lang w:val="en-US" w:eastAsia="zh-CN"/>
        </w:rPr>
        <w:t>运维工具、服务台、备件库、服务知识、最终软件库和服务数据</w:t>
      </w:r>
      <w:r>
        <w:rPr>
          <w:rFonts w:ascii="宋体" w:hAnsi="宋体" w:eastAsia="宋体" w:cs="宋体"/>
          <w:spacing w:val="-2"/>
          <w:sz w:val="24"/>
          <w:szCs w:val="24"/>
        </w:rPr>
        <w:t xml:space="preserve">。现需要对这 </w:t>
      </w:r>
      <w:r>
        <w:rPr>
          <w:rFonts w:hint="eastAsia" w:ascii="宋体" w:hAnsi="宋体" w:eastAsia="宋体" w:cs="宋体"/>
          <w:spacing w:val="-2"/>
          <w:sz w:val="24"/>
          <w:szCs w:val="24"/>
          <w:lang w:val="en-US" w:eastAsia="zh-CN"/>
        </w:rPr>
        <w:t>6</w:t>
      </w:r>
      <w:r>
        <w:rPr>
          <w:rFonts w:ascii="宋体" w:hAnsi="宋体" w:eastAsia="宋体" w:cs="宋体"/>
          <w:spacing w:val="-2"/>
          <w:sz w:val="24"/>
          <w:szCs w:val="24"/>
        </w:rPr>
        <w:t xml:space="preserve"> 个</w:t>
      </w:r>
      <w:r>
        <w:rPr>
          <w:rFonts w:hint="eastAsia" w:ascii="宋体" w:hAnsi="宋体" w:eastAsia="宋体" w:cs="宋体"/>
          <w:spacing w:val="-2"/>
          <w:sz w:val="24"/>
          <w:szCs w:val="24"/>
          <w:lang w:val="en-US" w:eastAsia="zh-CN"/>
        </w:rPr>
        <w:t>资源</w:t>
      </w:r>
      <w:r>
        <w:rPr>
          <w:rFonts w:ascii="宋体" w:hAnsi="宋体" w:eastAsia="宋体" w:cs="宋体"/>
          <w:spacing w:val="-2"/>
          <w:sz w:val="24"/>
          <w:szCs w:val="24"/>
        </w:rPr>
        <w:t>进行持续落实与优化，持续改进</w:t>
      </w:r>
      <w:r>
        <w:rPr>
          <w:rFonts w:hint="eastAsia" w:ascii="宋体" w:hAnsi="宋体" w:eastAsia="宋体" w:cs="宋体"/>
          <w:spacing w:val="-2"/>
          <w:sz w:val="24"/>
          <w:szCs w:val="24"/>
          <w:lang w:val="en-US" w:eastAsia="zh-CN"/>
        </w:rPr>
        <w:t>最终软件库、服务数据</w:t>
      </w:r>
      <w:r>
        <w:rPr>
          <w:rFonts w:ascii="宋体" w:hAnsi="宋体" w:eastAsia="宋体" w:cs="宋体"/>
          <w:spacing w:val="-2"/>
          <w:sz w:val="24"/>
          <w:szCs w:val="24"/>
        </w:rPr>
        <w:t>等</w:t>
      </w:r>
      <w:r>
        <w:rPr>
          <w:rFonts w:hint="eastAsia" w:ascii="宋体" w:hAnsi="宋体" w:eastAsia="宋体" w:cs="宋体"/>
          <w:spacing w:val="-2"/>
          <w:sz w:val="24"/>
          <w:szCs w:val="24"/>
          <w:lang w:val="en-US" w:eastAsia="zh-CN"/>
        </w:rPr>
        <w:t>资源</w:t>
      </w:r>
      <w:r>
        <w:rPr>
          <w:rFonts w:ascii="宋体" w:hAnsi="宋体" w:eastAsia="宋体" w:cs="宋体"/>
          <w:spacing w:val="-2"/>
          <w:sz w:val="24"/>
          <w:szCs w:val="24"/>
        </w:rPr>
        <w:t>，以便在符合业务运行情况下满足ITSS相关要求。</w:t>
      </w:r>
    </w:p>
    <w:p w14:paraId="074CC4C3">
      <w:pPr>
        <w:pStyle w:val="29"/>
        <w:keepNext w:val="0"/>
        <w:keepLines w:val="0"/>
        <w:pageBreakBefore w:val="0"/>
        <w:widowControl w:val="0"/>
        <w:kinsoku w:val="0"/>
        <w:wordWrap/>
        <w:overflowPunct/>
        <w:topLinePunct w:val="0"/>
        <w:autoSpaceDE w:val="0"/>
        <w:autoSpaceDN w:val="0"/>
        <w:bidi w:val="0"/>
        <w:adjustRightInd w:val="0"/>
        <w:snapToGrid w:val="0"/>
      </w:pPr>
      <w:bookmarkStart w:id="47" w:name="_Toc29348"/>
      <w:r>
        <w:rPr>
          <w:rFonts w:hint="eastAsia"/>
          <w:lang w:val="en-US" w:eastAsia="zh-CN"/>
        </w:rPr>
        <w:t>改进目标</w:t>
      </w:r>
      <w:bookmarkEnd w:id="47"/>
    </w:p>
    <w:p w14:paraId="3B80FF55">
      <w:pPr>
        <w:pStyle w:val="30"/>
        <w:keepNext w:val="0"/>
        <w:keepLines w:val="0"/>
        <w:pageBreakBefore w:val="0"/>
        <w:widowControl w:val="0"/>
        <w:kinsoku w:val="0"/>
        <w:wordWrap/>
        <w:overflowPunct/>
        <w:topLinePunct w:val="0"/>
        <w:autoSpaceDE w:val="0"/>
        <w:autoSpaceDN w:val="0"/>
        <w:bidi w:val="0"/>
        <w:adjustRightInd w:val="0"/>
        <w:snapToGrid w:val="0"/>
      </w:pPr>
      <w:bookmarkStart w:id="48" w:name="_Toc19811"/>
      <w:r>
        <w:t>运维工具</w:t>
      </w:r>
      <w:bookmarkEnd w:id="48"/>
    </w:p>
    <w:p w14:paraId="24AB2BF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为了提高公司运维服务管理的效率和质量，落实运维工具使用，与运维工具研发团队沟通运维管理平台优化方案；定期对运维工具进行使用情况评估。</w:t>
      </w:r>
    </w:p>
    <w:p w14:paraId="7F2DA202">
      <w:pPr>
        <w:pStyle w:val="30"/>
        <w:keepNext w:val="0"/>
        <w:keepLines w:val="0"/>
        <w:pageBreakBefore w:val="0"/>
        <w:widowControl w:val="0"/>
        <w:kinsoku w:val="0"/>
        <w:wordWrap/>
        <w:overflowPunct/>
        <w:topLinePunct w:val="0"/>
        <w:autoSpaceDE w:val="0"/>
        <w:autoSpaceDN w:val="0"/>
        <w:bidi w:val="0"/>
        <w:adjustRightInd w:val="0"/>
        <w:snapToGrid w:val="0"/>
      </w:pPr>
      <w:bookmarkStart w:id="49" w:name="_Toc7036"/>
      <w:r>
        <w:t>服务台建设</w:t>
      </w:r>
      <w:bookmarkEnd w:id="49"/>
    </w:p>
    <w:p w14:paraId="4CD4802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计划在 2025年度中，严格要求服务台人员的操作，并完成服务请求应答工作，并优化服务台人员的绩效考核指标并按照考核周期进行考核。对服务台人员录入事件的完整性按季度进行考核，目标值为≥95%。保证服务台人员适合其岗位能力的要求，持续改进服务台的服务水平，对服务台人员加强业务培训，持续提高一线业务解决率。</w:t>
      </w:r>
    </w:p>
    <w:p w14:paraId="0D81A3EB">
      <w:pPr>
        <w:pStyle w:val="30"/>
        <w:keepNext w:val="0"/>
        <w:keepLines w:val="0"/>
        <w:pageBreakBefore w:val="0"/>
        <w:widowControl w:val="0"/>
        <w:kinsoku w:val="0"/>
        <w:wordWrap/>
        <w:overflowPunct/>
        <w:topLinePunct w:val="0"/>
        <w:autoSpaceDE w:val="0"/>
        <w:autoSpaceDN w:val="0"/>
        <w:bidi w:val="0"/>
        <w:adjustRightInd w:val="0"/>
        <w:snapToGrid w:val="0"/>
      </w:pPr>
      <w:bookmarkStart w:id="50" w:name="_Toc28193"/>
      <w:r>
        <w:t>备品备件</w:t>
      </w:r>
      <w:bookmarkEnd w:id="50"/>
    </w:p>
    <w:p w14:paraId="4054281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z w:val="24"/>
          <w:szCs w:val="24"/>
        </w:rPr>
      </w:pPr>
      <w:r>
        <w:rPr>
          <w:rFonts w:hint="eastAsia" w:ascii="宋体" w:hAnsi="宋体" w:eastAsia="宋体" w:cs="宋体"/>
          <w:spacing w:val="-2"/>
          <w:sz w:val="24"/>
          <w:szCs w:val="24"/>
          <w:lang w:val="en-US" w:eastAsia="zh-CN"/>
        </w:rPr>
        <w:t>计划在2025年度中，对备件库管理表单进行优化、发布，做好备件采购、报废处理以及供应商评估等工作。备件管理员对库存备件持续定期进行盘点,盘点范围包括：单、物相符，要求库存备件数据准确率能够达到≥99%，且备件可用率达到 95%的目标值。</w:t>
      </w:r>
    </w:p>
    <w:p w14:paraId="26A06636">
      <w:pPr>
        <w:pStyle w:val="30"/>
        <w:keepNext w:val="0"/>
        <w:keepLines w:val="0"/>
        <w:pageBreakBefore w:val="0"/>
        <w:widowControl w:val="0"/>
        <w:kinsoku w:val="0"/>
        <w:wordWrap/>
        <w:overflowPunct/>
        <w:topLinePunct w:val="0"/>
        <w:autoSpaceDE w:val="0"/>
        <w:autoSpaceDN w:val="0"/>
        <w:bidi w:val="0"/>
        <w:adjustRightInd w:val="0"/>
        <w:snapToGrid w:val="0"/>
      </w:pPr>
      <w:bookmarkStart w:id="51" w:name="_Toc30609"/>
      <w:r>
        <w:rPr>
          <w:rFonts w:hint="eastAsia"/>
          <w:lang w:val="en-US" w:eastAsia="zh-CN"/>
        </w:rPr>
        <w:t>服务</w:t>
      </w:r>
      <w:r>
        <w:t>知识</w:t>
      </w:r>
      <w:bookmarkEnd w:id="51"/>
    </w:p>
    <w:p w14:paraId="7859222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在2025年度中，持续对运维相关人员进行运维服务知识库的培训，并根据业务、项目对知识进行有效的分类、索引，以便于为事件和问题处理提供有效的、可用的、系统化的知识。另外，对知识条目进行重新梳理分类，根据知识条目的具体内容和信息安全要求，设置信息安全权限，设定灵活的搜索、查询功能，并且对条目的使用进行实用性评估。并且对知识库的管理指标为：季度新增知识条目≥40 条。</w:t>
      </w:r>
    </w:p>
    <w:p w14:paraId="5D883016">
      <w:pPr>
        <w:pStyle w:val="30"/>
        <w:keepNext w:val="0"/>
        <w:keepLines w:val="0"/>
        <w:pageBreakBefore w:val="0"/>
        <w:widowControl w:val="0"/>
        <w:kinsoku w:val="0"/>
        <w:wordWrap/>
        <w:overflowPunct/>
        <w:topLinePunct w:val="0"/>
        <w:autoSpaceDE w:val="0"/>
        <w:autoSpaceDN w:val="0"/>
        <w:bidi w:val="0"/>
        <w:adjustRightInd w:val="0"/>
        <w:snapToGrid w:val="0"/>
      </w:pPr>
      <w:bookmarkStart w:id="52" w:name="_Toc28309"/>
      <w:r>
        <w:rPr>
          <w:rFonts w:hint="eastAsia"/>
          <w:lang w:val="en-US" w:eastAsia="zh-CN"/>
        </w:rPr>
        <w:t>最终软件库</w:t>
      </w:r>
      <w:bookmarkEnd w:id="52"/>
    </w:p>
    <w:p w14:paraId="094B7EF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严格按照最终软件库管理制度开展工作,提高公司运维服务管理的效率和质量，软件版本正确率达到95%以上。</w:t>
      </w:r>
    </w:p>
    <w:p w14:paraId="20326215">
      <w:pPr>
        <w:pStyle w:val="30"/>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bookmarkStart w:id="53" w:name="_Toc18752"/>
      <w:r>
        <w:rPr>
          <w:rFonts w:hint="eastAsia"/>
          <w:lang w:val="en-US" w:eastAsia="zh-CN"/>
        </w:rPr>
        <w:t>服务数据</w:t>
      </w:r>
      <w:bookmarkEnd w:id="53"/>
    </w:p>
    <w:p w14:paraId="4658B72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textAlignment w:val="baseline"/>
      </w:pPr>
      <w:r>
        <w:rPr>
          <w:rFonts w:hint="eastAsia" w:ascii="宋体" w:hAnsi="宋体" w:eastAsia="宋体" w:cs="宋体"/>
          <w:spacing w:val="-2"/>
          <w:sz w:val="24"/>
          <w:szCs w:val="24"/>
          <w:lang w:val="en-US" w:eastAsia="zh-CN"/>
        </w:rPr>
        <w:t>严格按照服务数据管理规范进行数据出入库管理,提高公司运维服务管理的效率和质量，服务数据评估次数每季度至少进行一次。</w:t>
      </w:r>
    </w:p>
    <w:p w14:paraId="2E6EF9D8">
      <w:pPr>
        <w:pStyle w:val="29"/>
        <w:keepNext w:val="0"/>
        <w:keepLines w:val="0"/>
        <w:pageBreakBefore w:val="0"/>
        <w:widowControl w:val="0"/>
        <w:kinsoku w:val="0"/>
        <w:wordWrap/>
        <w:overflowPunct/>
        <w:topLinePunct w:val="0"/>
        <w:autoSpaceDE w:val="0"/>
        <w:autoSpaceDN w:val="0"/>
        <w:bidi w:val="0"/>
        <w:adjustRightInd w:val="0"/>
        <w:snapToGrid w:val="0"/>
      </w:pPr>
      <w:bookmarkStart w:id="54" w:name="_Toc19718"/>
      <w:r>
        <w:rPr>
          <w:rFonts w:hint="eastAsia"/>
          <w:lang w:val="en-US" w:eastAsia="zh-CN"/>
        </w:rPr>
        <w:t>实施计划</w:t>
      </w:r>
      <w:bookmarkEnd w:id="54"/>
    </w:p>
    <w:p w14:paraId="720B1336">
      <w:pPr>
        <w:pStyle w:val="28"/>
      </w:pPr>
      <w:bookmarkStart w:id="155" w:name="_GoBack"/>
      <w:bookmarkEnd w:id="155"/>
    </w:p>
    <w:tbl>
      <w:tblPr>
        <w:tblStyle w:val="24"/>
        <w:tblW w:w="9359" w:type="dxa"/>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61"/>
        <w:gridCol w:w="1598"/>
        <w:gridCol w:w="1099"/>
        <w:gridCol w:w="3001"/>
      </w:tblGrid>
      <w:tr w14:paraId="49CE8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3661" w:type="dxa"/>
          </w:tcPr>
          <w:p w14:paraId="35924F8A">
            <w:pPr>
              <w:pStyle w:val="25"/>
              <w:keepNext w:val="0"/>
              <w:keepLines w:val="0"/>
              <w:pageBreakBefore w:val="0"/>
              <w:widowControl w:val="0"/>
              <w:kinsoku w:val="0"/>
              <w:wordWrap/>
              <w:overflowPunct/>
              <w:topLinePunct w:val="0"/>
              <w:autoSpaceDE w:val="0"/>
              <w:autoSpaceDN w:val="0"/>
              <w:bidi w:val="0"/>
              <w:adjustRightInd w:val="0"/>
              <w:snapToGrid w:val="0"/>
              <w:spacing w:before="145" w:line="222" w:lineRule="auto"/>
              <w:ind w:left="1635"/>
              <w:rPr>
                <w:sz w:val="20"/>
                <w:szCs w:val="20"/>
              </w:rPr>
            </w:pPr>
            <w:bookmarkStart w:id="55" w:name="_Toc12586"/>
            <w:bookmarkStart w:id="56" w:name="_Toc28221"/>
            <w:r>
              <w:rPr>
                <w:b/>
                <w:bCs/>
                <w:spacing w:val="-5"/>
                <w:sz w:val="20"/>
                <w:szCs w:val="20"/>
              </w:rPr>
              <w:t>名称</w:t>
            </w:r>
          </w:p>
        </w:tc>
        <w:tc>
          <w:tcPr>
            <w:tcW w:w="1598" w:type="dxa"/>
          </w:tcPr>
          <w:p w14:paraId="1ACFF882">
            <w:pPr>
              <w:pStyle w:val="25"/>
              <w:keepNext w:val="0"/>
              <w:keepLines w:val="0"/>
              <w:pageBreakBefore w:val="0"/>
              <w:widowControl w:val="0"/>
              <w:kinsoku w:val="0"/>
              <w:wordWrap/>
              <w:overflowPunct/>
              <w:topLinePunct w:val="0"/>
              <w:autoSpaceDE w:val="0"/>
              <w:autoSpaceDN w:val="0"/>
              <w:bidi w:val="0"/>
              <w:adjustRightInd w:val="0"/>
              <w:snapToGrid w:val="0"/>
              <w:spacing w:before="146" w:line="220" w:lineRule="auto"/>
              <w:ind w:left="201"/>
              <w:rPr>
                <w:sz w:val="20"/>
                <w:szCs w:val="20"/>
              </w:rPr>
            </w:pPr>
            <w:r>
              <w:rPr>
                <w:b/>
                <w:bCs/>
                <w:spacing w:val="-4"/>
                <w:sz w:val="20"/>
                <w:szCs w:val="20"/>
              </w:rPr>
              <w:t>计划实施时间</w:t>
            </w:r>
          </w:p>
        </w:tc>
        <w:tc>
          <w:tcPr>
            <w:tcW w:w="1099" w:type="dxa"/>
          </w:tcPr>
          <w:p w14:paraId="2C553030">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61"/>
              <w:rPr>
                <w:sz w:val="20"/>
                <w:szCs w:val="20"/>
              </w:rPr>
            </w:pPr>
            <w:r>
              <w:rPr>
                <w:b/>
                <w:bCs/>
                <w:spacing w:val="-6"/>
                <w:sz w:val="20"/>
                <w:szCs w:val="20"/>
              </w:rPr>
              <w:t>负责部门</w:t>
            </w:r>
          </w:p>
        </w:tc>
        <w:tc>
          <w:tcPr>
            <w:tcW w:w="3001" w:type="dxa"/>
          </w:tcPr>
          <w:p w14:paraId="3D2611E6">
            <w:pPr>
              <w:pStyle w:val="25"/>
              <w:keepNext w:val="0"/>
              <w:keepLines w:val="0"/>
              <w:pageBreakBefore w:val="0"/>
              <w:widowControl w:val="0"/>
              <w:kinsoku w:val="0"/>
              <w:wordWrap/>
              <w:overflowPunct/>
              <w:topLinePunct w:val="0"/>
              <w:autoSpaceDE w:val="0"/>
              <w:autoSpaceDN w:val="0"/>
              <w:bidi w:val="0"/>
              <w:adjustRightInd w:val="0"/>
              <w:snapToGrid w:val="0"/>
              <w:spacing w:before="146" w:line="220" w:lineRule="auto"/>
              <w:ind w:left="1206"/>
              <w:rPr>
                <w:sz w:val="20"/>
                <w:szCs w:val="20"/>
              </w:rPr>
            </w:pPr>
            <w:r>
              <w:rPr>
                <w:b/>
                <w:bCs/>
                <w:spacing w:val="-5"/>
                <w:sz w:val="20"/>
                <w:szCs w:val="20"/>
              </w:rPr>
              <w:t>成果物</w:t>
            </w:r>
          </w:p>
        </w:tc>
      </w:tr>
      <w:tr w14:paraId="1BBB9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3661" w:type="dxa"/>
          </w:tcPr>
          <w:p w14:paraId="54D8B7A2">
            <w:pPr>
              <w:pStyle w:val="25"/>
              <w:keepNext w:val="0"/>
              <w:keepLines w:val="0"/>
              <w:pageBreakBefore w:val="0"/>
              <w:widowControl w:val="0"/>
              <w:kinsoku w:val="0"/>
              <w:wordWrap/>
              <w:overflowPunct/>
              <w:topLinePunct w:val="0"/>
              <w:autoSpaceDE w:val="0"/>
              <w:autoSpaceDN w:val="0"/>
              <w:bidi w:val="0"/>
              <w:adjustRightInd w:val="0"/>
              <w:snapToGrid w:val="0"/>
              <w:spacing w:before="141" w:line="221" w:lineRule="auto"/>
              <w:ind w:left="114"/>
              <w:rPr>
                <w:sz w:val="20"/>
                <w:szCs w:val="20"/>
              </w:rPr>
            </w:pPr>
            <w:r>
              <w:rPr>
                <w:b/>
                <w:bCs/>
                <w:spacing w:val="-7"/>
                <w:sz w:val="20"/>
                <w:szCs w:val="20"/>
              </w:rPr>
              <w:t>一、工具</w:t>
            </w:r>
          </w:p>
        </w:tc>
        <w:tc>
          <w:tcPr>
            <w:tcW w:w="1598" w:type="dxa"/>
          </w:tcPr>
          <w:p w14:paraId="594217CE">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Pr>
          <w:p w14:paraId="76E81C67">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3001" w:type="dxa"/>
          </w:tcPr>
          <w:p w14:paraId="60DD3757">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r w14:paraId="31740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5F283EC8">
            <w:pPr>
              <w:keepNext w:val="0"/>
              <w:keepLines w:val="0"/>
              <w:pageBreakBefore w:val="0"/>
              <w:widowControl w:val="0"/>
              <w:kinsoku w:val="0"/>
              <w:wordWrap/>
              <w:overflowPunct/>
              <w:topLinePunct w:val="0"/>
              <w:autoSpaceDE w:val="0"/>
              <w:autoSpaceDN w:val="0"/>
              <w:bidi w:val="0"/>
              <w:adjustRightInd w:val="0"/>
              <w:snapToGrid w:val="0"/>
              <w:spacing w:line="320" w:lineRule="auto"/>
              <w:rPr>
                <w:rFonts w:ascii="Arial"/>
                <w:sz w:val="21"/>
              </w:rPr>
            </w:pPr>
          </w:p>
          <w:p w14:paraId="30EE9F51">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0"/>
              <w:rPr>
                <w:sz w:val="20"/>
                <w:szCs w:val="20"/>
              </w:rPr>
            </w:pPr>
            <w:r>
              <w:rPr>
                <w:spacing w:val="-1"/>
                <w:sz w:val="20"/>
                <w:szCs w:val="20"/>
              </w:rPr>
              <w:t>运维工具的使用培训</w:t>
            </w:r>
          </w:p>
        </w:tc>
        <w:tc>
          <w:tcPr>
            <w:tcW w:w="1598" w:type="dxa"/>
          </w:tcPr>
          <w:p w14:paraId="5A8CFAC2">
            <w:pPr>
              <w:keepNext w:val="0"/>
              <w:keepLines w:val="0"/>
              <w:pageBreakBefore w:val="0"/>
              <w:widowControl w:val="0"/>
              <w:kinsoku w:val="0"/>
              <w:wordWrap/>
              <w:overflowPunct/>
              <w:topLinePunct w:val="0"/>
              <w:autoSpaceDE w:val="0"/>
              <w:autoSpaceDN w:val="0"/>
              <w:bidi w:val="0"/>
              <w:adjustRightInd w:val="0"/>
              <w:snapToGrid w:val="0"/>
              <w:spacing w:line="320" w:lineRule="auto"/>
              <w:rPr>
                <w:rFonts w:ascii="Arial"/>
                <w:sz w:val="21"/>
              </w:rPr>
            </w:pPr>
          </w:p>
          <w:p w14:paraId="3C185DCD">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jc w:val="center"/>
              <w:rPr>
                <w:rFonts w:hint="default" w:eastAsia="宋体"/>
                <w:sz w:val="20"/>
                <w:szCs w:val="20"/>
                <w:lang w:val="en-US" w:eastAsia="zh-CN"/>
              </w:rPr>
            </w:pPr>
            <w:r>
              <w:rPr>
                <w:rFonts w:hint="eastAsia"/>
                <w:spacing w:val="-5"/>
                <w:sz w:val="20"/>
                <w:szCs w:val="20"/>
                <w:lang w:val="en-US" w:eastAsia="zh-CN"/>
              </w:rPr>
              <w:t>1月、6月</w:t>
            </w:r>
          </w:p>
        </w:tc>
        <w:tc>
          <w:tcPr>
            <w:tcW w:w="1099" w:type="dxa"/>
          </w:tcPr>
          <w:p w14:paraId="6C50E7A2">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p>
          <w:p w14:paraId="1296FCDD">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综合部</w:t>
            </w:r>
          </w:p>
        </w:tc>
        <w:tc>
          <w:tcPr>
            <w:tcW w:w="3001" w:type="dxa"/>
          </w:tcPr>
          <w:p w14:paraId="033B3357">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1EE26D29">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培训记录</w:t>
            </w:r>
          </w:p>
        </w:tc>
      </w:tr>
      <w:tr w14:paraId="4C7E1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75761603">
            <w:pPr>
              <w:keepNext w:val="0"/>
              <w:keepLines w:val="0"/>
              <w:pageBreakBefore w:val="0"/>
              <w:widowControl w:val="0"/>
              <w:kinsoku w:val="0"/>
              <w:wordWrap/>
              <w:overflowPunct/>
              <w:topLinePunct w:val="0"/>
              <w:autoSpaceDE w:val="0"/>
              <w:autoSpaceDN w:val="0"/>
              <w:bidi w:val="0"/>
              <w:adjustRightInd w:val="0"/>
              <w:snapToGrid w:val="0"/>
              <w:spacing w:line="322" w:lineRule="auto"/>
              <w:rPr>
                <w:rFonts w:ascii="Arial"/>
                <w:sz w:val="21"/>
              </w:rPr>
            </w:pPr>
          </w:p>
          <w:p w14:paraId="2A6EA091">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0"/>
              <w:rPr>
                <w:sz w:val="20"/>
                <w:szCs w:val="20"/>
              </w:rPr>
            </w:pPr>
            <w:r>
              <w:rPr>
                <w:spacing w:val="-1"/>
                <w:sz w:val="20"/>
                <w:szCs w:val="20"/>
              </w:rPr>
              <w:t>运维工具的持续改进</w:t>
            </w:r>
          </w:p>
        </w:tc>
        <w:tc>
          <w:tcPr>
            <w:tcW w:w="1598" w:type="dxa"/>
          </w:tcPr>
          <w:p w14:paraId="0174F86F">
            <w:pPr>
              <w:keepNext w:val="0"/>
              <w:keepLines w:val="0"/>
              <w:pageBreakBefore w:val="0"/>
              <w:widowControl w:val="0"/>
              <w:kinsoku w:val="0"/>
              <w:wordWrap/>
              <w:overflowPunct/>
              <w:topLinePunct w:val="0"/>
              <w:autoSpaceDE w:val="0"/>
              <w:autoSpaceDN w:val="0"/>
              <w:bidi w:val="0"/>
              <w:adjustRightInd w:val="0"/>
              <w:snapToGrid w:val="0"/>
              <w:spacing w:line="322" w:lineRule="auto"/>
              <w:rPr>
                <w:rFonts w:ascii="Arial"/>
                <w:sz w:val="21"/>
              </w:rPr>
            </w:pPr>
          </w:p>
          <w:p w14:paraId="75E4F8A1">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01"/>
              <w:rPr>
                <w:sz w:val="20"/>
                <w:szCs w:val="20"/>
              </w:rPr>
            </w:pPr>
            <w:r>
              <w:rPr>
                <w:spacing w:val="-2"/>
                <w:sz w:val="20"/>
                <w:szCs w:val="20"/>
              </w:rPr>
              <w:t>全年</w:t>
            </w:r>
          </w:p>
        </w:tc>
        <w:tc>
          <w:tcPr>
            <w:tcW w:w="1099" w:type="dxa"/>
          </w:tcPr>
          <w:p w14:paraId="4499E2F2">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75A73A2A">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111E6005">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《360安全云数字协作平台-工单二次开发-需求规格书》</w:t>
            </w:r>
          </w:p>
        </w:tc>
      </w:tr>
      <w:tr w14:paraId="1C0E4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3661" w:type="dxa"/>
          </w:tcPr>
          <w:p w14:paraId="14DD48C0">
            <w:pPr>
              <w:pStyle w:val="25"/>
              <w:keepNext w:val="0"/>
              <w:keepLines w:val="0"/>
              <w:pageBreakBefore w:val="0"/>
              <w:widowControl w:val="0"/>
              <w:kinsoku w:val="0"/>
              <w:wordWrap/>
              <w:overflowPunct/>
              <w:topLinePunct w:val="0"/>
              <w:autoSpaceDE w:val="0"/>
              <w:autoSpaceDN w:val="0"/>
              <w:bidi w:val="0"/>
              <w:adjustRightInd w:val="0"/>
              <w:snapToGrid w:val="0"/>
              <w:spacing w:before="146" w:line="220" w:lineRule="auto"/>
              <w:ind w:left="114"/>
              <w:rPr>
                <w:sz w:val="20"/>
                <w:szCs w:val="20"/>
              </w:rPr>
            </w:pPr>
            <w:r>
              <w:rPr>
                <w:b/>
                <w:bCs/>
                <w:spacing w:val="-4"/>
                <w:sz w:val="20"/>
                <w:szCs w:val="20"/>
              </w:rPr>
              <w:t>二、服务台</w:t>
            </w:r>
          </w:p>
        </w:tc>
        <w:tc>
          <w:tcPr>
            <w:tcW w:w="1598" w:type="dxa"/>
          </w:tcPr>
          <w:p w14:paraId="01A9E6F2">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Pr>
          <w:p w14:paraId="4ADD2201">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p>
        </w:tc>
        <w:tc>
          <w:tcPr>
            <w:tcW w:w="3001" w:type="dxa"/>
          </w:tcPr>
          <w:p w14:paraId="5D13BC08">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tc>
      </w:tr>
      <w:tr w14:paraId="4A8F8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45447B0B">
            <w:pPr>
              <w:keepNext w:val="0"/>
              <w:keepLines w:val="0"/>
              <w:pageBreakBefore w:val="0"/>
              <w:widowControl w:val="0"/>
              <w:kinsoku w:val="0"/>
              <w:wordWrap/>
              <w:overflowPunct/>
              <w:topLinePunct w:val="0"/>
              <w:autoSpaceDE w:val="0"/>
              <w:autoSpaceDN w:val="0"/>
              <w:bidi w:val="0"/>
              <w:adjustRightInd w:val="0"/>
              <w:snapToGrid w:val="0"/>
              <w:spacing w:line="324" w:lineRule="auto"/>
              <w:rPr>
                <w:rFonts w:ascii="Arial"/>
                <w:sz w:val="21"/>
              </w:rPr>
            </w:pPr>
          </w:p>
          <w:p w14:paraId="66894EBB">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0"/>
              <w:rPr>
                <w:sz w:val="20"/>
                <w:szCs w:val="20"/>
              </w:rPr>
            </w:pPr>
            <w:r>
              <w:rPr>
                <w:spacing w:val="-1"/>
                <w:sz w:val="20"/>
                <w:szCs w:val="20"/>
              </w:rPr>
              <w:t>优化服务台人员的绩效考核指标</w:t>
            </w:r>
          </w:p>
        </w:tc>
        <w:tc>
          <w:tcPr>
            <w:tcW w:w="1598" w:type="dxa"/>
          </w:tcPr>
          <w:p w14:paraId="56055680">
            <w:pPr>
              <w:keepNext w:val="0"/>
              <w:keepLines w:val="0"/>
              <w:pageBreakBefore w:val="0"/>
              <w:widowControl w:val="0"/>
              <w:kinsoku w:val="0"/>
              <w:wordWrap/>
              <w:overflowPunct/>
              <w:topLinePunct w:val="0"/>
              <w:autoSpaceDE w:val="0"/>
              <w:autoSpaceDN w:val="0"/>
              <w:bidi w:val="0"/>
              <w:adjustRightInd w:val="0"/>
              <w:snapToGrid w:val="0"/>
              <w:spacing w:line="324" w:lineRule="auto"/>
              <w:rPr>
                <w:rFonts w:ascii="Arial"/>
                <w:sz w:val="21"/>
              </w:rPr>
            </w:pPr>
          </w:p>
          <w:p w14:paraId="6036C7B1">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41"/>
              <w:rPr>
                <w:sz w:val="20"/>
                <w:szCs w:val="20"/>
              </w:rPr>
            </w:pPr>
            <w:r>
              <w:rPr>
                <w:spacing w:val="-8"/>
                <w:sz w:val="20"/>
                <w:szCs w:val="20"/>
              </w:rPr>
              <w:t>1月上旬</w:t>
            </w:r>
          </w:p>
        </w:tc>
        <w:tc>
          <w:tcPr>
            <w:tcW w:w="1099" w:type="dxa"/>
          </w:tcPr>
          <w:p w14:paraId="34A3013B">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75185BF1">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40ACC644">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服务台人员绩效考核表</w:t>
            </w:r>
          </w:p>
        </w:tc>
      </w:tr>
      <w:tr w14:paraId="71B7C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4E991FF8">
            <w:pPr>
              <w:keepNext w:val="0"/>
              <w:keepLines w:val="0"/>
              <w:pageBreakBefore w:val="0"/>
              <w:widowControl w:val="0"/>
              <w:kinsoku w:val="0"/>
              <w:wordWrap/>
              <w:overflowPunct/>
              <w:topLinePunct w:val="0"/>
              <w:autoSpaceDE w:val="0"/>
              <w:autoSpaceDN w:val="0"/>
              <w:bidi w:val="0"/>
              <w:adjustRightInd w:val="0"/>
              <w:snapToGrid w:val="0"/>
              <w:spacing w:line="325" w:lineRule="auto"/>
              <w:rPr>
                <w:rFonts w:ascii="Arial"/>
                <w:sz w:val="21"/>
              </w:rPr>
            </w:pPr>
          </w:p>
          <w:p w14:paraId="5561685E">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09"/>
              <w:rPr>
                <w:sz w:val="20"/>
                <w:szCs w:val="20"/>
              </w:rPr>
            </w:pPr>
            <w:r>
              <w:rPr>
                <w:spacing w:val="-1"/>
                <w:sz w:val="20"/>
                <w:szCs w:val="20"/>
              </w:rPr>
              <w:t>跟踪考核季度录入事件的完整性</w:t>
            </w:r>
          </w:p>
        </w:tc>
        <w:tc>
          <w:tcPr>
            <w:tcW w:w="1598" w:type="dxa"/>
          </w:tcPr>
          <w:p w14:paraId="72C3EEA5">
            <w:pPr>
              <w:keepNext w:val="0"/>
              <w:keepLines w:val="0"/>
              <w:pageBreakBefore w:val="0"/>
              <w:widowControl w:val="0"/>
              <w:kinsoku w:val="0"/>
              <w:wordWrap/>
              <w:overflowPunct/>
              <w:topLinePunct w:val="0"/>
              <w:autoSpaceDE w:val="0"/>
              <w:autoSpaceDN w:val="0"/>
              <w:bidi w:val="0"/>
              <w:adjustRightInd w:val="0"/>
              <w:snapToGrid w:val="0"/>
              <w:spacing w:line="325" w:lineRule="auto"/>
              <w:rPr>
                <w:rFonts w:ascii="Arial"/>
                <w:sz w:val="21"/>
              </w:rPr>
            </w:pPr>
          </w:p>
          <w:p w14:paraId="4D58FB7B">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01"/>
              <w:rPr>
                <w:sz w:val="20"/>
                <w:szCs w:val="20"/>
              </w:rPr>
            </w:pPr>
            <w:r>
              <w:rPr>
                <w:spacing w:val="-2"/>
                <w:sz w:val="20"/>
                <w:szCs w:val="20"/>
              </w:rPr>
              <w:t>全年</w:t>
            </w:r>
          </w:p>
        </w:tc>
        <w:tc>
          <w:tcPr>
            <w:tcW w:w="1099" w:type="dxa"/>
          </w:tcPr>
          <w:p w14:paraId="1D4C7670">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3F40B986">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19F6CF1B">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事件过程相关记录</w:t>
            </w:r>
          </w:p>
        </w:tc>
      </w:tr>
      <w:tr w14:paraId="1E1B6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2" w:hRule="atLeast"/>
        </w:trPr>
        <w:tc>
          <w:tcPr>
            <w:tcW w:w="3661" w:type="dxa"/>
          </w:tcPr>
          <w:p w14:paraId="517FB055">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14:paraId="7B212CDC">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96"/>
              <w:rPr>
                <w:sz w:val="20"/>
                <w:szCs w:val="20"/>
              </w:rPr>
            </w:pPr>
            <w:r>
              <w:rPr>
                <w:spacing w:val="-1"/>
                <w:sz w:val="20"/>
                <w:szCs w:val="20"/>
              </w:rPr>
              <w:t>“服务台人员操作流程</w:t>
            </w:r>
            <w:r>
              <w:rPr>
                <w:spacing w:val="-73"/>
                <w:sz w:val="20"/>
                <w:szCs w:val="20"/>
              </w:rPr>
              <w:t xml:space="preserve"> </w:t>
            </w:r>
            <w:r>
              <w:rPr>
                <w:spacing w:val="-1"/>
                <w:sz w:val="20"/>
                <w:szCs w:val="20"/>
              </w:rPr>
              <w:t>”的培训</w:t>
            </w:r>
          </w:p>
        </w:tc>
        <w:tc>
          <w:tcPr>
            <w:tcW w:w="1598" w:type="dxa"/>
          </w:tcPr>
          <w:p w14:paraId="5D2033B2">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14:paraId="17E08A0D">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50"/>
              <w:rPr>
                <w:sz w:val="20"/>
                <w:szCs w:val="20"/>
              </w:rPr>
            </w:pPr>
            <w:r>
              <w:rPr>
                <w:spacing w:val="-4"/>
                <w:sz w:val="20"/>
                <w:szCs w:val="20"/>
              </w:rPr>
              <w:t>4</w:t>
            </w:r>
            <w:r>
              <w:rPr>
                <w:spacing w:val="-38"/>
                <w:sz w:val="20"/>
                <w:szCs w:val="20"/>
              </w:rPr>
              <w:t xml:space="preserve"> </w:t>
            </w:r>
            <w:r>
              <w:rPr>
                <w:spacing w:val="-4"/>
                <w:sz w:val="20"/>
                <w:szCs w:val="20"/>
              </w:rPr>
              <w:t>月、9</w:t>
            </w:r>
            <w:r>
              <w:rPr>
                <w:spacing w:val="-38"/>
                <w:sz w:val="20"/>
                <w:szCs w:val="20"/>
              </w:rPr>
              <w:t xml:space="preserve"> </w:t>
            </w:r>
            <w:r>
              <w:rPr>
                <w:spacing w:val="-4"/>
                <w:sz w:val="20"/>
                <w:szCs w:val="20"/>
              </w:rPr>
              <w:t>月</w:t>
            </w:r>
          </w:p>
        </w:tc>
        <w:tc>
          <w:tcPr>
            <w:tcW w:w="1099" w:type="dxa"/>
          </w:tcPr>
          <w:p w14:paraId="254815B2">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综合部</w:t>
            </w:r>
          </w:p>
        </w:tc>
        <w:tc>
          <w:tcPr>
            <w:tcW w:w="3001" w:type="dxa"/>
          </w:tcPr>
          <w:p w14:paraId="6CA693A5">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28DF5CA6">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《培训记录》</w:t>
            </w:r>
          </w:p>
        </w:tc>
      </w:tr>
      <w:tr w14:paraId="3F694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3661" w:type="dxa"/>
            <w:tcBorders>
              <w:top w:val="nil"/>
            </w:tcBorders>
          </w:tcPr>
          <w:p w14:paraId="5A4054CF">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10"/>
              <w:rPr>
                <w:sz w:val="20"/>
                <w:szCs w:val="20"/>
              </w:rPr>
            </w:pPr>
            <w:r>
              <w:rPr>
                <w:b/>
                <w:bCs/>
                <w:spacing w:val="-4"/>
                <w:sz w:val="20"/>
                <w:szCs w:val="20"/>
              </w:rPr>
              <w:t>三、备品备件库</w:t>
            </w:r>
          </w:p>
        </w:tc>
        <w:tc>
          <w:tcPr>
            <w:tcW w:w="1598" w:type="dxa"/>
            <w:tcBorders>
              <w:top w:val="nil"/>
            </w:tcBorders>
          </w:tcPr>
          <w:p w14:paraId="38D300D8">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Borders>
              <w:top w:val="nil"/>
            </w:tcBorders>
          </w:tcPr>
          <w:p w14:paraId="67ADE62B">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p>
        </w:tc>
        <w:tc>
          <w:tcPr>
            <w:tcW w:w="3001" w:type="dxa"/>
            <w:tcBorders>
              <w:top w:val="nil"/>
            </w:tcBorders>
          </w:tcPr>
          <w:p w14:paraId="675DDDC6">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tc>
      </w:tr>
      <w:tr w14:paraId="518B0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405713C2">
            <w:pPr>
              <w:keepNext w:val="0"/>
              <w:keepLines w:val="0"/>
              <w:pageBreakBefore w:val="0"/>
              <w:widowControl w:val="0"/>
              <w:kinsoku w:val="0"/>
              <w:wordWrap/>
              <w:overflowPunct/>
              <w:topLinePunct w:val="0"/>
              <w:autoSpaceDE w:val="0"/>
              <w:autoSpaceDN w:val="0"/>
              <w:bidi w:val="0"/>
              <w:adjustRightInd w:val="0"/>
              <w:snapToGrid w:val="0"/>
              <w:spacing w:line="318" w:lineRule="auto"/>
              <w:rPr>
                <w:rFonts w:ascii="Arial"/>
                <w:sz w:val="21"/>
              </w:rPr>
            </w:pPr>
          </w:p>
          <w:p w14:paraId="1415DA1F">
            <w:pPr>
              <w:pStyle w:val="25"/>
              <w:keepNext w:val="0"/>
              <w:keepLines w:val="0"/>
              <w:pageBreakBefore w:val="0"/>
              <w:widowControl w:val="0"/>
              <w:kinsoku w:val="0"/>
              <w:wordWrap/>
              <w:overflowPunct/>
              <w:topLinePunct w:val="0"/>
              <w:autoSpaceDE w:val="0"/>
              <w:autoSpaceDN w:val="0"/>
              <w:bidi w:val="0"/>
              <w:adjustRightInd w:val="0"/>
              <w:snapToGrid w:val="0"/>
              <w:spacing w:before="65" w:line="219" w:lineRule="auto"/>
              <w:ind w:left="113"/>
              <w:rPr>
                <w:sz w:val="20"/>
                <w:szCs w:val="20"/>
              </w:rPr>
            </w:pPr>
            <w:r>
              <w:rPr>
                <w:spacing w:val="-1"/>
                <w:sz w:val="20"/>
                <w:szCs w:val="20"/>
              </w:rPr>
              <w:t>备件库管理表单优化、发布</w:t>
            </w:r>
          </w:p>
        </w:tc>
        <w:tc>
          <w:tcPr>
            <w:tcW w:w="1598" w:type="dxa"/>
          </w:tcPr>
          <w:p w14:paraId="451277C3">
            <w:pPr>
              <w:keepNext w:val="0"/>
              <w:keepLines w:val="0"/>
              <w:pageBreakBefore w:val="0"/>
              <w:widowControl w:val="0"/>
              <w:kinsoku w:val="0"/>
              <w:wordWrap/>
              <w:overflowPunct/>
              <w:topLinePunct w:val="0"/>
              <w:autoSpaceDE w:val="0"/>
              <w:autoSpaceDN w:val="0"/>
              <w:bidi w:val="0"/>
              <w:adjustRightInd w:val="0"/>
              <w:snapToGrid w:val="0"/>
              <w:spacing w:line="317" w:lineRule="auto"/>
              <w:rPr>
                <w:rFonts w:ascii="Arial"/>
                <w:sz w:val="21"/>
              </w:rPr>
            </w:pPr>
          </w:p>
          <w:p w14:paraId="05D9899F">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41"/>
              <w:rPr>
                <w:sz w:val="20"/>
                <w:szCs w:val="20"/>
              </w:rPr>
            </w:pPr>
            <w:r>
              <w:rPr>
                <w:spacing w:val="-8"/>
                <w:sz w:val="20"/>
                <w:szCs w:val="20"/>
              </w:rPr>
              <w:t>1</w:t>
            </w:r>
            <w:r>
              <w:rPr>
                <w:spacing w:val="-38"/>
                <w:sz w:val="20"/>
                <w:szCs w:val="20"/>
              </w:rPr>
              <w:t xml:space="preserve"> </w:t>
            </w:r>
            <w:r>
              <w:rPr>
                <w:spacing w:val="-8"/>
                <w:sz w:val="20"/>
                <w:szCs w:val="20"/>
              </w:rPr>
              <w:t>月上旬</w:t>
            </w:r>
          </w:p>
        </w:tc>
        <w:tc>
          <w:tcPr>
            <w:tcW w:w="1099" w:type="dxa"/>
          </w:tcPr>
          <w:p w14:paraId="7DCA2177">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3CB08E6C">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1AE2485B">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《备品备件管理记录》</w:t>
            </w:r>
          </w:p>
        </w:tc>
      </w:tr>
      <w:tr w14:paraId="3FD6B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020D8E78">
            <w:pPr>
              <w:keepNext w:val="0"/>
              <w:keepLines w:val="0"/>
              <w:pageBreakBefore w:val="0"/>
              <w:widowControl w:val="0"/>
              <w:kinsoku w:val="0"/>
              <w:wordWrap/>
              <w:overflowPunct/>
              <w:topLinePunct w:val="0"/>
              <w:autoSpaceDE w:val="0"/>
              <w:autoSpaceDN w:val="0"/>
              <w:bidi w:val="0"/>
              <w:adjustRightInd w:val="0"/>
              <w:snapToGrid w:val="0"/>
              <w:spacing w:line="318" w:lineRule="auto"/>
              <w:rPr>
                <w:rFonts w:ascii="Arial"/>
                <w:sz w:val="21"/>
              </w:rPr>
            </w:pPr>
          </w:p>
          <w:p w14:paraId="30361D2D">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3"/>
              <w:rPr>
                <w:sz w:val="20"/>
                <w:szCs w:val="20"/>
              </w:rPr>
            </w:pPr>
            <w:r>
              <w:rPr>
                <w:spacing w:val="-1"/>
                <w:sz w:val="20"/>
                <w:szCs w:val="20"/>
              </w:rPr>
              <w:t>备件库盘点、溢余与短缺情况分析</w:t>
            </w:r>
          </w:p>
        </w:tc>
        <w:tc>
          <w:tcPr>
            <w:tcW w:w="1598" w:type="dxa"/>
          </w:tcPr>
          <w:p w14:paraId="63BD5540">
            <w:pPr>
              <w:keepNext w:val="0"/>
              <w:keepLines w:val="0"/>
              <w:pageBreakBefore w:val="0"/>
              <w:widowControl w:val="0"/>
              <w:kinsoku w:val="0"/>
              <w:wordWrap/>
              <w:overflowPunct/>
              <w:topLinePunct w:val="0"/>
              <w:autoSpaceDE w:val="0"/>
              <w:autoSpaceDN w:val="0"/>
              <w:bidi w:val="0"/>
              <w:adjustRightInd w:val="0"/>
              <w:snapToGrid w:val="0"/>
              <w:spacing w:line="318" w:lineRule="auto"/>
              <w:rPr>
                <w:rFonts w:ascii="Arial"/>
                <w:sz w:val="21"/>
              </w:rPr>
            </w:pPr>
          </w:p>
          <w:p w14:paraId="38C56E76">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557"/>
              <w:rPr>
                <w:sz w:val="20"/>
                <w:szCs w:val="20"/>
              </w:rPr>
            </w:pPr>
            <w:r>
              <w:rPr>
                <w:spacing w:val="-5"/>
                <w:sz w:val="20"/>
                <w:szCs w:val="20"/>
              </w:rPr>
              <w:t>次/季</w:t>
            </w:r>
          </w:p>
        </w:tc>
        <w:tc>
          <w:tcPr>
            <w:tcW w:w="1099" w:type="dxa"/>
          </w:tcPr>
          <w:p w14:paraId="0FEF01A5">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356B9C59">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619EFC4B">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《备件盘点表》</w:t>
            </w:r>
          </w:p>
        </w:tc>
      </w:tr>
      <w:tr w14:paraId="470AF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69F4CDAD">
            <w:pPr>
              <w:keepNext w:val="0"/>
              <w:keepLines w:val="0"/>
              <w:pageBreakBefore w:val="0"/>
              <w:widowControl w:val="0"/>
              <w:kinsoku w:val="0"/>
              <w:wordWrap/>
              <w:overflowPunct/>
              <w:topLinePunct w:val="0"/>
              <w:autoSpaceDE w:val="0"/>
              <w:autoSpaceDN w:val="0"/>
              <w:bidi w:val="0"/>
              <w:adjustRightInd w:val="0"/>
              <w:snapToGrid w:val="0"/>
              <w:spacing w:line="319" w:lineRule="auto"/>
              <w:rPr>
                <w:rFonts w:ascii="Arial"/>
                <w:sz w:val="21"/>
              </w:rPr>
            </w:pPr>
          </w:p>
          <w:p w14:paraId="1677F750">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3"/>
              <w:rPr>
                <w:sz w:val="20"/>
                <w:szCs w:val="20"/>
              </w:rPr>
            </w:pPr>
            <w:r>
              <w:rPr>
                <w:spacing w:val="-2"/>
                <w:sz w:val="20"/>
                <w:szCs w:val="20"/>
              </w:rPr>
              <w:t>备件抽检</w:t>
            </w:r>
          </w:p>
        </w:tc>
        <w:tc>
          <w:tcPr>
            <w:tcW w:w="1598" w:type="dxa"/>
          </w:tcPr>
          <w:p w14:paraId="4BDC96A0">
            <w:pPr>
              <w:keepNext w:val="0"/>
              <w:keepLines w:val="0"/>
              <w:pageBreakBefore w:val="0"/>
              <w:widowControl w:val="0"/>
              <w:kinsoku w:val="0"/>
              <w:wordWrap/>
              <w:overflowPunct/>
              <w:topLinePunct w:val="0"/>
              <w:autoSpaceDE w:val="0"/>
              <w:autoSpaceDN w:val="0"/>
              <w:bidi w:val="0"/>
              <w:adjustRightInd w:val="0"/>
              <w:snapToGrid w:val="0"/>
              <w:spacing w:line="319" w:lineRule="auto"/>
              <w:rPr>
                <w:rFonts w:ascii="Arial"/>
                <w:sz w:val="21"/>
              </w:rPr>
            </w:pPr>
          </w:p>
          <w:p w14:paraId="094A1C24">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557"/>
              <w:rPr>
                <w:sz w:val="20"/>
                <w:szCs w:val="20"/>
              </w:rPr>
            </w:pPr>
            <w:r>
              <w:rPr>
                <w:spacing w:val="-5"/>
                <w:sz w:val="20"/>
                <w:szCs w:val="20"/>
              </w:rPr>
              <w:t>次/季</w:t>
            </w:r>
          </w:p>
        </w:tc>
        <w:tc>
          <w:tcPr>
            <w:tcW w:w="1099" w:type="dxa"/>
          </w:tcPr>
          <w:p w14:paraId="0F534CA5">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09339AE0">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04477694">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《抽检报告》</w:t>
            </w:r>
          </w:p>
        </w:tc>
      </w:tr>
      <w:tr w14:paraId="3BD15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45C217AC">
            <w:pPr>
              <w:keepNext w:val="0"/>
              <w:keepLines w:val="0"/>
              <w:pageBreakBefore w:val="0"/>
              <w:widowControl w:val="0"/>
              <w:kinsoku w:val="0"/>
              <w:wordWrap/>
              <w:overflowPunct/>
              <w:topLinePunct w:val="0"/>
              <w:autoSpaceDE w:val="0"/>
              <w:autoSpaceDN w:val="0"/>
              <w:bidi w:val="0"/>
              <w:adjustRightInd w:val="0"/>
              <w:snapToGrid w:val="0"/>
              <w:spacing w:line="321" w:lineRule="auto"/>
              <w:rPr>
                <w:rFonts w:ascii="Arial"/>
                <w:sz w:val="21"/>
              </w:rPr>
            </w:pPr>
          </w:p>
          <w:p w14:paraId="6DB08B8A">
            <w:pPr>
              <w:pStyle w:val="25"/>
              <w:keepNext w:val="0"/>
              <w:keepLines w:val="0"/>
              <w:pageBreakBefore w:val="0"/>
              <w:widowControl w:val="0"/>
              <w:kinsoku w:val="0"/>
              <w:wordWrap/>
              <w:overflowPunct/>
              <w:topLinePunct w:val="0"/>
              <w:autoSpaceDE w:val="0"/>
              <w:autoSpaceDN w:val="0"/>
              <w:bidi w:val="0"/>
              <w:adjustRightInd w:val="0"/>
              <w:snapToGrid w:val="0"/>
              <w:spacing w:before="65" w:line="219" w:lineRule="auto"/>
              <w:ind w:left="113"/>
              <w:rPr>
                <w:sz w:val="20"/>
                <w:szCs w:val="20"/>
              </w:rPr>
            </w:pPr>
            <w:r>
              <w:rPr>
                <w:spacing w:val="-2"/>
                <w:sz w:val="20"/>
                <w:szCs w:val="20"/>
              </w:rPr>
              <w:t>备件采购、报废处理</w:t>
            </w:r>
          </w:p>
        </w:tc>
        <w:tc>
          <w:tcPr>
            <w:tcW w:w="1598" w:type="dxa"/>
          </w:tcPr>
          <w:p w14:paraId="4446D4E6">
            <w:pPr>
              <w:keepNext w:val="0"/>
              <w:keepLines w:val="0"/>
              <w:pageBreakBefore w:val="0"/>
              <w:widowControl w:val="0"/>
              <w:kinsoku w:val="0"/>
              <w:wordWrap/>
              <w:overflowPunct/>
              <w:topLinePunct w:val="0"/>
              <w:autoSpaceDE w:val="0"/>
              <w:autoSpaceDN w:val="0"/>
              <w:bidi w:val="0"/>
              <w:adjustRightInd w:val="0"/>
              <w:snapToGrid w:val="0"/>
              <w:spacing w:line="320" w:lineRule="auto"/>
              <w:rPr>
                <w:rFonts w:ascii="Arial"/>
                <w:sz w:val="21"/>
              </w:rPr>
            </w:pPr>
          </w:p>
          <w:p w14:paraId="18CA2F1B">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557"/>
              <w:rPr>
                <w:sz w:val="20"/>
                <w:szCs w:val="20"/>
              </w:rPr>
            </w:pPr>
            <w:r>
              <w:rPr>
                <w:spacing w:val="-5"/>
                <w:sz w:val="20"/>
                <w:szCs w:val="20"/>
              </w:rPr>
              <w:t>次/季</w:t>
            </w:r>
          </w:p>
        </w:tc>
        <w:tc>
          <w:tcPr>
            <w:tcW w:w="1099" w:type="dxa"/>
          </w:tcPr>
          <w:p w14:paraId="34A4A72B">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2B2BE6D9">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05E999A8">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《采购记录》《报废记录》</w:t>
            </w:r>
          </w:p>
        </w:tc>
      </w:tr>
      <w:tr w14:paraId="4A1F9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4DF4E73D">
            <w:pPr>
              <w:keepNext w:val="0"/>
              <w:keepLines w:val="0"/>
              <w:pageBreakBefore w:val="0"/>
              <w:widowControl w:val="0"/>
              <w:kinsoku w:val="0"/>
              <w:wordWrap/>
              <w:overflowPunct/>
              <w:topLinePunct w:val="0"/>
              <w:autoSpaceDE w:val="0"/>
              <w:autoSpaceDN w:val="0"/>
              <w:bidi w:val="0"/>
              <w:adjustRightInd w:val="0"/>
              <w:snapToGrid w:val="0"/>
              <w:spacing w:line="322" w:lineRule="auto"/>
              <w:rPr>
                <w:rFonts w:ascii="Arial"/>
                <w:sz w:val="21"/>
              </w:rPr>
            </w:pPr>
          </w:p>
          <w:p w14:paraId="5DBE38FA">
            <w:pPr>
              <w:pStyle w:val="25"/>
              <w:keepNext w:val="0"/>
              <w:keepLines w:val="0"/>
              <w:pageBreakBefore w:val="0"/>
              <w:widowControl w:val="0"/>
              <w:kinsoku w:val="0"/>
              <w:wordWrap/>
              <w:overflowPunct/>
              <w:topLinePunct w:val="0"/>
              <w:autoSpaceDE w:val="0"/>
              <w:autoSpaceDN w:val="0"/>
              <w:bidi w:val="0"/>
              <w:adjustRightInd w:val="0"/>
              <w:snapToGrid w:val="0"/>
              <w:spacing w:before="65" w:line="218" w:lineRule="auto"/>
              <w:ind w:left="110"/>
              <w:rPr>
                <w:sz w:val="20"/>
                <w:szCs w:val="20"/>
              </w:rPr>
            </w:pPr>
            <w:r>
              <w:rPr>
                <w:spacing w:val="-2"/>
                <w:sz w:val="20"/>
                <w:szCs w:val="20"/>
              </w:rPr>
              <w:t>供应商评估</w:t>
            </w:r>
          </w:p>
        </w:tc>
        <w:tc>
          <w:tcPr>
            <w:tcW w:w="1598" w:type="dxa"/>
          </w:tcPr>
          <w:p w14:paraId="7F75C9E7">
            <w:pPr>
              <w:keepNext w:val="0"/>
              <w:keepLines w:val="0"/>
              <w:pageBreakBefore w:val="0"/>
              <w:widowControl w:val="0"/>
              <w:kinsoku w:val="0"/>
              <w:wordWrap/>
              <w:overflowPunct/>
              <w:topLinePunct w:val="0"/>
              <w:autoSpaceDE w:val="0"/>
              <w:autoSpaceDN w:val="0"/>
              <w:bidi w:val="0"/>
              <w:adjustRightInd w:val="0"/>
              <w:snapToGrid w:val="0"/>
              <w:spacing w:line="321" w:lineRule="auto"/>
              <w:rPr>
                <w:rFonts w:ascii="Arial"/>
                <w:sz w:val="21"/>
              </w:rPr>
            </w:pPr>
          </w:p>
          <w:p w14:paraId="7BE02E02">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31"/>
              <w:rPr>
                <w:sz w:val="20"/>
                <w:szCs w:val="20"/>
              </w:rPr>
            </w:pPr>
            <w:r>
              <w:rPr>
                <w:spacing w:val="-13"/>
                <w:sz w:val="20"/>
                <w:szCs w:val="20"/>
              </w:rPr>
              <w:t>7</w:t>
            </w:r>
            <w:r>
              <w:rPr>
                <w:spacing w:val="-38"/>
                <w:sz w:val="20"/>
                <w:szCs w:val="20"/>
              </w:rPr>
              <w:t xml:space="preserve"> </w:t>
            </w:r>
            <w:r>
              <w:rPr>
                <w:spacing w:val="-13"/>
                <w:sz w:val="20"/>
                <w:szCs w:val="20"/>
              </w:rPr>
              <w:t>月</w:t>
            </w:r>
            <w:r>
              <w:rPr>
                <w:spacing w:val="-27"/>
                <w:sz w:val="20"/>
                <w:szCs w:val="20"/>
              </w:rPr>
              <w:t xml:space="preserve"> </w:t>
            </w:r>
            <w:r>
              <w:rPr>
                <w:spacing w:val="-13"/>
                <w:sz w:val="20"/>
                <w:szCs w:val="20"/>
              </w:rPr>
              <w:t>1 日前</w:t>
            </w:r>
          </w:p>
        </w:tc>
        <w:tc>
          <w:tcPr>
            <w:tcW w:w="1099" w:type="dxa"/>
          </w:tcPr>
          <w:p w14:paraId="12878EA0">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5721C025">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7B80BFE5">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《合格供应商清单》</w:t>
            </w:r>
          </w:p>
        </w:tc>
      </w:tr>
      <w:tr w14:paraId="10422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3661" w:type="dxa"/>
          </w:tcPr>
          <w:p w14:paraId="01B662D5">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rPr>
                <w:rFonts w:hint="eastAsia" w:eastAsia="宋体"/>
                <w:sz w:val="20"/>
                <w:szCs w:val="20"/>
                <w:lang w:val="en-US" w:eastAsia="zh-CN"/>
              </w:rPr>
            </w:pPr>
            <w:r>
              <w:rPr>
                <w:b/>
                <w:bCs/>
                <w:spacing w:val="-7"/>
                <w:sz w:val="20"/>
                <w:szCs w:val="20"/>
              </w:rPr>
              <w:t>四、</w:t>
            </w:r>
            <w:r>
              <w:rPr>
                <w:rFonts w:hint="eastAsia"/>
                <w:b/>
                <w:bCs/>
                <w:spacing w:val="-7"/>
                <w:sz w:val="20"/>
                <w:szCs w:val="20"/>
                <w:lang w:val="en-US" w:eastAsia="zh-CN"/>
              </w:rPr>
              <w:t>服务知识</w:t>
            </w:r>
          </w:p>
        </w:tc>
        <w:tc>
          <w:tcPr>
            <w:tcW w:w="1598" w:type="dxa"/>
          </w:tcPr>
          <w:p w14:paraId="3A438746">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Pr>
          <w:p w14:paraId="64BBC213">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3001" w:type="dxa"/>
          </w:tcPr>
          <w:p w14:paraId="50C81E8E">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tc>
      </w:tr>
      <w:tr w14:paraId="47833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4C8603E8">
            <w:pPr>
              <w:pStyle w:val="25"/>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118" w:right="148" w:hanging="8"/>
              <w:rPr>
                <w:sz w:val="20"/>
                <w:szCs w:val="20"/>
              </w:rPr>
            </w:pPr>
            <w:r>
              <w:rPr>
                <w:spacing w:val="-1"/>
                <w:sz w:val="20"/>
                <w:szCs w:val="20"/>
              </w:rPr>
              <w:t>对已有</w:t>
            </w:r>
            <w:r>
              <w:rPr>
                <w:rFonts w:hint="eastAsia"/>
                <w:spacing w:val="-1"/>
                <w:sz w:val="20"/>
                <w:szCs w:val="20"/>
                <w:lang w:val="en-US" w:eastAsia="zh-CN"/>
              </w:rPr>
              <w:t>服务知识</w:t>
            </w:r>
            <w:r>
              <w:rPr>
                <w:spacing w:val="-1"/>
                <w:sz w:val="20"/>
                <w:szCs w:val="20"/>
              </w:rPr>
              <w:t>进行评审，确定相关人</w:t>
            </w:r>
            <w:r>
              <w:rPr>
                <w:spacing w:val="-2"/>
                <w:sz w:val="20"/>
                <w:szCs w:val="20"/>
              </w:rPr>
              <w:t>员职责及其权限分配与提供</w:t>
            </w:r>
          </w:p>
        </w:tc>
        <w:tc>
          <w:tcPr>
            <w:tcW w:w="1598" w:type="dxa"/>
          </w:tcPr>
          <w:p w14:paraId="13D6174C">
            <w:pPr>
              <w:keepNext w:val="0"/>
              <w:keepLines w:val="0"/>
              <w:pageBreakBefore w:val="0"/>
              <w:widowControl w:val="0"/>
              <w:kinsoku w:val="0"/>
              <w:wordWrap/>
              <w:overflowPunct/>
              <w:topLinePunct w:val="0"/>
              <w:autoSpaceDE w:val="0"/>
              <w:autoSpaceDN w:val="0"/>
              <w:bidi w:val="0"/>
              <w:adjustRightInd w:val="0"/>
              <w:snapToGrid w:val="0"/>
              <w:spacing w:line="323" w:lineRule="auto"/>
              <w:rPr>
                <w:rFonts w:ascii="Arial"/>
                <w:sz w:val="21"/>
              </w:rPr>
            </w:pPr>
          </w:p>
          <w:p w14:paraId="0DAFAE9E">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41"/>
              <w:rPr>
                <w:sz w:val="20"/>
                <w:szCs w:val="20"/>
              </w:rPr>
            </w:pPr>
            <w:r>
              <w:rPr>
                <w:spacing w:val="-8"/>
                <w:sz w:val="20"/>
                <w:szCs w:val="20"/>
              </w:rPr>
              <w:t>1</w:t>
            </w:r>
            <w:r>
              <w:rPr>
                <w:spacing w:val="-38"/>
                <w:sz w:val="20"/>
                <w:szCs w:val="20"/>
              </w:rPr>
              <w:t xml:space="preserve"> </w:t>
            </w:r>
            <w:r>
              <w:rPr>
                <w:spacing w:val="-8"/>
                <w:sz w:val="20"/>
                <w:szCs w:val="20"/>
              </w:rPr>
              <w:t>月上旬</w:t>
            </w:r>
          </w:p>
        </w:tc>
        <w:tc>
          <w:tcPr>
            <w:tcW w:w="1099" w:type="dxa"/>
          </w:tcPr>
          <w:p w14:paraId="3E21DB76">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vMerge w:val="restart"/>
            <w:tcBorders>
              <w:bottom w:val="nil"/>
            </w:tcBorders>
          </w:tcPr>
          <w:p w14:paraId="3F1E5618">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2CAEEF7E">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06171216">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42D1665D">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《知识库评审表》</w:t>
            </w:r>
          </w:p>
        </w:tc>
      </w:tr>
      <w:tr w14:paraId="78AC0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2B377468">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rPr>
                <w:rFonts w:hint="default" w:eastAsia="宋体"/>
                <w:sz w:val="20"/>
                <w:szCs w:val="20"/>
                <w:lang w:val="en-US" w:eastAsia="zh-CN"/>
              </w:rPr>
            </w:pPr>
            <w:r>
              <w:rPr>
                <w:rFonts w:hint="eastAsia"/>
                <w:sz w:val="20"/>
                <w:szCs w:val="20"/>
                <w:lang w:val="en-US" w:eastAsia="zh-CN"/>
              </w:rPr>
              <w:t>服务知识录入条数统计</w:t>
            </w:r>
          </w:p>
        </w:tc>
        <w:tc>
          <w:tcPr>
            <w:tcW w:w="1598" w:type="dxa"/>
          </w:tcPr>
          <w:p w14:paraId="5A8613FD">
            <w:pPr>
              <w:keepNext w:val="0"/>
              <w:keepLines w:val="0"/>
              <w:pageBreakBefore w:val="0"/>
              <w:widowControl w:val="0"/>
              <w:kinsoku w:val="0"/>
              <w:wordWrap/>
              <w:overflowPunct/>
              <w:topLinePunct w:val="0"/>
              <w:autoSpaceDE w:val="0"/>
              <w:autoSpaceDN w:val="0"/>
              <w:bidi w:val="0"/>
              <w:adjustRightInd w:val="0"/>
              <w:snapToGrid w:val="0"/>
              <w:spacing w:line="324" w:lineRule="auto"/>
              <w:rPr>
                <w:rFonts w:ascii="Arial"/>
                <w:sz w:val="21"/>
              </w:rPr>
            </w:pPr>
          </w:p>
          <w:p w14:paraId="5FD6C3F6">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54"/>
              <w:rPr>
                <w:rFonts w:hint="default"/>
                <w:sz w:val="20"/>
                <w:szCs w:val="20"/>
                <w:lang w:val="en-US"/>
              </w:rPr>
            </w:pPr>
            <w:r>
              <w:rPr>
                <w:rFonts w:hint="eastAsia"/>
                <w:spacing w:val="-3"/>
                <w:sz w:val="20"/>
                <w:szCs w:val="20"/>
                <w:lang w:val="en-US" w:eastAsia="zh-CN"/>
              </w:rPr>
              <w:t>次/季</w:t>
            </w:r>
          </w:p>
        </w:tc>
        <w:tc>
          <w:tcPr>
            <w:tcW w:w="1099" w:type="dxa"/>
          </w:tcPr>
          <w:p w14:paraId="74E1841E">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vMerge w:val="continue"/>
            <w:tcBorders>
              <w:top w:val="nil"/>
            </w:tcBorders>
          </w:tcPr>
          <w:p w14:paraId="506A2E90">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tc>
      </w:tr>
      <w:tr w14:paraId="1BCFC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6" w:hRule="atLeast"/>
        </w:trPr>
        <w:tc>
          <w:tcPr>
            <w:tcW w:w="3661" w:type="dxa"/>
          </w:tcPr>
          <w:p w14:paraId="6B968393">
            <w:pPr>
              <w:pStyle w:val="25"/>
              <w:keepNext w:val="0"/>
              <w:keepLines w:val="0"/>
              <w:pageBreakBefore w:val="0"/>
              <w:widowControl w:val="0"/>
              <w:kinsoku w:val="0"/>
              <w:wordWrap/>
              <w:overflowPunct/>
              <w:topLinePunct w:val="0"/>
              <w:autoSpaceDE w:val="0"/>
              <w:autoSpaceDN w:val="0"/>
              <w:bidi w:val="0"/>
              <w:adjustRightInd w:val="0"/>
              <w:snapToGrid w:val="0"/>
              <w:spacing w:before="149" w:line="402" w:lineRule="auto"/>
              <w:ind w:left="114"/>
              <w:jc w:val="both"/>
              <w:rPr>
                <w:sz w:val="20"/>
                <w:szCs w:val="20"/>
              </w:rPr>
            </w:pPr>
            <w:r>
              <w:rPr>
                <w:spacing w:val="-4"/>
                <w:sz w:val="20"/>
                <w:szCs w:val="20"/>
              </w:rPr>
              <w:t>原有知识整理、按分类进行梳理、审核、</w:t>
            </w:r>
            <w:r>
              <w:rPr>
                <w:spacing w:val="-2"/>
                <w:sz w:val="20"/>
                <w:szCs w:val="20"/>
              </w:rPr>
              <w:t>知识积累，并在应用过程中总结与持续</w:t>
            </w:r>
            <w:r>
              <w:rPr>
                <w:spacing w:val="-4"/>
                <w:sz w:val="20"/>
                <w:szCs w:val="20"/>
              </w:rPr>
              <w:t>改进</w:t>
            </w:r>
          </w:p>
        </w:tc>
        <w:tc>
          <w:tcPr>
            <w:tcW w:w="1598" w:type="dxa"/>
          </w:tcPr>
          <w:p w14:paraId="2487B6E3">
            <w:pPr>
              <w:keepNext w:val="0"/>
              <w:keepLines w:val="0"/>
              <w:pageBreakBefore w:val="0"/>
              <w:widowControl w:val="0"/>
              <w:kinsoku w:val="0"/>
              <w:wordWrap/>
              <w:overflowPunct/>
              <w:topLinePunct w:val="0"/>
              <w:autoSpaceDE w:val="0"/>
              <w:autoSpaceDN w:val="0"/>
              <w:bidi w:val="0"/>
              <w:adjustRightInd w:val="0"/>
              <w:snapToGrid w:val="0"/>
              <w:spacing w:line="284" w:lineRule="auto"/>
              <w:rPr>
                <w:rFonts w:ascii="Arial"/>
                <w:sz w:val="21"/>
              </w:rPr>
            </w:pPr>
          </w:p>
          <w:p w14:paraId="4B1FB3F9">
            <w:pPr>
              <w:keepNext w:val="0"/>
              <w:keepLines w:val="0"/>
              <w:pageBreakBefore w:val="0"/>
              <w:widowControl w:val="0"/>
              <w:kinsoku w:val="0"/>
              <w:wordWrap/>
              <w:overflowPunct/>
              <w:topLinePunct w:val="0"/>
              <w:autoSpaceDE w:val="0"/>
              <w:autoSpaceDN w:val="0"/>
              <w:bidi w:val="0"/>
              <w:adjustRightInd w:val="0"/>
              <w:snapToGrid w:val="0"/>
              <w:spacing w:line="284" w:lineRule="auto"/>
              <w:rPr>
                <w:rFonts w:ascii="Arial"/>
                <w:sz w:val="21"/>
              </w:rPr>
            </w:pPr>
          </w:p>
          <w:p w14:paraId="43A26C69">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01"/>
              <w:rPr>
                <w:sz w:val="20"/>
                <w:szCs w:val="20"/>
              </w:rPr>
            </w:pPr>
            <w:r>
              <w:rPr>
                <w:spacing w:val="-2"/>
                <w:sz w:val="20"/>
                <w:szCs w:val="20"/>
              </w:rPr>
              <w:t>全年</w:t>
            </w:r>
          </w:p>
        </w:tc>
        <w:tc>
          <w:tcPr>
            <w:tcW w:w="1099" w:type="dxa"/>
          </w:tcPr>
          <w:p w14:paraId="3DCE0A23">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p>
          <w:p w14:paraId="1EE2BDD8">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557228EE">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1D732C01">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6CC8DFB6">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知识库应用过程相关文档</w:t>
            </w:r>
          </w:p>
        </w:tc>
      </w:tr>
      <w:tr w14:paraId="5EA3F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2" w:hRule="atLeast"/>
        </w:trPr>
        <w:tc>
          <w:tcPr>
            <w:tcW w:w="3661" w:type="dxa"/>
          </w:tcPr>
          <w:p w14:paraId="1F549368">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14:paraId="737AFB0C">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96"/>
              <w:rPr>
                <w:sz w:val="20"/>
                <w:szCs w:val="20"/>
              </w:rPr>
            </w:pPr>
            <w:r>
              <w:rPr>
                <w:spacing w:val="-2"/>
                <w:sz w:val="20"/>
                <w:szCs w:val="20"/>
              </w:rPr>
              <w:t>“运维服务</w:t>
            </w:r>
            <w:r>
              <w:rPr>
                <w:rFonts w:hint="eastAsia"/>
                <w:spacing w:val="-2"/>
                <w:sz w:val="20"/>
                <w:szCs w:val="20"/>
                <w:lang w:val="en-US" w:eastAsia="zh-CN"/>
              </w:rPr>
              <w:t>服务知识</w:t>
            </w:r>
            <w:r>
              <w:rPr>
                <w:spacing w:val="-63"/>
                <w:sz w:val="20"/>
                <w:szCs w:val="20"/>
              </w:rPr>
              <w:t xml:space="preserve"> </w:t>
            </w:r>
            <w:r>
              <w:rPr>
                <w:spacing w:val="-2"/>
                <w:sz w:val="20"/>
                <w:szCs w:val="20"/>
              </w:rPr>
              <w:t>”的培训</w:t>
            </w:r>
          </w:p>
        </w:tc>
        <w:tc>
          <w:tcPr>
            <w:tcW w:w="1598" w:type="dxa"/>
          </w:tcPr>
          <w:p w14:paraId="65A4A8BC">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14:paraId="146661FB">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55"/>
              <w:rPr>
                <w:sz w:val="20"/>
                <w:szCs w:val="20"/>
              </w:rPr>
            </w:pPr>
            <w:r>
              <w:rPr>
                <w:spacing w:val="-5"/>
                <w:sz w:val="20"/>
                <w:szCs w:val="20"/>
              </w:rPr>
              <w:t>3</w:t>
            </w:r>
            <w:r>
              <w:rPr>
                <w:spacing w:val="-38"/>
                <w:sz w:val="20"/>
                <w:szCs w:val="20"/>
              </w:rPr>
              <w:t xml:space="preserve"> </w:t>
            </w:r>
            <w:r>
              <w:rPr>
                <w:spacing w:val="-5"/>
                <w:sz w:val="20"/>
                <w:szCs w:val="20"/>
              </w:rPr>
              <w:t>月、9</w:t>
            </w:r>
            <w:r>
              <w:rPr>
                <w:spacing w:val="-38"/>
                <w:sz w:val="20"/>
                <w:szCs w:val="20"/>
              </w:rPr>
              <w:t xml:space="preserve"> </w:t>
            </w:r>
            <w:r>
              <w:rPr>
                <w:spacing w:val="-5"/>
                <w:sz w:val="20"/>
                <w:szCs w:val="20"/>
              </w:rPr>
              <w:t>月</w:t>
            </w:r>
          </w:p>
        </w:tc>
        <w:tc>
          <w:tcPr>
            <w:tcW w:w="1099" w:type="dxa"/>
          </w:tcPr>
          <w:p w14:paraId="006E46EB">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综合部</w:t>
            </w:r>
          </w:p>
        </w:tc>
        <w:tc>
          <w:tcPr>
            <w:tcW w:w="3001" w:type="dxa"/>
          </w:tcPr>
          <w:p w14:paraId="5A403090">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52B62BA8">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培训记录</w:t>
            </w:r>
          </w:p>
        </w:tc>
      </w:tr>
      <w:tr w14:paraId="408B8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27B025CD">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ascii="宋体" w:hAnsi="宋体" w:eastAsia="宋体" w:cs="宋体"/>
                <w:snapToGrid w:val="0"/>
                <w:color w:val="000000"/>
                <w:kern w:val="0"/>
                <w:sz w:val="20"/>
                <w:szCs w:val="20"/>
                <w:lang w:val="en-US" w:eastAsia="zh-CN" w:bidi="ar-SA"/>
              </w:rPr>
            </w:pPr>
            <w:r>
              <w:rPr>
                <w:rFonts w:hint="eastAsia"/>
                <w:b/>
                <w:bCs/>
                <w:spacing w:val="-7"/>
                <w:sz w:val="20"/>
                <w:szCs w:val="20"/>
                <w:lang w:val="en-US" w:eastAsia="zh-CN"/>
              </w:rPr>
              <w:t>五</w:t>
            </w:r>
            <w:r>
              <w:rPr>
                <w:b/>
                <w:bCs/>
                <w:spacing w:val="-7"/>
                <w:sz w:val="20"/>
                <w:szCs w:val="20"/>
              </w:rPr>
              <w:t>、</w:t>
            </w:r>
            <w:r>
              <w:rPr>
                <w:rFonts w:hint="eastAsia"/>
                <w:b/>
                <w:bCs/>
                <w:spacing w:val="-7"/>
                <w:sz w:val="20"/>
                <w:szCs w:val="20"/>
                <w:lang w:val="en-US" w:eastAsia="zh-CN"/>
              </w:rPr>
              <w:t>最终软件库</w:t>
            </w:r>
          </w:p>
        </w:tc>
        <w:tc>
          <w:tcPr>
            <w:tcW w:w="1598" w:type="dxa"/>
            <w:shd w:val="clear" w:color="auto" w:fill="auto"/>
          </w:tcPr>
          <w:p w14:paraId="3624D4BF">
            <w:pPr>
              <w:keepNext w:val="0"/>
              <w:keepLines w:val="0"/>
              <w:pageBreakBefore w:val="0"/>
              <w:widowControl w:val="0"/>
              <w:kinsoku w:val="0"/>
              <w:wordWrap/>
              <w:overflowPunct/>
              <w:topLinePunct w:val="0"/>
              <w:autoSpaceDE w:val="0"/>
              <w:autoSpaceDN w:val="0"/>
              <w:bidi w:val="0"/>
              <w:adjustRightInd w:val="0"/>
              <w:snapToGrid w:val="0"/>
              <w:rPr>
                <w:rFonts w:ascii="Arial" w:hAnsi="Arial" w:eastAsia="Arial" w:cs="Arial"/>
                <w:snapToGrid w:val="0"/>
                <w:color w:val="000000"/>
                <w:kern w:val="0"/>
                <w:sz w:val="21"/>
                <w:szCs w:val="21"/>
                <w:lang w:val="en-US" w:eastAsia="en-US" w:bidi="ar-SA"/>
              </w:rPr>
            </w:pPr>
          </w:p>
        </w:tc>
        <w:tc>
          <w:tcPr>
            <w:tcW w:w="1099" w:type="dxa"/>
            <w:shd w:val="clear" w:color="auto" w:fill="auto"/>
          </w:tcPr>
          <w:p w14:paraId="059CC085">
            <w:pPr>
              <w:keepNext w:val="0"/>
              <w:keepLines w:val="0"/>
              <w:pageBreakBefore w:val="0"/>
              <w:widowControl w:val="0"/>
              <w:kinsoku w:val="0"/>
              <w:wordWrap/>
              <w:overflowPunct/>
              <w:topLinePunct w:val="0"/>
              <w:autoSpaceDE w:val="0"/>
              <w:autoSpaceDN w:val="0"/>
              <w:bidi w:val="0"/>
              <w:adjustRightInd w:val="0"/>
              <w:snapToGrid w:val="0"/>
              <w:rPr>
                <w:rFonts w:ascii="Arial" w:hAnsi="Arial" w:eastAsia="Arial" w:cs="Arial"/>
                <w:snapToGrid w:val="0"/>
                <w:color w:val="000000"/>
                <w:kern w:val="0"/>
                <w:sz w:val="21"/>
                <w:szCs w:val="21"/>
                <w:lang w:val="en-US" w:eastAsia="en-US" w:bidi="ar-SA"/>
              </w:rPr>
            </w:pPr>
          </w:p>
        </w:tc>
        <w:tc>
          <w:tcPr>
            <w:tcW w:w="3001" w:type="dxa"/>
            <w:shd w:val="clear" w:color="auto" w:fill="auto"/>
          </w:tcPr>
          <w:p w14:paraId="0F80F284">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en-US" w:bidi="ar-SA"/>
              </w:rPr>
            </w:pPr>
          </w:p>
        </w:tc>
      </w:tr>
      <w:tr w14:paraId="08D5A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4E0FE987">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b/>
                <w:bCs/>
                <w:spacing w:val="-7"/>
                <w:sz w:val="20"/>
                <w:szCs w:val="20"/>
                <w:lang w:val="en-US" w:eastAsia="zh-CN"/>
              </w:rPr>
            </w:pPr>
            <w:r>
              <w:rPr>
                <w:spacing w:val="-2"/>
                <w:sz w:val="20"/>
                <w:szCs w:val="20"/>
              </w:rPr>
              <w:t>“</w:t>
            </w:r>
            <w:r>
              <w:rPr>
                <w:rFonts w:hint="eastAsia"/>
                <w:spacing w:val="-2"/>
                <w:sz w:val="20"/>
                <w:szCs w:val="20"/>
                <w:lang w:val="en-US" w:eastAsia="zh-CN"/>
              </w:rPr>
              <w:t>版本管理工具</w:t>
            </w:r>
            <w:r>
              <w:rPr>
                <w:spacing w:val="-2"/>
                <w:sz w:val="20"/>
                <w:szCs w:val="20"/>
              </w:rPr>
              <w:t>”的培训</w:t>
            </w:r>
          </w:p>
        </w:tc>
        <w:tc>
          <w:tcPr>
            <w:tcW w:w="1598" w:type="dxa"/>
            <w:shd w:val="clear" w:color="auto" w:fill="auto"/>
          </w:tcPr>
          <w:p w14:paraId="046E1D8C">
            <w:pPr>
              <w:pStyle w:val="25"/>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right="143" w:hanging="302"/>
              <w:rPr>
                <w:rFonts w:hint="default" w:ascii="Arial" w:hAnsi="Arial" w:eastAsia="宋体" w:cs="Arial"/>
                <w:snapToGrid w:val="0"/>
                <w:color w:val="000000"/>
                <w:kern w:val="0"/>
                <w:sz w:val="21"/>
                <w:szCs w:val="21"/>
                <w:lang w:val="en-US" w:eastAsia="zh-CN" w:bidi="ar-SA"/>
              </w:rPr>
            </w:pPr>
            <w:r>
              <w:rPr>
                <w:spacing w:val="-2"/>
                <w:sz w:val="20"/>
                <w:szCs w:val="20"/>
              </w:rPr>
              <w:t>1 月上旬</w:t>
            </w:r>
          </w:p>
        </w:tc>
        <w:tc>
          <w:tcPr>
            <w:tcW w:w="1099" w:type="dxa"/>
            <w:shd w:val="clear" w:color="auto" w:fill="auto"/>
          </w:tcPr>
          <w:p w14:paraId="36A461BC">
            <w:pPr>
              <w:keepNext w:val="0"/>
              <w:keepLines w:val="0"/>
              <w:pageBreakBefore w:val="0"/>
              <w:widowControl w:val="0"/>
              <w:kinsoku w:val="0"/>
              <w:wordWrap/>
              <w:overflowPunct/>
              <w:topLinePunct w:val="0"/>
              <w:autoSpaceDE w:val="0"/>
              <w:autoSpaceDN w:val="0"/>
              <w:bidi w:val="0"/>
              <w:adjustRightInd w:val="0"/>
              <w:snapToGrid w:val="0"/>
              <w:rPr>
                <w:rFonts w:hint="default" w:ascii="Arial" w:hAnsi="Arial"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shd w:val="clear" w:color="auto" w:fill="auto"/>
          </w:tcPr>
          <w:p w14:paraId="2BA98CA9">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en-US" w:bidi="ar-SA"/>
              </w:rPr>
            </w:pPr>
            <w:r>
              <w:rPr>
                <w:rFonts w:hint="eastAsia" w:eastAsia="宋体" w:cs="Arial"/>
                <w:snapToGrid w:val="0"/>
                <w:color w:val="000000"/>
                <w:kern w:val="0"/>
                <w:sz w:val="21"/>
                <w:szCs w:val="21"/>
                <w:lang w:val="en-US" w:eastAsia="zh-CN" w:bidi="ar-SA"/>
              </w:rPr>
              <w:t>培训记录</w:t>
            </w:r>
          </w:p>
        </w:tc>
      </w:tr>
      <w:tr w14:paraId="27E53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24C23736">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eastAsia="宋体"/>
                <w:spacing w:val="-2"/>
                <w:sz w:val="20"/>
                <w:szCs w:val="20"/>
                <w:lang w:val="en-US" w:eastAsia="zh-CN"/>
              </w:rPr>
            </w:pPr>
            <w:r>
              <w:rPr>
                <w:rFonts w:hint="eastAsia"/>
                <w:spacing w:val="-2"/>
                <w:sz w:val="20"/>
                <w:szCs w:val="20"/>
                <w:lang w:val="en-US" w:eastAsia="zh-CN"/>
              </w:rPr>
              <w:t>软件版本正确率审核</w:t>
            </w:r>
          </w:p>
        </w:tc>
        <w:tc>
          <w:tcPr>
            <w:tcW w:w="1598" w:type="dxa"/>
            <w:shd w:val="clear" w:color="auto" w:fill="auto"/>
          </w:tcPr>
          <w:p w14:paraId="79577453">
            <w:pPr>
              <w:pStyle w:val="25"/>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right="143" w:hanging="302"/>
              <w:rPr>
                <w:rFonts w:hint="default" w:eastAsia="宋体"/>
                <w:spacing w:val="-2"/>
                <w:sz w:val="20"/>
                <w:szCs w:val="20"/>
                <w:lang w:val="en-US" w:eastAsia="zh-CN"/>
              </w:rPr>
            </w:pPr>
            <w:r>
              <w:rPr>
                <w:rFonts w:hint="eastAsia"/>
                <w:spacing w:val="-2"/>
                <w:sz w:val="20"/>
                <w:szCs w:val="20"/>
                <w:lang w:val="en-US" w:eastAsia="zh-CN"/>
              </w:rPr>
              <w:t>季/次</w:t>
            </w:r>
          </w:p>
        </w:tc>
        <w:tc>
          <w:tcPr>
            <w:tcW w:w="1099" w:type="dxa"/>
            <w:shd w:val="clear" w:color="auto" w:fill="auto"/>
          </w:tcPr>
          <w:p w14:paraId="07E40DD6">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shd w:val="clear" w:color="auto" w:fill="auto"/>
          </w:tcPr>
          <w:p w14:paraId="2DE97EA7">
            <w:pPr>
              <w:keepNext w:val="0"/>
              <w:keepLines w:val="0"/>
              <w:pageBreakBefore w:val="0"/>
              <w:widowControl w:val="0"/>
              <w:kinsoku w:val="0"/>
              <w:wordWrap/>
              <w:overflowPunct/>
              <w:topLinePunct w:val="0"/>
              <w:autoSpaceDE w:val="0"/>
              <w:autoSpaceDN w:val="0"/>
              <w:bidi w:val="0"/>
              <w:adjustRightInd w:val="0"/>
              <w:snapToGrid w:val="0"/>
              <w:jc w:val="center"/>
              <w:rPr>
                <w:rFonts w:hint="default"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《最终软件库应用情况说明》</w:t>
            </w:r>
          </w:p>
        </w:tc>
      </w:tr>
      <w:tr w14:paraId="71A64A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17A751AC">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eastAsia="宋体"/>
                <w:b/>
                <w:bCs/>
                <w:spacing w:val="-7"/>
                <w:sz w:val="20"/>
                <w:szCs w:val="20"/>
                <w:lang w:val="en-US" w:eastAsia="zh-CN"/>
              </w:rPr>
            </w:pPr>
            <w:r>
              <w:rPr>
                <w:rFonts w:hint="eastAsia"/>
                <w:b/>
                <w:bCs/>
                <w:spacing w:val="-7"/>
                <w:sz w:val="20"/>
                <w:szCs w:val="20"/>
                <w:lang w:val="en-US" w:eastAsia="zh-CN"/>
              </w:rPr>
              <w:t>六、服务数据</w:t>
            </w:r>
          </w:p>
        </w:tc>
        <w:tc>
          <w:tcPr>
            <w:tcW w:w="1598" w:type="dxa"/>
            <w:shd w:val="clear" w:color="auto" w:fill="auto"/>
          </w:tcPr>
          <w:p w14:paraId="535BB731">
            <w:pPr>
              <w:keepNext w:val="0"/>
              <w:keepLines w:val="0"/>
              <w:pageBreakBefore w:val="0"/>
              <w:widowControl w:val="0"/>
              <w:kinsoku w:val="0"/>
              <w:wordWrap/>
              <w:overflowPunct/>
              <w:topLinePunct w:val="0"/>
              <w:autoSpaceDE w:val="0"/>
              <w:autoSpaceDN w:val="0"/>
              <w:bidi w:val="0"/>
              <w:adjustRightInd w:val="0"/>
              <w:snapToGrid w:val="0"/>
              <w:rPr>
                <w:rFonts w:ascii="Arial" w:hAnsi="Arial" w:eastAsia="Arial" w:cs="Arial"/>
                <w:snapToGrid w:val="0"/>
                <w:color w:val="000000"/>
                <w:kern w:val="0"/>
                <w:sz w:val="21"/>
                <w:szCs w:val="21"/>
                <w:lang w:val="en-US" w:eastAsia="en-US" w:bidi="ar-SA"/>
              </w:rPr>
            </w:pPr>
          </w:p>
        </w:tc>
        <w:tc>
          <w:tcPr>
            <w:tcW w:w="1099" w:type="dxa"/>
            <w:shd w:val="clear" w:color="auto" w:fill="auto"/>
          </w:tcPr>
          <w:p w14:paraId="74E90921">
            <w:pPr>
              <w:keepNext w:val="0"/>
              <w:keepLines w:val="0"/>
              <w:pageBreakBefore w:val="0"/>
              <w:widowControl w:val="0"/>
              <w:kinsoku w:val="0"/>
              <w:wordWrap/>
              <w:overflowPunct/>
              <w:topLinePunct w:val="0"/>
              <w:autoSpaceDE w:val="0"/>
              <w:autoSpaceDN w:val="0"/>
              <w:bidi w:val="0"/>
              <w:adjustRightInd w:val="0"/>
              <w:snapToGrid w:val="0"/>
              <w:rPr>
                <w:rFonts w:ascii="Arial" w:hAnsi="Arial" w:eastAsia="Arial" w:cs="Arial"/>
                <w:snapToGrid w:val="0"/>
                <w:color w:val="000000"/>
                <w:kern w:val="0"/>
                <w:sz w:val="21"/>
                <w:szCs w:val="21"/>
                <w:lang w:val="en-US" w:eastAsia="en-US" w:bidi="ar-SA"/>
              </w:rPr>
            </w:pPr>
          </w:p>
        </w:tc>
        <w:tc>
          <w:tcPr>
            <w:tcW w:w="3001" w:type="dxa"/>
            <w:shd w:val="clear" w:color="auto" w:fill="auto"/>
          </w:tcPr>
          <w:p w14:paraId="7816EEEC">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en-US" w:bidi="ar-SA"/>
              </w:rPr>
            </w:pPr>
          </w:p>
        </w:tc>
      </w:tr>
      <w:tr w14:paraId="13643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54E0020B">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ascii="宋体" w:hAnsi="宋体" w:eastAsia="宋体" w:cs="宋体"/>
                <w:b/>
                <w:bCs/>
                <w:snapToGrid w:val="0"/>
                <w:color w:val="000000"/>
                <w:spacing w:val="-7"/>
                <w:kern w:val="0"/>
                <w:sz w:val="20"/>
                <w:szCs w:val="20"/>
                <w:lang w:val="en-US" w:eastAsia="zh-CN" w:bidi="ar-SA"/>
              </w:rPr>
            </w:pPr>
            <w:r>
              <w:rPr>
                <w:rFonts w:hint="eastAsia"/>
                <w:spacing w:val="-2"/>
                <w:sz w:val="20"/>
                <w:szCs w:val="20"/>
                <w:lang w:val="en-US" w:eastAsia="zh-CN"/>
              </w:rPr>
              <w:t>服务数据管理制度培训</w:t>
            </w:r>
          </w:p>
        </w:tc>
        <w:tc>
          <w:tcPr>
            <w:tcW w:w="1598" w:type="dxa"/>
            <w:shd w:val="clear" w:color="auto" w:fill="auto"/>
          </w:tcPr>
          <w:p w14:paraId="2C1A7F61">
            <w:pPr>
              <w:pStyle w:val="25"/>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leftChars="0" w:right="143" w:rightChars="0" w:hanging="302" w:firstLineChars="0"/>
              <w:rPr>
                <w:rFonts w:hint="default" w:ascii="Arial" w:hAnsi="Arial" w:eastAsia="宋体" w:cs="Arial"/>
                <w:snapToGrid w:val="0"/>
                <w:color w:val="000000"/>
                <w:kern w:val="0"/>
                <w:sz w:val="21"/>
                <w:szCs w:val="21"/>
                <w:lang w:val="en-US" w:eastAsia="en-US" w:bidi="ar-SA"/>
              </w:rPr>
            </w:pPr>
            <w:r>
              <w:rPr>
                <w:spacing w:val="-2"/>
                <w:sz w:val="20"/>
                <w:szCs w:val="20"/>
              </w:rPr>
              <w:t>1月上旬</w:t>
            </w:r>
          </w:p>
        </w:tc>
        <w:tc>
          <w:tcPr>
            <w:tcW w:w="1099" w:type="dxa"/>
            <w:shd w:val="clear" w:color="auto" w:fill="auto"/>
          </w:tcPr>
          <w:p w14:paraId="196462B2">
            <w:pPr>
              <w:keepNext w:val="0"/>
              <w:keepLines w:val="0"/>
              <w:pageBreakBefore w:val="0"/>
              <w:widowControl w:val="0"/>
              <w:kinsoku w:val="0"/>
              <w:wordWrap/>
              <w:overflowPunct/>
              <w:topLinePunct w:val="0"/>
              <w:autoSpaceDE w:val="0"/>
              <w:autoSpaceDN w:val="0"/>
              <w:bidi w:val="0"/>
              <w:adjustRightInd w:val="0"/>
              <w:snapToGrid w:val="0"/>
              <w:rPr>
                <w:rFonts w:hint="default" w:ascii="Arial" w:hAnsi="Arial" w:eastAsia="宋体" w:cs="Arial"/>
                <w:snapToGrid w:val="0"/>
                <w:color w:val="000000"/>
                <w:kern w:val="0"/>
                <w:sz w:val="21"/>
                <w:szCs w:val="21"/>
                <w:lang w:val="en-US" w:eastAsia="en-US" w:bidi="ar-SA"/>
              </w:rPr>
            </w:pPr>
            <w:r>
              <w:rPr>
                <w:rFonts w:hint="eastAsia" w:eastAsia="宋体" w:cs="Arial"/>
                <w:snapToGrid w:val="0"/>
                <w:color w:val="000000"/>
                <w:kern w:val="0"/>
                <w:sz w:val="21"/>
                <w:szCs w:val="21"/>
                <w:lang w:val="en-US" w:eastAsia="zh-CN" w:bidi="ar-SA"/>
              </w:rPr>
              <w:t>运维部</w:t>
            </w:r>
          </w:p>
        </w:tc>
        <w:tc>
          <w:tcPr>
            <w:tcW w:w="3001" w:type="dxa"/>
            <w:shd w:val="clear" w:color="auto" w:fill="auto"/>
          </w:tcPr>
          <w:p w14:paraId="681A651F">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en-US" w:bidi="ar-SA"/>
              </w:rPr>
            </w:pPr>
            <w:r>
              <w:rPr>
                <w:rFonts w:hint="eastAsia" w:eastAsia="宋体" w:cs="Arial"/>
                <w:snapToGrid w:val="0"/>
                <w:color w:val="000000"/>
                <w:kern w:val="0"/>
                <w:sz w:val="21"/>
                <w:szCs w:val="21"/>
                <w:lang w:val="en-US" w:eastAsia="zh-CN" w:bidi="ar-SA"/>
              </w:rPr>
              <w:t>培训记录</w:t>
            </w:r>
          </w:p>
        </w:tc>
      </w:tr>
      <w:tr w14:paraId="74C66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49748066">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ascii="宋体" w:hAnsi="宋体" w:eastAsia="宋体" w:cs="宋体"/>
                <w:snapToGrid w:val="0"/>
                <w:color w:val="000000"/>
                <w:spacing w:val="-2"/>
                <w:kern w:val="0"/>
                <w:sz w:val="20"/>
                <w:szCs w:val="20"/>
                <w:lang w:val="en-US" w:eastAsia="zh-CN" w:bidi="ar-SA"/>
              </w:rPr>
            </w:pPr>
            <w:r>
              <w:rPr>
                <w:rFonts w:hint="eastAsia"/>
                <w:spacing w:val="-2"/>
                <w:sz w:val="20"/>
                <w:szCs w:val="20"/>
                <w:lang w:val="en-US" w:eastAsia="zh-CN"/>
              </w:rPr>
              <w:t>服务数据分析利用次数</w:t>
            </w:r>
          </w:p>
        </w:tc>
        <w:tc>
          <w:tcPr>
            <w:tcW w:w="1598" w:type="dxa"/>
            <w:shd w:val="clear" w:color="auto" w:fill="auto"/>
          </w:tcPr>
          <w:p w14:paraId="4A98B4DE">
            <w:pPr>
              <w:pStyle w:val="25"/>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leftChars="0" w:right="143" w:rightChars="0" w:hanging="302" w:firstLineChars="0"/>
              <w:rPr>
                <w:rFonts w:hint="default" w:ascii="宋体" w:hAnsi="宋体" w:eastAsia="宋体" w:cs="宋体"/>
                <w:snapToGrid w:val="0"/>
                <w:color w:val="000000"/>
                <w:spacing w:val="-2"/>
                <w:kern w:val="0"/>
                <w:sz w:val="20"/>
                <w:szCs w:val="20"/>
                <w:lang w:val="en-US" w:eastAsia="en-US" w:bidi="ar-SA"/>
              </w:rPr>
            </w:pPr>
            <w:r>
              <w:rPr>
                <w:rFonts w:hint="eastAsia"/>
                <w:spacing w:val="-3"/>
                <w:sz w:val="20"/>
                <w:szCs w:val="20"/>
                <w:lang w:val="en-US" w:eastAsia="zh-CN"/>
              </w:rPr>
              <w:t>次/季度</w:t>
            </w:r>
          </w:p>
        </w:tc>
        <w:tc>
          <w:tcPr>
            <w:tcW w:w="1099" w:type="dxa"/>
            <w:shd w:val="clear" w:color="auto" w:fill="auto"/>
          </w:tcPr>
          <w:p w14:paraId="7D513C47">
            <w:pPr>
              <w:keepNext w:val="0"/>
              <w:keepLines w:val="0"/>
              <w:pageBreakBefore w:val="0"/>
              <w:widowControl w:val="0"/>
              <w:kinsoku w:val="0"/>
              <w:wordWrap/>
              <w:overflowPunct/>
              <w:topLinePunct w:val="0"/>
              <w:autoSpaceDE w:val="0"/>
              <w:autoSpaceDN w:val="0"/>
              <w:bidi w:val="0"/>
              <w:adjustRightInd w:val="0"/>
              <w:snapToGrid w:val="0"/>
              <w:rPr>
                <w:rFonts w:hint="eastAsia" w:ascii="Arial" w:hAnsi="Arial" w:eastAsia="宋体" w:cs="Arial"/>
                <w:snapToGrid w:val="0"/>
                <w:color w:val="000000"/>
                <w:kern w:val="0"/>
                <w:sz w:val="21"/>
                <w:szCs w:val="21"/>
                <w:lang w:val="en-US" w:eastAsia="en-US" w:bidi="ar-SA"/>
              </w:rPr>
            </w:pPr>
            <w:r>
              <w:rPr>
                <w:rFonts w:hint="eastAsia" w:eastAsia="宋体" w:cs="Arial"/>
                <w:snapToGrid w:val="0"/>
                <w:color w:val="000000"/>
                <w:kern w:val="0"/>
                <w:sz w:val="21"/>
                <w:szCs w:val="21"/>
                <w:lang w:val="en-US" w:eastAsia="zh-CN" w:bidi="ar-SA"/>
              </w:rPr>
              <w:t>运维部</w:t>
            </w:r>
          </w:p>
        </w:tc>
        <w:tc>
          <w:tcPr>
            <w:tcW w:w="3001" w:type="dxa"/>
            <w:shd w:val="clear" w:color="auto" w:fill="auto"/>
          </w:tcPr>
          <w:p w14:paraId="4BDF5F97">
            <w:pPr>
              <w:keepNext w:val="0"/>
              <w:keepLines w:val="0"/>
              <w:pageBreakBefore w:val="0"/>
              <w:widowControl w:val="0"/>
              <w:kinsoku w:val="0"/>
              <w:wordWrap/>
              <w:overflowPunct/>
              <w:topLinePunct w:val="0"/>
              <w:autoSpaceDE w:val="0"/>
              <w:autoSpaceDN w:val="0"/>
              <w:bidi w:val="0"/>
              <w:adjustRightInd w:val="0"/>
              <w:snapToGrid w:val="0"/>
              <w:jc w:val="center"/>
              <w:rPr>
                <w:rFonts w:hint="default" w:eastAsia="宋体" w:cs="Arial"/>
                <w:snapToGrid w:val="0"/>
                <w:color w:val="000000"/>
                <w:kern w:val="0"/>
                <w:sz w:val="21"/>
                <w:szCs w:val="21"/>
                <w:lang w:val="en-US" w:eastAsia="en-US" w:bidi="ar-SA"/>
              </w:rPr>
            </w:pPr>
            <w:r>
              <w:rPr>
                <w:rFonts w:hint="eastAsia" w:eastAsia="宋体" w:cs="Arial"/>
                <w:snapToGrid w:val="0"/>
                <w:color w:val="000000"/>
                <w:kern w:val="0"/>
                <w:sz w:val="21"/>
                <w:szCs w:val="21"/>
                <w:lang w:val="en-US" w:eastAsia="zh-CN" w:bidi="ar-SA"/>
              </w:rPr>
              <w:t>《服务数据分析报告》</w:t>
            </w:r>
          </w:p>
        </w:tc>
      </w:tr>
    </w:tbl>
    <w:p w14:paraId="0195C1C7">
      <w:pPr>
        <w:pStyle w:val="27"/>
        <w:keepNext w:val="0"/>
        <w:keepLines w:val="0"/>
        <w:pageBreakBefore w:val="0"/>
        <w:widowControl w:val="0"/>
        <w:kinsoku w:val="0"/>
        <w:wordWrap/>
        <w:overflowPunct/>
        <w:topLinePunct w:val="0"/>
        <w:autoSpaceDE w:val="0"/>
        <w:autoSpaceDN w:val="0"/>
        <w:bidi w:val="0"/>
        <w:adjustRightInd w:val="0"/>
        <w:snapToGrid w:val="0"/>
      </w:pPr>
      <w:bookmarkStart w:id="57" w:name="_Toc19852"/>
      <w:r>
        <w:t>技术方面</w:t>
      </w:r>
      <w:bookmarkEnd w:id="55"/>
      <w:bookmarkEnd w:id="56"/>
      <w:bookmarkEnd w:id="57"/>
    </w:p>
    <w:p w14:paraId="74F92022">
      <w:pPr>
        <w:pStyle w:val="29"/>
        <w:keepNext w:val="0"/>
        <w:keepLines w:val="0"/>
        <w:pageBreakBefore w:val="0"/>
        <w:widowControl w:val="0"/>
        <w:kinsoku w:val="0"/>
        <w:wordWrap/>
        <w:overflowPunct/>
        <w:topLinePunct w:val="0"/>
        <w:autoSpaceDE w:val="0"/>
        <w:autoSpaceDN w:val="0"/>
        <w:bidi w:val="0"/>
        <w:adjustRightInd w:val="0"/>
        <w:snapToGrid w:val="0"/>
      </w:pPr>
      <w:bookmarkStart w:id="58" w:name="bookmark68"/>
      <w:bookmarkEnd w:id="58"/>
      <w:bookmarkStart w:id="59" w:name="_Toc13246"/>
      <w:bookmarkStart w:id="60" w:name="_Toc4835"/>
      <w:bookmarkStart w:id="61" w:name="_Toc24673"/>
      <w:r>
        <w:t>现状分析</w:t>
      </w:r>
      <w:bookmarkEnd w:id="59"/>
      <w:bookmarkEnd w:id="60"/>
      <w:bookmarkEnd w:id="61"/>
    </w:p>
    <w:p w14:paraId="4172C8AC">
      <w:pPr>
        <w:pStyle w:val="28"/>
        <w:rPr>
          <w:rFonts w:hint="eastAsia"/>
        </w:rPr>
      </w:pPr>
      <w:r>
        <w:rPr>
          <w:rFonts w:hint="eastAsia"/>
        </w:rPr>
        <w:t>目前投入使用的360安全云数字协作平台总体功能框架较为完善，但其具体功能模块与操作流程在设计上未能充分贴合运维服务人员的实际工作场景与高频使用习惯。平台在任务分派协同、知识库集成调用、移动端快捷处理等关键细节上存在适配不足，导致运维人员在日常工作中需进行冗余操作或跨平台处理，客观上增加了工作复杂度，影响了工作效率与体验。</w:t>
      </w:r>
    </w:p>
    <w:p w14:paraId="7AD277FC">
      <w:pPr>
        <w:pStyle w:val="29"/>
        <w:bidi w:val="0"/>
        <w:rPr>
          <w:rFonts w:hint="eastAsia"/>
          <w:lang w:val="en-US" w:eastAsia="zh-CN"/>
        </w:rPr>
      </w:pPr>
      <w:bookmarkStart w:id="62" w:name="_Toc28374"/>
      <w:r>
        <w:rPr>
          <w:rFonts w:hint="eastAsia"/>
          <w:lang w:val="en-US" w:eastAsia="zh-CN"/>
        </w:rPr>
        <w:t>改进目标</w:t>
      </w:r>
      <w:bookmarkEnd w:id="62"/>
    </w:p>
    <w:p w14:paraId="0435217E">
      <w:pPr>
        <w:pStyle w:val="28"/>
        <w:rPr>
          <w:rFonts w:hint="eastAsia"/>
          <w:lang w:val="en-US" w:eastAsia="zh-CN"/>
        </w:rPr>
      </w:pPr>
      <w:r>
        <w:rPr>
          <w:rFonts w:hint="eastAsia"/>
          <w:lang w:val="en-US" w:eastAsia="zh-CN"/>
        </w:rPr>
        <w:t>为精准匹配运维服务业务场景，降低操作复杂度，显著提升运维团队工作效率与协同体验，公司决定启动针对该平台的专项二次开发。本次开发旨在对现有平台进行场景化优化与功能增强，使其更贴合运维工作流，实现“平台赋能业务”的目标。</w:t>
      </w:r>
    </w:p>
    <w:p w14:paraId="7837897A">
      <w:pPr>
        <w:pStyle w:val="29"/>
        <w:bidi w:val="0"/>
        <w:rPr>
          <w:rFonts w:hint="default"/>
          <w:lang w:val="en-US" w:eastAsia="zh-CN"/>
        </w:rPr>
      </w:pPr>
      <w:bookmarkStart w:id="63" w:name="_Toc5386"/>
      <w:r>
        <w:rPr>
          <w:rFonts w:hint="eastAsia"/>
          <w:lang w:val="en-US" w:eastAsia="zh-CN"/>
        </w:rPr>
        <w:t>实施计划</w:t>
      </w:r>
      <w:bookmarkEnd w:id="63"/>
    </w:p>
    <w:p w14:paraId="1174F1F3">
      <w:pPr>
        <w:pStyle w:val="28"/>
        <w:rPr>
          <w:rFonts w:hint="default"/>
          <w:lang w:val="en-US" w:eastAsia="zh-CN"/>
        </w:rPr>
      </w:pPr>
      <w:r>
        <w:rPr>
          <w:rFonts w:hint="default"/>
          <w:lang w:val="en-US" w:eastAsia="zh-CN"/>
        </w:rPr>
        <w:t>本次二次开发将依据《运维服务技术研发规划》系统推进。计划将围绕需求细化、功能设计、迭代开发、测试上线及培训推广等关键阶段展开，确保开发成果能有效落地并服务于运维团队的实际工作。详细的任务排期、资源分配与技术方案请参见该规划文档。</w:t>
      </w:r>
    </w:p>
    <w:p w14:paraId="02816DE2">
      <w:pPr>
        <w:pStyle w:val="27"/>
        <w:keepNext w:val="0"/>
        <w:keepLines w:val="0"/>
        <w:pageBreakBefore w:val="0"/>
        <w:widowControl w:val="0"/>
        <w:kinsoku w:val="0"/>
        <w:wordWrap/>
        <w:overflowPunct/>
        <w:topLinePunct w:val="0"/>
        <w:autoSpaceDE w:val="0"/>
        <w:autoSpaceDN w:val="0"/>
        <w:bidi w:val="0"/>
        <w:adjustRightInd w:val="0"/>
        <w:snapToGrid w:val="0"/>
      </w:pPr>
      <w:bookmarkStart w:id="64" w:name="_Toc8024"/>
      <w:bookmarkStart w:id="65" w:name="_Toc31354"/>
      <w:bookmarkStart w:id="66" w:name="_Toc20018"/>
      <w:r>
        <w:t>过程体系方面</w:t>
      </w:r>
      <w:bookmarkEnd w:id="64"/>
      <w:bookmarkEnd w:id="65"/>
      <w:bookmarkEnd w:id="66"/>
    </w:p>
    <w:p w14:paraId="15B11414">
      <w:pPr>
        <w:pStyle w:val="29"/>
        <w:keepNext w:val="0"/>
        <w:keepLines w:val="0"/>
        <w:pageBreakBefore w:val="0"/>
        <w:widowControl w:val="0"/>
        <w:kinsoku w:val="0"/>
        <w:wordWrap/>
        <w:overflowPunct/>
        <w:topLinePunct w:val="0"/>
        <w:autoSpaceDE w:val="0"/>
        <w:autoSpaceDN w:val="0"/>
        <w:bidi w:val="0"/>
        <w:adjustRightInd w:val="0"/>
        <w:snapToGrid w:val="0"/>
      </w:pPr>
      <w:bookmarkStart w:id="67" w:name="bookmark70"/>
      <w:bookmarkEnd w:id="67"/>
      <w:bookmarkStart w:id="68" w:name="_Toc28531"/>
      <w:bookmarkStart w:id="69" w:name="_Toc3860"/>
      <w:bookmarkStart w:id="70" w:name="_Toc2634"/>
      <w:r>
        <w:t>现状分析</w:t>
      </w:r>
      <w:bookmarkEnd w:id="68"/>
      <w:bookmarkEnd w:id="69"/>
      <w:bookmarkEnd w:id="70"/>
    </w:p>
    <w:p w14:paraId="6224702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经过多年的运行和发展，运维服务团队结合客户业务运维的特点，已形成一套适合我司信息化发展特点的过程管理规范，包括服务请求、故障处理、巡检、配置、发布、安全等管理规范和流程。现需要对</w:t>
      </w:r>
      <w:r>
        <w:rPr>
          <w:rFonts w:hint="eastAsia" w:ascii="宋体" w:hAnsi="宋体" w:eastAsia="宋体" w:cs="宋体"/>
          <w:spacing w:val="-1"/>
          <w:sz w:val="24"/>
          <w:szCs w:val="24"/>
          <w:lang w:val="en-US" w:eastAsia="zh-CN"/>
        </w:rPr>
        <w:t>以上</w:t>
      </w:r>
      <w:r>
        <w:rPr>
          <w:rFonts w:hint="eastAsia" w:ascii="宋体" w:hAnsi="宋体" w:eastAsia="宋体" w:cs="宋体"/>
          <w:spacing w:val="-1"/>
          <w:sz w:val="24"/>
          <w:szCs w:val="24"/>
        </w:rPr>
        <w:t>过程进行持续落实与优化，持续改进事件、变更、发布、信息安全管理、服务级别、服务报告、问题管理、配置管理等过程，以便在符合业务运行情况下满足ITSS相关要求。</w:t>
      </w:r>
    </w:p>
    <w:p w14:paraId="53E5137C">
      <w:pPr>
        <w:pStyle w:val="29"/>
        <w:keepNext w:val="0"/>
        <w:keepLines w:val="0"/>
        <w:pageBreakBefore w:val="0"/>
        <w:widowControl w:val="0"/>
        <w:kinsoku w:val="0"/>
        <w:wordWrap/>
        <w:overflowPunct/>
        <w:topLinePunct w:val="0"/>
        <w:autoSpaceDE w:val="0"/>
        <w:autoSpaceDN w:val="0"/>
        <w:bidi w:val="0"/>
        <w:adjustRightInd w:val="0"/>
        <w:snapToGrid w:val="0"/>
      </w:pPr>
      <w:bookmarkStart w:id="71" w:name="_Toc22619"/>
      <w:bookmarkStart w:id="72" w:name="_Toc18535"/>
      <w:bookmarkStart w:id="73" w:name="_Toc6652"/>
      <w:r>
        <w:t>改进目标</w:t>
      </w:r>
      <w:bookmarkEnd w:id="71"/>
      <w:bookmarkEnd w:id="72"/>
      <w:bookmarkEnd w:id="73"/>
    </w:p>
    <w:p w14:paraId="32295BFC">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74" w:name="bookmark71"/>
      <w:bookmarkEnd w:id="74"/>
      <w:bookmarkStart w:id="75" w:name="_Toc10375"/>
      <w:bookmarkStart w:id="76" w:name="_Toc28074"/>
      <w:bookmarkStart w:id="77" w:name="_Toc24350"/>
      <w:bookmarkStart w:id="78" w:name="_Toc1428"/>
      <w:bookmarkStart w:id="79" w:name="_Toc5916"/>
      <w:r>
        <w:rPr>
          <w:rFonts w:hint="eastAsia"/>
          <w:lang w:val="en-US" w:eastAsia="zh-CN"/>
        </w:rPr>
        <w:t>过程框架设计</w:t>
      </w:r>
      <w:bookmarkEnd w:id="75"/>
      <w:bookmarkEnd w:id="76"/>
      <w:bookmarkEnd w:id="77"/>
    </w:p>
    <w:p w14:paraId="5AD0329A">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建立一个灵活、可扩展的过程框架，用于管理和执行业务流程、工作流或系统操作序列。</w:t>
      </w:r>
    </w:p>
    <w:p w14:paraId="6936CC1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选择一个运维项目在依据业主方要求建立《过程框架设计方案》并在服务过程中提交阶段性服务报告。</w:t>
      </w:r>
    </w:p>
    <w:p w14:paraId="467398D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3、过程框架每半年至少评估一次。</w:t>
      </w:r>
    </w:p>
    <w:p w14:paraId="054DAA89">
      <w:pPr>
        <w:pStyle w:val="30"/>
        <w:keepNext w:val="0"/>
        <w:keepLines w:val="0"/>
        <w:pageBreakBefore w:val="0"/>
        <w:widowControl w:val="0"/>
        <w:kinsoku w:val="0"/>
        <w:wordWrap/>
        <w:overflowPunct/>
        <w:topLinePunct w:val="0"/>
        <w:autoSpaceDE w:val="0"/>
        <w:autoSpaceDN w:val="0"/>
        <w:bidi w:val="0"/>
        <w:adjustRightInd w:val="0"/>
        <w:snapToGrid w:val="0"/>
      </w:pPr>
      <w:bookmarkStart w:id="80" w:name="_Toc31634"/>
      <w:r>
        <w:t>服务级别管理</w:t>
      </w:r>
      <w:bookmarkEnd w:id="78"/>
      <w:bookmarkEnd w:id="79"/>
      <w:bookmarkEnd w:id="80"/>
    </w:p>
    <w:p w14:paraId="4684EF55">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ascii="宋体" w:hAnsi="宋体" w:eastAsia="宋体" w:cs="宋体"/>
          <w:spacing w:val="-2"/>
          <w:sz w:val="24"/>
          <w:szCs w:val="24"/>
        </w:rPr>
        <w:t>1</w:t>
      </w:r>
      <w:r>
        <w:rPr>
          <w:rFonts w:hint="eastAsia" w:ascii="宋体" w:hAnsi="宋体" w:eastAsia="宋体" w:cs="宋体"/>
          <w:spacing w:val="-1"/>
          <w:sz w:val="24"/>
          <w:szCs w:val="24"/>
          <w:lang w:val="en-US" w:eastAsia="zh-CN"/>
        </w:rPr>
        <w:t>、继续执行《服务级别管理程序》，并持续优化、改进服务级别管理过程，根据现场实际情况制定 SLA 相关指标，不同客户使用不同标准。</w:t>
      </w:r>
    </w:p>
    <w:p w14:paraId="17FC1BB4">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2、定期召开SLA回顾会议，对SLA进行有效评审，对于不适合的SLA进行改进。</w:t>
      </w:r>
    </w:p>
    <w:p w14:paraId="6A67CEC3">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3、提高所有人员尤其是现场一线工程师对服务级别协议的履行意识，加强对项目服务级别协议的执行管控，提高客户满意度。</w:t>
      </w:r>
    </w:p>
    <w:p w14:paraId="2C99BB8B">
      <w:pPr>
        <w:pStyle w:val="30"/>
        <w:keepNext w:val="0"/>
        <w:keepLines w:val="0"/>
        <w:pageBreakBefore w:val="0"/>
        <w:widowControl w:val="0"/>
        <w:kinsoku w:val="0"/>
        <w:wordWrap/>
        <w:overflowPunct/>
        <w:topLinePunct w:val="0"/>
        <w:autoSpaceDE w:val="0"/>
        <w:autoSpaceDN w:val="0"/>
        <w:bidi w:val="0"/>
        <w:adjustRightInd w:val="0"/>
        <w:snapToGrid w:val="0"/>
      </w:pPr>
      <w:bookmarkStart w:id="81" w:name="_Toc29805"/>
      <w:bookmarkStart w:id="82" w:name="_Toc15217"/>
      <w:bookmarkStart w:id="83" w:name="_Toc419"/>
      <w:r>
        <w:t>服务报告管理</w:t>
      </w:r>
      <w:bookmarkEnd w:id="81"/>
      <w:bookmarkEnd w:id="82"/>
      <w:bookmarkEnd w:id="83"/>
    </w:p>
    <w:p w14:paraId="536B42BD">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1、继续执行《服务报告管理程序》，并持续优化、改进服务报告管理过程。如明确运维过程中需要提交的相关文档（服务报告等），规范《服务报告》模板，推广到各项目中进行实际应用。</w:t>
      </w:r>
    </w:p>
    <w:p w14:paraId="27D81796">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2、改进《服务报告》，提高报告提交的规范性和及时性。</w:t>
      </w:r>
    </w:p>
    <w:p w14:paraId="404E8C0B">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3、根据客户的要求，进行定期或者不定期的沟通。</w:t>
      </w:r>
    </w:p>
    <w:p w14:paraId="034E6225">
      <w:pPr>
        <w:pStyle w:val="30"/>
        <w:keepNext w:val="0"/>
        <w:keepLines w:val="0"/>
        <w:pageBreakBefore w:val="0"/>
        <w:widowControl w:val="0"/>
        <w:kinsoku w:val="0"/>
        <w:wordWrap/>
        <w:overflowPunct/>
        <w:topLinePunct w:val="0"/>
        <w:autoSpaceDE w:val="0"/>
        <w:autoSpaceDN w:val="0"/>
        <w:bidi w:val="0"/>
        <w:adjustRightInd w:val="0"/>
        <w:snapToGrid w:val="0"/>
      </w:pPr>
      <w:bookmarkStart w:id="84" w:name="_Toc15845"/>
      <w:bookmarkStart w:id="85" w:name="_Toc10758"/>
      <w:bookmarkStart w:id="86" w:name="_Toc5598"/>
      <w:r>
        <w:t>事件管理</w:t>
      </w:r>
      <w:bookmarkEnd w:id="84"/>
      <w:bookmarkEnd w:id="85"/>
      <w:bookmarkEnd w:id="86"/>
    </w:p>
    <w:p w14:paraId="7C98DCED">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1、继续执行《服务事件管理程序》，并持续优化、改进服务事件管理过程。对事件过程监控和升级策略进行调整、优化，及时发现事件处理中可能出现的延误和 SLA 不能达成的情况。</w:t>
      </w:r>
    </w:p>
    <w:p w14:paraId="4F437DEC">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2、加强对一线工程师技术培训，加快识别事件和问题的能力，避免大问题记录成小事件的现象。</w:t>
      </w:r>
    </w:p>
    <w:p w14:paraId="7DC33DF9">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3、加强运维事件响应时间管理。</w:t>
      </w:r>
    </w:p>
    <w:p w14:paraId="624B33C5">
      <w:pPr>
        <w:pStyle w:val="30"/>
        <w:keepNext w:val="0"/>
        <w:keepLines w:val="0"/>
        <w:pageBreakBefore w:val="0"/>
        <w:widowControl w:val="0"/>
        <w:kinsoku w:val="0"/>
        <w:wordWrap/>
        <w:overflowPunct/>
        <w:topLinePunct w:val="0"/>
        <w:autoSpaceDE w:val="0"/>
        <w:autoSpaceDN w:val="0"/>
        <w:bidi w:val="0"/>
        <w:adjustRightInd w:val="0"/>
        <w:snapToGrid w:val="0"/>
      </w:pPr>
      <w:bookmarkStart w:id="87" w:name="_Toc4066"/>
      <w:bookmarkStart w:id="88" w:name="_Toc10579"/>
      <w:bookmarkStart w:id="89" w:name="_Toc1525"/>
      <w:r>
        <w:t>问题管理</w:t>
      </w:r>
      <w:bookmarkEnd w:id="87"/>
      <w:bookmarkEnd w:id="88"/>
      <w:bookmarkEnd w:id="89"/>
    </w:p>
    <w:p w14:paraId="242C2AF7">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1、继续严格执行《服务问题管理程序》，并持续优化、改进服务问题管理过程。如明确相应的流程和职责等。</w:t>
      </w:r>
    </w:p>
    <w:p w14:paraId="1A44303E">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2、明确问题的来源渠道（提出人，问题所属业务系统），明确问题责任人和监督部门。</w:t>
      </w:r>
    </w:p>
    <w:p w14:paraId="5D9717D8">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3、加强问题处理流程培训，明确问题的分类、分级，提高处理、监督分析效率。</w:t>
      </w:r>
    </w:p>
    <w:p w14:paraId="6BE38AAD">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4、问题管理 KPI 考核指标的持续跟踪。</w:t>
      </w:r>
    </w:p>
    <w:p w14:paraId="019CDE52">
      <w:pPr>
        <w:pStyle w:val="30"/>
        <w:keepNext w:val="0"/>
        <w:keepLines w:val="0"/>
        <w:pageBreakBefore w:val="0"/>
        <w:widowControl w:val="0"/>
        <w:kinsoku w:val="0"/>
        <w:wordWrap/>
        <w:overflowPunct/>
        <w:topLinePunct w:val="0"/>
        <w:autoSpaceDE w:val="0"/>
        <w:autoSpaceDN w:val="0"/>
        <w:bidi w:val="0"/>
        <w:adjustRightInd w:val="0"/>
        <w:snapToGrid w:val="0"/>
      </w:pPr>
      <w:bookmarkStart w:id="90" w:name="_Toc7496"/>
      <w:bookmarkStart w:id="91" w:name="_Toc9140"/>
      <w:bookmarkStart w:id="92" w:name="_Toc15471"/>
      <w:r>
        <w:t>变更管理</w:t>
      </w:r>
      <w:bookmarkEnd w:id="90"/>
      <w:bookmarkEnd w:id="91"/>
      <w:bookmarkEnd w:id="92"/>
    </w:p>
    <w:p w14:paraId="3CD2C735">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1、严格执行《变更管理程序》，并持续优化、改进变更管理过程。</w:t>
      </w:r>
    </w:p>
    <w:p w14:paraId="1039CE8F">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2、明确变更管理的范围和要求，确立相关角色和职责，尤其是变更决策。</w:t>
      </w:r>
    </w:p>
    <w:p w14:paraId="2337FEA7">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3、严格执行《变更管理程序》，对变更进行监控，定期的检查和审计。</w:t>
      </w:r>
    </w:p>
    <w:p w14:paraId="246F8917">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4、定期组织人员对变更、发布管理程序进行研讨，运维部根据研讨内容对变更、发布管理程序进行持续改进。</w:t>
      </w:r>
    </w:p>
    <w:p w14:paraId="6BA5FACC">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3" w:name="_Toc514"/>
      <w:bookmarkStart w:id="94" w:name="_Toc12154"/>
      <w:bookmarkStart w:id="95" w:name="_Toc27350"/>
      <w:r>
        <w:t>发布</w:t>
      </w:r>
      <w:r>
        <w:rPr>
          <w:rFonts w:hint="eastAsia"/>
          <w:lang w:val="en-US" w:eastAsia="zh-CN"/>
        </w:rPr>
        <w:t>管理</w:t>
      </w:r>
      <w:bookmarkEnd w:id="93"/>
    </w:p>
    <w:p w14:paraId="40D1B5EA">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1、严格执行《发布管理程序》并持续优化、改进发布管理过程。</w:t>
      </w:r>
    </w:p>
    <w:p w14:paraId="16C3EEE0">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2、明确发布管理的范围和要求，确立相关角色和职责。</w:t>
      </w:r>
    </w:p>
    <w:p w14:paraId="72F627B5">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3、严格执行《发布管理程序》，对发布进行监控，定期的检查和审计。</w:t>
      </w:r>
    </w:p>
    <w:p w14:paraId="5D6FD30D">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6" w:name="_Toc13429"/>
      <w:r>
        <w:rPr>
          <w:rFonts w:hint="eastAsia"/>
          <w:lang w:val="en-US" w:eastAsia="zh-CN"/>
        </w:rPr>
        <w:t>配置</w:t>
      </w:r>
      <w:r>
        <w:t>管理</w:t>
      </w:r>
      <w:bookmarkEnd w:id="94"/>
      <w:bookmarkEnd w:id="95"/>
      <w:bookmarkEnd w:id="96"/>
    </w:p>
    <w:p w14:paraId="1A971FCC">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1、继续执行《配置管理程序》，并持续优化、改进配置管理过程，规范、明确配置项之间的逻辑。</w:t>
      </w:r>
    </w:p>
    <w:p w14:paraId="04010233">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2、改进配置管理文档模板，规范配置项的记录格式。</w:t>
      </w:r>
    </w:p>
    <w:p w14:paraId="35ADE09B">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3、及时执行配置的审计和验证。</w:t>
      </w:r>
    </w:p>
    <w:p w14:paraId="55876B1B">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4、与其他管理过程配合，设立配置变更策略，对配置项的变更及时更新。</w:t>
      </w:r>
    </w:p>
    <w:p w14:paraId="137A239E">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7" w:name="_Toc17542"/>
      <w:bookmarkStart w:id="98" w:name="_Toc26220"/>
      <w:bookmarkStart w:id="99" w:name="_Toc21498"/>
      <w:r>
        <w:rPr>
          <w:rFonts w:hint="eastAsia"/>
          <w:lang w:val="en-US" w:eastAsia="zh-CN"/>
        </w:rPr>
        <w:t>服务可用性和连续性管理</w:t>
      </w:r>
      <w:bookmarkEnd w:id="97"/>
      <w:bookmarkEnd w:id="98"/>
      <w:bookmarkEnd w:id="99"/>
    </w:p>
    <w:p w14:paraId="41ACF45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本年度内建立《服务可用性与连续性管理过程》，当客户业务发生中断或重大灾害、意外事件时，公司在符合成本效益和业务快速恢复的原则下，最大化降低客户业务损失。</w:t>
      </w:r>
    </w:p>
    <w:p w14:paraId="5CFBE3F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实现向容量管理提供灾难中或恢复阶段的服务容量需求，如人员和资源的配给；向变更管理提供可用性计划和连续性计划的变更请求；向服务报告管理输出可用性和连续性管理数据。</w:t>
      </w:r>
    </w:p>
    <w:p w14:paraId="35E98166">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100" w:name="_Toc10388"/>
      <w:bookmarkStart w:id="101" w:name="_Toc10476"/>
      <w:bookmarkStart w:id="102" w:name="_Toc13309"/>
      <w:r>
        <w:rPr>
          <w:rFonts w:hint="eastAsia"/>
          <w:lang w:val="en-US" w:eastAsia="zh-CN"/>
        </w:rPr>
        <w:t>容量管理</w:t>
      </w:r>
      <w:bookmarkEnd w:id="100"/>
      <w:bookmarkEnd w:id="101"/>
      <w:bookmarkEnd w:id="102"/>
    </w:p>
    <w:p w14:paraId="66B043D2">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本年度内建立《容量管理策略》，对业务系统额定容量展开监控和处置，消除客户业务容量风险，确保公司提供的服务满足规定的 SLA，确保客户业务系统的运行满足业务需求。</w:t>
      </w:r>
    </w:p>
    <w:p w14:paraId="5B87937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实现向变更管理提供容量管理变更请求；向服务报告管理输出容量管理数据。</w:t>
      </w:r>
    </w:p>
    <w:p w14:paraId="73967A7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3、季度容量事件次数不超过2次。</w:t>
      </w:r>
    </w:p>
    <w:p w14:paraId="7A11DAF5">
      <w:pPr>
        <w:pStyle w:val="30"/>
        <w:keepNext w:val="0"/>
        <w:keepLines w:val="0"/>
        <w:pageBreakBefore w:val="0"/>
        <w:widowControl w:val="0"/>
        <w:kinsoku w:val="0"/>
        <w:wordWrap/>
        <w:overflowPunct/>
        <w:topLinePunct w:val="0"/>
        <w:autoSpaceDE w:val="0"/>
        <w:autoSpaceDN w:val="0"/>
        <w:bidi w:val="0"/>
        <w:adjustRightInd w:val="0"/>
        <w:snapToGrid w:val="0"/>
      </w:pPr>
      <w:bookmarkStart w:id="103" w:name="_Toc6186"/>
      <w:bookmarkStart w:id="104" w:name="_Toc28333"/>
      <w:bookmarkStart w:id="105" w:name="_Toc915"/>
      <w:r>
        <w:t>信息安全管理</w:t>
      </w:r>
      <w:bookmarkEnd w:id="103"/>
      <w:bookmarkEnd w:id="104"/>
      <w:bookmarkEnd w:id="105"/>
    </w:p>
    <w:p w14:paraId="3B45AD94">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为保障我司无任何信息安全事件发生，关于信息安全管理方面，计划进行如下工作：</w:t>
      </w:r>
    </w:p>
    <w:p w14:paraId="3CF787A1">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继续执行《信息安全管理程序》，并持续优化、改进信息安全管理过程，做到风险评估全面覆盖。</w:t>
      </w:r>
    </w:p>
    <w:p w14:paraId="5C6C6414">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及时收集和更新客户以及法律法规对于信息安全制度的要求。</w:t>
      </w:r>
    </w:p>
    <w:p w14:paraId="68ED436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3、进行信息安全相关的培训。</w:t>
      </w:r>
    </w:p>
    <w:p w14:paraId="345E85EB">
      <w:pPr>
        <w:pStyle w:val="29"/>
        <w:keepNext w:val="0"/>
        <w:keepLines w:val="0"/>
        <w:pageBreakBefore w:val="0"/>
        <w:widowControl w:val="0"/>
        <w:kinsoku w:val="0"/>
        <w:wordWrap/>
        <w:overflowPunct/>
        <w:topLinePunct w:val="0"/>
        <w:autoSpaceDE w:val="0"/>
        <w:autoSpaceDN w:val="0"/>
        <w:bidi w:val="0"/>
        <w:adjustRightInd w:val="0"/>
        <w:snapToGrid w:val="0"/>
      </w:pPr>
      <w:bookmarkStart w:id="106" w:name="_Toc7113"/>
      <w:bookmarkStart w:id="107" w:name="_Toc11047"/>
      <w:bookmarkStart w:id="108" w:name="_Toc16024"/>
      <w:r>
        <w:t>实施计划</w:t>
      </w:r>
      <w:bookmarkEnd w:id="106"/>
      <w:bookmarkEnd w:id="107"/>
      <w:bookmarkEnd w:id="108"/>
    </w:p>
    <w:tbl>
      <w:tblPr>
        <w:tblStyle w:val="21"/>
        <w:tblW w:w="86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752"/>
        <w:gridCol w:w="1884"/>
        <w:gridCol w:w="1944"/>
        <w:gridCol w:w="1949"/>
      </w:tblGrid>
      <w:tr w14:paraId="3FC2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1A77D58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过程名称</w:t>
            </w:r>
          </w:p>
        </w:tc>
        <w:tc>
          <w:tcPr>
            <w:tcW w:w="1752" w:type="dxa"/>
            <w:shd w:val="clear" w:color="auto" w:fill="auto"/>
          </w:tcPr>
          <w:p w14:paraId="1ADCB99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应用场景</w:t>
            </w:r>
          </w:p>
        </w:tc>
        <w:tc>
          <w:tcPr>
            <w:tcW w:w="1884" w:type="dxa"/>
            <w:shd w:val="clear" w:color="auto" w:fill="auto"/>
          </w:tcPr>
          <w:p w14:paraId="5EAE335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关键指标</w:t>
            </w:r>
          </w:p>
        </w:tc>
        <w:tc>
          <w:tcPr>
            <w:tcW w:w="1944" w:type="dxa"/>
            <w:shd w:val="clear" w:color="auto" w:fill="auto"/>
          </w:tcPr>
          <w:p w14:paraId="53DC4BE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与其他过程的输入</w:t>
            </w:r>
          </w:p>
        </w:tc>
        <w:tc>
          <w:tcPr>
            <w:tcW w:w="1949" w:type="dxa"/>
            <w:shd w:val="clear" w:color="auto" w:fill="auto"/>
          </w:tcPr>
          <w:p w14:paraId="6479F55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对其他过程的输出</w:t>
            </w:r>
          </w:p>
        </w:tc>
      </w:tr>
      <w:tr w14:paraId="6FF3F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5D98042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服务级别管理</w:t>
            </w:r>
          </w:p>
        </w:tc>
        <w:tc>
          <w:tcPr>
            <w:tcW w:w="1752" w:type="dxa"/>
            <w:shd w:val="clear" w:color="auto" w:fill="auto"/>
          </w:tcPr>
          <w:p w14:paraId="630FEC6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用于运维服务需求从受理到方案提供、SLA 签订、 SLA 实施与监控的全生命周期管理</w:t>
            </w:r>
          </w:p>
        </w:tc>
        <w:tc>
          <w:tcPr>
            <w:tcW w:w="1884" w:type="dxa"/>
            <w:shd w:val="clear" w:color="auto" w:fill="auto"/>
          </w:tcPr>
          <w:p w14:paraId="24234DA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SLA 达成率≥90%</w:t>
            </w:r>
          </w:p>
          <w:p w14:paraId="044C5C6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计算方式：（满足服务级别事件数/事件总数）*100% 考 核频次：</w:t>
            </w:r>
            <w:r>
              <w:rPr>
                <w:rFonts w:hint="eastAsia"/>
                <w:lang w:val="en-US" w:eastAsia="zh-CN"/>
              </w:rPr>
              <w:t>季度</w:t>
            </w:r>
            <w:r>
              <w:rPr>
                <w:rFonts w:hint="default"/>
                <w:lang w:val="en-US" w:eastAsia="zh-CN"/>
              </w:rPr>
              <w:t xml:space="preserve"> </w:t>
            </w:r>
          </w:p>
        </w:tc>
        <w:tc>
          <w:tcPr>
            <w:tcW w:w="1944" w:type="dxa"/>
            <w:shd w:val="clear" w:color="auto" w:fill="auto"/>
          </w:tcPr>
          <w:p w14:paraId="2CD3052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从可用性和连续性管理、容量管理、事件管理、信息安全管理获得服务级别协议相关信息</w:t>
            </w:r>
          </w:p>
        </w:tc>
        <w:tc>
          <w:tcPr>
            <w:tcW w:w="1949" w:type="dxa"/>
            <w:shd w:val="clear" w:color="auto" w:fill="auto"/>
          </w:tcPr>
          <w:p w14:paraId="2C17850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 向可用性和连续性管理 、 容量管理 、 事件管理、信息安全管理、服务报告管理提供服务级别协议相关信息；</w:t>
            </w:r>
          </w:p>
          <w:p w14:paraId="657A765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、向变更管理提供服务级别相关变更请求</w:t>
            </w:r>
          </w:p>
        </w:tc>
      </w:tr>
      <w:tr w14:paraId="1BC68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49128C8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服务报告管理</w:t>
            </w:r>
          </w:p>
        </w:tc>
        <w:tc>
          <w:tcPr>
            <w:tcW w:w="1752" w:type="dxa"/>
            <w:shd w:val="clear" w:color="auto" w:fill="auto"/>
          </w:tcPr>
          <w:p w14:paraId="665CB9E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用于管理运维项目中各类服务报告，包含各类方案、阶段性总结报告、验收汇报等</w:t>
            </w:r>
          </w:p>
        </w:tc>
        <w:tc>
          <w:tcPr>
            <w:tcW w:w="1884" w:type="dxa"/>
            <w:shd w:val="clear" w:color="auto" w:fill="auto"/>
          </w:tcPr>
          <w:p w14:paraId="6A5017D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服务报告及时率 ≥9</w:t>
            </w:r>
            <w:r>
              <w:rPr>
                <w:rFonts w:hint="eastAsia"/>
                <w:lang w:val="en-US" w:eastAsia="zh-CN"/>
              </w:rPr>
              <w:t>0</w:t>
            </w:r>
            <w:r>
              <w:rPr>
                <w:rFonts w:hint="default"/>
                <w:lang w:val="en-US" w:eastAsia="zh-CN"/>
              </w:rPr>
              <w:t>%计算方式：及时提交服务报告次数/需提交服务报告总次数</w:t>
            </w:r>
            <w:r>
              <w:rPr>
                <w:rFonts w:hint="eastAsia"/>
                <w:lang w:val="en-US" w:eastAsia="zh-CN"/>
              </w:rPr>
              <w:t>*</w:t>
            </w:r>
            <w:r>
              <w:rPr>
                <w:rFonts w:hint="default"/>
                <w:lang w:val="en-US" w:eastAsia="zh-CN"/>
              </w:rPr>
              <w:t>100%</w:t>
            </w:r>
            <w:r>
              <w:rPr>
                <w:rFonts w:hint="eastAsia"/>
                <w:lang w:val="en-US" w:eastAsia="zh-CN"/>
              </w:rPr>
              <w:t>,频次:月度</w:t>
            </w:r>
          </w:p>
        </w:tc>
        <w:tc>
          <w:tcPr>
            <w:tcW w:w="1944" w:type="dxa"/>
            <w:shd w:val="clear" w:color="auto" w:fill="auto"/>
          </w:tcPr>
          <w:p w14:paraId="0FCF79C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运维过程中相关报告与记录或其它信息渠道获取</w:t>
            </w:r>
          </w:p>
        </w:tc>
        <w:tc>
          <w:tcPr>
            <w:tcW w:w="1949" w:type="dxa"/>
          </w:tcPr>
          <w:p w14:paraId="7CDFC46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1、</w:t>
            </w:r>
            <w:r>
              <w:rPr>
                <w:rFonts w:hint="default"/>
                <w:lang w:val="en-US" w:eastAsia="zh-CN"/>
              </w:rPr>
              <w:t>提供《SLA达成情况分析报告》，用于评估服务级别协议履行情况，支持SLA评审与调整。</w:t>
            </w:r>
          </w:p>
          <w:p w14:paraId="422E09D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2、</w:t>
            </w:r>
            <w:r>
              <w:rPr>
                <w:rFonts w:hint="default"/>
                <w:lang w:val="en-US" w:eastAsia="zh-CN"/>
              </w:rPr>
              <w:t>提供《事件处理统计分析报告》，用于评估事件响应与解决效果，支持事件流程优化。</w:t>
            </w:r>
          </w:p>
          <w:p w14:paraId="66C72D2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3、</w:t>
            </w:r>
            <w:r>
              <w:rPr>
                <w:rFonts w:hint="default"/>
                <w:lang w:val="en-US" w:eastAsia="zh-CN"/>
              </w:rPr>
              <w:t>提供《问题趋势分析报告》，用于识别重复事件与系统性问题，支持根源分析。</w:t>
            </w:r>
          </w:p>
          <w:p w14:paraId="4607846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4、</w:t>
            </w:r>
            <w:r>
              <w:rPr>
                <w:rFonts w:hint="default"/>
                <w:lang w:val="en-US" w:eastAsia="zh-CN"/>
              </w:rPr>
              <w:t>提供《变更实施后评估报告》，用于评估变更对服务的影响，支持变更决策与复盘。</w:t>
            </w:r>
          </w:p>
        </w:tc>
      </w:tr>
      <w:tr w14:paraId="64EC7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647110F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事件管理</w:t>
            </w:r>
          </w:p>
        </w:tc>
        <w:tc>
          <w:tcPr>
            <w:tcW w:w="1752" w:type="dxa"/>
            <w:shd w:val="clear" w:color="auto" w:fill="auto"/>
          </w:tcPr>
          <w:p w14:paraId="6476C06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确保业务系统各类事件能在最短的时间内得到解决，满足公司与客户约定的SLA要求</w:t>
            </w:r>
          </w:p>
        </w:tc>
        <w:tc>
          <w:tcPr>
            <w:tcW w:w="1884" w:type="dxa"/>
            <w:shd w:val="clear" w:color="auto" w:fill="auto"/>
          </w:tcPr>
          <w:p w14:paraId="3F552C5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1.事件解决率</w:t>
            </w:r>
            <w:r>
              <w:rPr>
                <w:rFonts w:hint="default"/>
                <w:lang w:val="en-US" w:eastAsia="zh-CN"/>
              </w:rPr>
              <w:t>≥9</w:t>
            </w:r>
            <w:r>
              <w:rPr>
                <w:rFonts w:hint="eastAsia"/>
                <w:lang w:val="en-US" w:eastAsia="zh-CN"/>
              </w:rPr>
              <w:t>5</w:t>
            </w:r>
            <w:r>
              <w:rPr>
                <w:rFonts w:hint="default"/>
                <w:lang w:val="en-US" w:eastAsia="zh-CN"/>
              </w:rPr>
              <w:t>%</w:t>
            </w:r>
          </w:p>
          <w:p w14:paraId="7490431C">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计算方式：成功解决事件数/已关闭事件总数</w:t>
            </w:r>
            <w:r>
              <w:rPr>
                <w:rFonts w:hint="eastAsia"/>
                <w:lang w:val="en-US" w:eastAsia="zh-CN"/>
              </w:rPr>
              <w:t>*100%</w:t>
            </w:r>
          </w:p>
          <w:p w14:paraId="4C6758E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w:t>
            </w:r>
            <w:r>
              <w:rPr>
                <w:rFonts w:hint="eastAsia"/>
                <w:lang w:val="en-US" w:eastAsia="zh-CN"/>
              </w:rPr>
              <w:t>按月</w:t>
            </w:r>
          </w:p>
          <w:p w14:paraId="1FC8539E">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eastAsia"/>
                <w:lang w:val="en-US" w:eastAsia="zh-CN"/>
              </w:rPr>
              <w:t>2.</w:t>
            </w:r>
            <w:r>
              <w:rPr>
                <w:rFonts w:hint="default"/>
                <w:lang w:val="en-US" w:eastAsia="zh-CN"/>
              </w:rPr>
              <w:t>事件</w:t>
            </w:r>
            <w:r>
              <w:rPr>
                <w:rFonts w:hint="eastAsia"/>
                <w:lang w:val="en-US" w:eastAsia="zh-CN"/>
              </w:rPr>
              <w:t>按时</w:t>
            </w:r>
            <w:r>
              <w:rPr>
                <w:rFonts w:hint="default"/>
                <w:lang w:val="en-US" w:eastAsia="zh-CN"/>
              </w:rPr>
              <w:t>解决及时率9</w:t>
            </w:r>
            <w:r>
              <w:rPr>
                <w:rFonts w:hint="eastAsia"/>
                <w:lang w:val="en-US" w:eastAsia="zh-CN"/>
              </w:rPr>
              <w:t>5</w:t>
            </w:r>
            <w:r>
              <w:rPr>
                <w:rFonts w:hint="default"/>
                <w:lang w:val="en-US" w:eastAsia="zh-CN"/>
              </w:rPr>
              <w:t>%</w:t>
            </w:r>
          </w:p>
          <w:p w14:paraId="0445140B">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计算方式：（按照事件等级规定时间内解决的事件数/已关闭事件总数）*100% 考核频次：</w:t>
            </w:r>
            <w:r>
              <w:rPr>
                <w:rFonts w:hint="eastAsia"/>
                <w:lang w:val="en-US" w:eastAsia="zh-CN"/>
              </w:rPr>
              <w:t>按月</w:t>
            </w:r>
          </w:p>
          <w:p w14:paraId="29229FE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3.</w:t>
            </w:r>
            <w:r>
              <w:rPr>
                <w:rFonts w:hint="default"/>
                <w:lang w:val="en-US" w:eastAsia="zh-CN"/>
              </w:rPr>
              <w:t>事件回访的及时率</w:t>
            </w:r>
            <w:r>
              <w:rPr>
                <w:rFonts w:hint="eastAsia"/>
                <w:lang w:val="en-US" w:eastAsia="zh-CN"/>
              </w:rPr>
              <w:t>95%</w:t>
            </w:r>
          </w:p>
          <w:p w14:paraId="4FA12A1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w:t>
            </w:r>
            <w:r>
              <w:rPr>
                <w:rFonts w:hint="default"/>
                <w:lang w:val="en-US" w:eastAsia="zh-CN"/>
              </w:rPr>
              <w:t>按时回访的事件数量/已回访的事</w:t>
            </w:r>
          </w:p>
          <w:p w14:paraId="355232C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件总数</w:t>
            </w:r>
            <w:r>
              <w:rPr>
                <w:rFonts w:hint="eastAsia"/>
                <w:lang w:val="en-US" w:eastAsia="zh-CN"/>
              </w:rPr>
              <w:t>*100%</w:t>
            </w:r>
          </w:p>
          <w:p w14:paraId="6CE8904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考核频次：</w:t>
            </w:r>
            <w:r>
              <w:rPr>
                <w:rFonts w:hint="eastAsia"/>
                <w:lang w:val="en-US" w:eastAsia="zh-CN"/>
              </w:rPr>
              <w:t>按季度</w:t>
            </w:r>
          </w:p>
        </w:tc>
        <w:tc>
          <w:tcPr>
            <w:tcW w:w="1944" w:type="dxa"/>
            <w:shd w:val="clear" w:color="auto" w:fill="auto"/>
          </w:tcPr>
          <w:p w14:paraId="68F0929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、从服务级别管理获得服务级别协议相关信息；</w:t>
            </w:r>
          </w:p>
          <w:p w14:paraId="0AE6346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、从变更管理获得事件 引发变更 的处理 结果；</w:t>
            </w:r>
          </w:p>
          <w:p w14:paraId="1141F18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、从信息安全管理获得信息安全管理相关信息；</w:t>
            </w:r>
          </w:p>
          <w:p w14:paraId="393CB91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、从问题管理获得已知问题、已知错误和解决方案的信息；</w:t>
            </w:r>
          </w:p>
          <w:p w14:paraId="45A075A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5 、从配置管理获得配置项信息；</w:t>
            </w:r>
          </w:p>
        </w:tc>
        <w:tc>
          <w:tcPr>
            <w:tcW w:w="1949" w:type="dxa"/>
            <w:shd w:val="clear" w:color="auto" w:fill="auto"/>
          </w:tcPr>
          <w:p w14:paraId="590FC34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、向发布管理提供待发布信息、操作手册、已知错误信息；</w:t>
            </w:r>
          </w:p>
          <w:p w14:paraId="67413DB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、向信息安全管理提供安全性突发事件报告和记录等信息，并触发信息安全管理；</w:t>
            </w:r>
          </w:p>
          <w:p w14:paraId="0459507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、向变更管理提供变更请求信息 ， 并触发变更管理；</w:t>
            </w:r>
          </w:p>
          <w:p w14:paraId="6D742D5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、向问题管理提供重大、重复多次等相关事件信息。</w:t>
            </w:r>
          </w:p>
          <w:p w14:paraId="2B1BDDA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5 、向服务报告管理提供事件相关信息</w:t>
            </w:r>
          </w:p>
        </w:tc>
      </w:tr>
      <w:tr w14:paraId="5A22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0C30D5C8">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问题管理</w:t>
            </w:r>
          </w:p>
        </w:tc>
        <w:tc>
          <w:tcPr>
            <w:tcW w:w="1752" w:type="dxa"/>
            <w:shd w:val="clear" w:color="auto" w:fill="auto"/>
          </w:tcPr>
          <w:p w14:paraId="68C7D5C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对重复多次发生的事件、具有重大影响范围等事件进行根源调查、处置，避免事件的再次发</w:t>
            </w:r>
          </w:p>
          <w:p w14:paraId="4BDB2FB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生，提高系统可用性、连续性和容量</w:t>
            </w:r>
          </w:p>
        </w:tc>
        <w:tc>
          <w:tcPr>
            <w:tcW w:w="1884" w:type="dxa"/>
            <w:shd w:val="clear" w:color="auto" w:fill="auto"/>
          </w:tcPr>
          <w:p w14:paraId="5E8A123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问题解决率≥</w:t>
            </w:r>
            <w:r>
              <w:rPr>
                <w:rFonts w:hint="eastAsia"/>
                <w:lang w:val="en-US" w:eastAsia="zh-CN"/>
              </w:rPr>
              <w:t>85</w:t>
            </w:r>
            <w:r>
              <w:rPr>
                <w:rFonts w:hint="default"/>
                <w:lang w:val="en-US" w:eastAsia="zh-CN"/>
              </w:rPr>
              <w:t>%</w:t>
            </w:r>
          </w:p>
          <w:p w14:paraId="536C117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 xml:space="preserve">计算方式： </w:t>
            </w:r>
            <w:r>
              <w:rPr>
                <w:rFonts w:hint="eastAsia"/>
                <w:lang w:val="en-US" w:eastAsia="zh-CN"/>
              </w:rPr>
              <w:t>成功解决的问题数</w:t>
            </w:r>
            <w:r>
              <w:rPr>
                <w:rFonts w:hint="default"/>
                <w:lang w:val="en-US" w:eastAsia="zh-CN"/>
              </w:rPr>
              <w:t>/问题总数*100%</w:t>
            </w:r>
          </w:p>
          <w:p w14:paraId="5B24AB9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考核频次：季度</w:t>
            </w:r>
          </w:p>
        </w:tc>
        <w:tc>
          <w:tcPr>
            <w:tcW w:w="1944" w:type="dxa"/>
            <w:shd w:val="clear" w:color="auto" w:fill="auto"/>
          </w:tcPr>
          <w:p w14:paraId="160CC28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1、从事件管理获得突发事件报告的相关信息；</w:t>
            </w:r>
          </w:p>
          <w:p w14:paraId="07CF5B6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2、从变更管理获得问题 引发变更的处理 结果；</w:t>
            </w:r>
          </w:p>
          <w:p w14:paraId="2E77AC0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3、从发布管理获得已知问题、已知错误和解决方案的相关信息；</w:t>
            </w:r>
          </w:p>
          <w:p w14:paraId="21DAD2E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4、从配置管理获得配置项信息</w:t>
            </w:r>
          </w:p>
        </w:tc>
        <w:tc>
          <w:tcPr>
            <w:tcW w:w="1949" w:type="dxa"/>
            <w:shd w:val="clear" w:color="auto" w:fill="auto"/>
          </w:tcPr>
          <w:p w14:paraId="21B86D7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1、向变更管理提交变更请求信息；</w:t>
            </w:r>
          </w:p>
          <w:p w14:paraId="65DB2AC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2、向事件管理提供已知问题、 已知错误和解决方案的相关信息；</w:t>
            </w:r>
          </w:p>
          <w:p w14:paraId="393CEEA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3、向服务报告管理提供问题相关信息</w:t>
            </w:r>
          </w:p>
        </w:tc>
      </w:tr>
      <w:tr w14:paraId="5EAB2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1B232024">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p>
          <w:p w14:paraId="39ACA466">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变更管理</w:t>
            </w:r>
          </w:p>
        </w:tc>
        <w:tc>
          <w:tcPr>
            <w:tcW w:w="1752" w:type="dxa"/>
            <w:shd w:val="clear" w:color="auto" w:fill="auto"/>
          </w:tcPr>
          <w:p w14:paraId="035C8C9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从业务、技术两个角度管理客户业务系统生产环境变更，尽量降低变更对生产环境带来的影响</w:t>
            </w:r>
          </w:p>
        </w:tc>
        <w:tc>
          <w:tcPr>
            <w:tcW w:w="1884" w:type="dxa"/>
            <w:shd w:val="clear" w:color="auto" w:fill="auto"/>
          </w:tcPr>
          <w:p w14:paraId="38F6B93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变更成功率≥9</w:t>
            </w:r>
            <w:r>
              <w:rPr>
                <w:rFonts w:hint="eastAsia"/>
                <w:lang w:val="en-US" w:eastAsia="zh-CN"/>
              </w:rPr>
              <w:t>8</w:t>
            </w:r>
            <w:r>
              <w:rPr>
                <w:rFonts w:hint="default"/>
                <w:lang w:val="en-US" w:eastAsia="zh-CN"/>
              </w:rPr>
              <w:t>%计算方式：1-(回退变更/变更总数)*100%考核频次：季度</w:t>
            </w:r>
          </w:p>
        </w:tc>
        <w:tc>
          <w:tcPr>
            <w:tcW w:w="1944" w:type="dxa"/>
            <w:shd w:val="clear" w:color="auto" w:fill="auto"/>
          </w:tcPr>
          <w:p w14:paraId="693E506A">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1 、从可用性和连续性管理获得可用性计划和连续性计划</w:t>
            </w:r>
            <w:r>
              <w:rPr>
                <w:rFonts w:hint="eastAsia"/>
                <w:lang w:val="en-US" w:eastAsia="zh-CN"/>
              </w:rPr>
              <w:t>;</w:t>
            </w:r>
          </w:p>
          <w:p w14:paraId="7A41A10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、从配置管理获得变更对业务产生的影响；</w:t>
            </w:r>
          </w:p>
          <w:p w14:paraId="5AF051D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、从服务级别管理、</w:t>
            </w:r>
          </w:p>
          <w:p w14:paraId="1F670B0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信息安全管理、配置管理、事件管理、问题管理获得各过程的变更请求</w:t>
            </w:r>
          </w:p>
        </w:tc>
        <w:tc>
          <w:tcPr>
            <w:tcW w:w="1949" w:type="dxa"/>
            <w:shd w:val="clear" w:color="auto" w:fill="auto"/>
          </w:tcPr>
          <w:p w14:paraId="376F35F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、向配置管理提供配置项的更新和修改信息；2 、向发布管理提供变更授权；</w:t>
            </w:r>
          </w:p>
          <w:p w14:paraId="0439FE6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、向事件管理、问题管理提供变更的处理结果；</w:t>
            </w:r>
          </w:p>
          <w:p w14:paraId="4F6BC59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、向服务报告管理提供变更信息</w:t>
            </w:r>
          </w:p>
        </w:tc>
      </w:tr>
      <w:tr w14:paraId="46507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77CF0854">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发布管理</w:t>
            </w:r>
          </w:p>
        </w:tc>
        <w:tc>
          <w:tcPr>
            <w:tcW w:w="1752" w:type="dxa"/>
            <w:shd w:val="clear" w:color="auto" w:fill="auto"/>
          </w:tcPr>
          <w:p w14:paraId="633B751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对软硬件导入生产环境的过程进行管理</w:t>
            </w:r>
          </w:p>
        </w:tc>
        <w:tc>
          <w:tcPr>
            <w:tcW w:w="1884" w:type="dxa"/>
            <w:shd w:val="clear" w:color="auto" w:fill="auto"/>
          </w:tcPr>
          <w:p w14:paraId="361EB8E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发布成功率≥9</w:t>
            </w:r>
            <w:r>
              <w:rPr>
                <w:rFonts w:hint="eastAsia"/>
                <w:lang w:val="en-US" w:eastAsia="zh-CN"/>
              </w:rPr>
              <w:t>8</w:t>
            </w:r>
            <w:r>
              <w:rPr>
                <w:rFonts w:hint="default"/>
                <w:lang w:val="en-US" w:eastAsia="zh-CN"/>
              </w:rPr>
              <w:t>%</w:t>
            </w:r>
          </w:p>
          <w:p w14:paraId="4EF722A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计算方式：发布</w:t>
            </w:r>
            <w:r>
              <w:rPr>
                <w:rFonts w:hint="eastAsia"/>
                <w:lang w:val="en-US" w:eastAsia="zh-CN"/>
              </w:rPr>
              <w:t>成功</w:t>
            </w:r>
            <w:r>
              <w:rPr>
                <w:rFonts w:hint="default"/>
                <w:lang w:val="en-US" w:eastAsia="zh-CN"/>
              </w:rPr>
              <w:t>的数量/发布总数量</w:t>
            </w:r>
            <w:r>
              <w:rPr>
                <w:rFonts w:hint="eastAsia"/>
                <w:lang w:val="en-US" w:eastAsia="zh-CN"/>
              </w:rPr>
              <w:t>*</w:t>
            </w:r>
            <w:r>
              <w:rPr>
                <w:rFonts w:hint="default"/>
                <w:lang w:val="en-US" w:eastAsia="zh-CN"/>
              </w:rPr>
              <w:t>100%</w:t>
            </w:r>
          </w:p>
          <w:p w14:paraId="488709A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考核频次：季度</w:t>
            </w:r>
          </w:p>
        </w:tc>
        <w:tc>
          <w:tcPr>
            <w:tcW w:w="1944" w:type="dxa"/>
            <w:shd w:val="clear" w:color="auto" w:fill="auto"/>
          </w:tcPr>
          <w:p w14:paraId="74BE3E4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从变更管理获得变更授权</w:t>
            </w:r>
          </w:p>
        </w:tc>
        <w:tc>
          <w:tcPr>
            <w:tcW w:w="1949" w:type="dxa"/>
            <w:shd w:val="clear" w:color="auto" w:fill="auto"/>
          </w:tcPr>
          <w:p w14:paraId="55B42D0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、向配置管理提供配置项的更新和修改信息；</w:t>
            </w:r>
          </w:p>
          <w:p w14:paraId="2661F08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、向变更管理提供对变更记录的更新和修改信息；</w:t>
            </w:r>
          </w:p>
          <w:p w14:paraId="07B3F87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、向问题管理提供已知错误信息</w:t>
            </w:r>
          </w:p>
          <w:p w14:paraId="660824A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、向服务报告管理提供发布信息</w:t>
            </w:r>
          </w:p>
        </w:tc>
      </w:tr>
      <w:tr w14:paraId="5585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0C19EF28">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配置管理</w:t>
            </w:r>
          </w:p>
        </w:tc>
        <w:tc>
          <w:tcPr>
            <w:tcW w:w="1752" w:type="dxa"/>
            <w:shd w:val="clear" w:color="auto" w:fill="auto"/>
          </w:tcPr>
          <w:p w14:paraId="630A4B1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确保客户业务系</w:t>
            </w:r>
          </w:p>
          <w:p w14:paraId="6F1C98F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统生产环境各类</w:t>
            </w:r>
          </w:p>
          <w:p w14:paraId="4319B15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配置项以及关系</w:t>
            </w:r>
          </w:p>
          <w:p w14:paraId="040C68A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能够得到及时地</w:t>
            </w:r>
          </w:p>
          <w:p w14:paraId="504549E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导入和维护 ，从</w:t>
            </w:r>
          </w:p>
          <w:p w14:paraId="299D474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而展示客户业务</w:t>
            </w:r>
          </w:p>
          <w:p w14:paraId="414C69F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系统生产环境实</w:t>
            </w:r>
          </w:p>
          <w:p w14:paraId="4D1C8A7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时状态</w:t>
            </w:r>
          </w:p>
        </w:tc>
        <w:tc>
          <w:tcPr>
            <w:tcW w:w="1884" w:type="dxa"/>
            <w:shd w:val="clear" w:color="auto" w:fill="auto"/>
          </w:tcPr>
          <w:p w14:paraId="6D535A9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配置</w:t>
            </w:r>
            <w:r>
              <w:rPr>
                <w:rFonts w:hint="eastAsia"/>
                <w:lang w:val="en-US" w:eastAsia="zh-CN"/>
              </w:rPr>
              <w:t>准确率</w:t>
            </w:r>
            <w:r>
              <w:rPr>
                <w:rFonts w:hint="default"/>
                <w:lang w:val="en-US" w:eastAsia="zh-CN"/>
              </w:rPr>
              <w:t>≥9</w:t>
            </w:r>
            <w:r>
              <w:rPr>
                <w:rFonts w:hint="eastAsia"/>
                <w:lang w:val="en-US" w:eastAsia="zh-CN"/>
              </w:rPr>
              <w:t>5</w:t>
            </w:r>
            <w:r>
              <w:rPr>
                <w:rFonts w:hint="default"/>
                <w:lang w:val="en-US" w:eastAsia="zh-CN"/>
              </w:rPr>
              <w:t>%计算方式：</w:t>
            </w:r>
            <w:r>
              <w:rPr>
                <w:rFonts w:hint="eastAsia"/>
                <w:lang w:val="en-US" w:eastAsia="zh-CN"/>
              </w:rPr>
              <w:t>配置准确数/配置总数*</w:t>
            </w:r>
            <w:r>
              <w:rPr>
                <w:rFonts w:hint="default"/>
                <w:lang w:val="en-US" w:eastAsia="zh-CN"/>
              </w:rPr>
              <w:t>100%</w:t>
            </w:r>
          </w:p>
          <w:p w14:paraId="3AA6B11B">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考核频次：季度</w:t>
            </w:r>
          </w:p>
        </w:tc>
        <w:tc>
          <w:tcPr>
            <w:tcW w:w="1944" w:type="dxa"/>
            <w:shd w:val="clear" w:color="auto" w:fill="auto"/>
          </w:tcPr>
          <w:p w14:paraId="474DDB9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、从变更管理、发布管理获得对配置项的更新和修改信息；</w:t>
            </w:r>
          </w:p>
          <w:p w14:paraId="320C64F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、从连续性和可用性管理获得可用性计划和连续性计划</w:t>
            </w:r>
          </w:p>
        </w:tc>
        <w:tc>
          <w:tcPr>
            <w:tcW w:w="1949" w:type="dxa"/>
            <w:shd w:val="clear" w:color="auto" w:fill="auto"/>
          </w:tcPr>
          <w:p w14:paraId="6A0BEF2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向事件管理、 问题管理、变更管理、发布管理、可用性与连续性管理、容量管理、信息安全管理、服务报告管理提供配置项信息及配置项间的关系</w:t>
            </w:r>
          </w:p>
        </w:tc>
      </w:tr>
      <w:tr w14:paraId="638B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53A0FA2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可用性和连续性管理</w:t>
            </w:r>
          </w:p>
        </w:tc>
        <w:tc>
          <w:tcPr>
            <w:tcW w:w="1752" w:type="dxa"/>
            <w:shd w:val="clear" w:color="auto" w:fill="auto"/>
          </w:tcPr>
          <w:p w14:paraId="03555A0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当客户业务发生中断或重大灾害、意外事件时，公司在符合成本效益和业务快速恢复的原则下，最大化降低客户业务损失</w:t>
            </w:r>
          </w:p>
        </w:tc>
        <w:tc>
          <w:tcPr>
            <w:tcW w:w="1884" w:type="dxa"/>
            <w:shd w:val="clear" w:color="auto" w:fill="auto"/>
          </w:tcPr>
          <w:p w14:paraId="04F3F6B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w:t>
            </w:r>
            <w:r>
              <w:rPr>
                <w:rFonts w:hint="eastAsia"/>
                <w:lang w:val="en-US" w:eastAsia="zh-CN"/>
              </w:rPr>
              <w:t>业务可用性</w:t>
            </w:r>
            <w:r>
              <w:rPr>
                <w:rFonts w:hint="default"/>
                <w:lang w:val="en-US" w:eastAsia="zh-CN"/>
              </w:rPr>
              <w:t>≥9</w:t>
            </w:r>
            <w:r>
              <w:rPr>
                <w:rFonts w:hint="eastAsia"/>
                <w:lang w:val="en-US" w:eastAsia="zh-CN"/>
              </w:rPr>
              <w:t>9</w:t>
            </w:r>
            <w:r>
              <w:rPr>
                <w:rFonts w:hint="default"/>
                <w:lang w:val="en-US" w:eastAsia="zh-CN"/>
              </w:rPr>
              <w:t>%：</w:t>
            </w:r>
          </w:p>
          <w:p w14:paraId="6972FCC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w:t>
            </w:r>
            <w:r>
              <w:rPr>
                <w:rFonts w:hint="default"/>
                <w:lang w:val="en-US" w:eastAsia="zh-CN"/>
              </w:rPr>
              <w:t>可用时间/</w:t>
            </w:r>
            <w:r>
              <w:rPr>
                <w:rFonts w:hint="eastAsia"/>
                <w:lang w:val="en-US" w:eastAsia="zh-CN"/>
              </w:rPr>
              <w:t>整体运行时间</w:t>
            </w:r>
            <w:r>
              <w:rPr>
                <w:rFonts w:hint="default"/>
                <w:lang w:val="en-US" w:eastAsia="zh-CN"/>
              </w:rPr>
              <w:t xml:space="preserve">*100%（ 考核频次 ： </w:t>
            </w:r>
            <w:r>
              <w:rPr>
                <w:rFonts w:hint="eastAsia"/>
                <w:lang w:val="en-US" w:eastAsia="zh-CN"/>
              </w:rPr>
              <w:t>季度</w:t>
            </w:r>
            <w:r>
              <w:rPr>
                <w:rFonts w:hint="default"/>
                <w:lang w:val="en-US" w:eastAsia="zh-CN"/>
              </w:rPr>
              <w:t>）</w:t>
            </w:r>
          </w:p>
          <w:p w14:paraId="1D468974">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2、业务连续性</w:t>
            </w:r>
            <w:r>
              <w:rPr>
                <w:rFonts w:hint="eastAsia"/>
                <w:lang w:val="en-US" w:eastAsia="zh-CN"/>
              </w:rPr>
              <w:t>≤2次</w:t>
            </w:r>
          </w:p>
          <w:p w14:paraId="35C42E7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eastAsia"/>
                <w:lang w:val="en-US" w:eastAsia="zh-CN"/>
              </w:rPr>
              <w:t>计算方式:突发事件导致中断次数</w:t>
            </w:r>
            <w:r>
              <w:rPr>
                <w:rFonts w:hint="default"/>
                <w:lang w:val="en-US" w:eastAsia="zh-CN"/>
              </w:rPr>
              <w:t>（考核频次：</w:t>
            </w:r>
            <w:r>
              <w:rPr>
                <w:rFonts w:hint="eastAsia"/>
                <w:lang w:val="en-US" w:eastAsia="zh-CN"/>
              </w:rPr>
              <w:t>季度</w:t>
            </w:r>
            <w:r>
              <w:rPr>
                <w:rFonts w:hint="default"/>
                <w:lang w:val="en-US" w:eastAsia="zh-CN"/>
              </w:rPr>
              <w:t>）</w:t>
            </w:r>
          </w:p>
        </w:tc>
        <w:tc>
          <w:tcPr>
            <w:tcW w:w="1944" w:type="dxa"/>
            <w:shd w:val="clear" w:color="auto" w:fill="auto"/>
          </w:tcPr>
          <w:p w14:paraId="13FD161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1、从服务级别管理获得服务级别协议；</w:t>
            </w:r>
          </w:p>
          <w:p w14:paraId="54DCF87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2、从配置管理获取配置项信息；</w:t>
            </w:r>
          </w:p>
        </w:tc>
        <w:tc>
          <w:tcPr>
            <w:tcW w:w="1949" w:type="dxa"/>
            <w:shd w:val="clear" w:color="auto" w:fill="auto"/>
          </w:tcPr>
          <w:p w14:paraId="4AB3A48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1、向容量管理提供灾难中或恢复阶段的服务容量需求 ， 如人员和资源的配给；</w:t>
            </w:r>
          </w:p>
          <w:p w14:paraId="19B7CBA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2、向变更管理提供可用性计划和连续性计划的变更请求；</w:t>
            </w:r>
          </w:p>
          <w:p w14:paraId="3BA8328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、向服务报告管理输出可用性和连续性管理数据</w:t>
            </w:r>
          </w:p>
        </w:tc>
      </w:tr>
      <w:tr w14:paraId="7E6BB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63054FA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容量管理</w:t>
            </w:r>
          </w:p>
        </w:tc>
        <w:tc>
          <w:tcPr>
            <w:tcW w:w="1752" w:type="dxa"/>
            <w:shd w:val="clear" w:color="auto" w:fill="auto"/>
          </w:tcPr>
          <w:p w14:paraId="7C3E53D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对业务系统额定容量展开监控和处置，消除客户业务容量风险，确保公司提供的服务满足规 定 的 SLA ，确保客户业务系统的运行满足业务需求</w:t>
            </w:r>
          </w:p>
        </w:tc>
        <w:tc>
          <w:tcPr>
            <w:tcW w:w="1884" w:type="dxa"/>
            <w:shd w:val="clear" w:color="auto" w:fill="auto"/>
          </w:tcPr>
          <w:p w14:paraId="6D59689A">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eastAsia"/>
                <w:lang w:val="en-US" w:eastAsia="zh-CN"/>
              </w:rPr>
              <w:t>容量事件次数≤2次</w:t>
            </w:r>
          </w:p>
          <w:p w14:paraId="2DD3090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计算方式:由于容量原因发生事件的数量</w:t>
            </w:r>
          </w:p>
          <w:p w14:paraId="316969F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w:t>
            </w:r>
            <w:r>
              <w:rPr>
                <w:rFonts w:hint="eastAsia"/>
                <w:lang w:val="en-US" w:eastAsia="zh-CN"/>
              </w:rPr>
              <w:t>季度</w:t>
            </w:r>
            <w:r>
              <w:rPr>
                <w:rFonts w:hint="default"/>
                <w:lang w:val="en-US" w:eastAsia="zh-CN"/>
              </w:rPr>
              <w:t>）</w:t>
            </w:r>
          </w:p>
        </w:tc>
        <w:tc>
          <w:tcPr>
            <w:tcW w:w="1944" w:type="dxa"/>
            <w:shd w:val="clear" w:color="auto" w:fill="auto"/>
          </w:tcPr>
          <w:p w14:paraId="304C2F3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1、从服务级别管理获得服务级别协议；</w:t>
            </w:r>
          </w:p>
          <w:p w14:paraId="5367D55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2、从可用性和连续性管理获得容量需求；</w:t>
            </w:r>
          </w:p>
          <w:p w14:paraId="776006E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3、向配置管理获取相关配置项信息；</w:t>
            </w:r>
          </w:p>
          <w:p w14:paraId="260DC9D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4、从事件管理获取因容量问题引发的事件</w:t>
            </w:r>
          </w:p>
        </w:tc>
        <w:tc>
          <w:tcPr>
            <w:tcW w:w="1949" w:type="dxa"/>
            <w:shd w:val="clear" w:color="auto" w:fill="auto"/>
          </w:tcPr>
          <w:p w14:paraId="6E90EB8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、向变更管理提供容量管理变更请求；</w:t>
            </w:r>
          </w:p>
          <w:p w14:paraId="3F20B21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2 、向服务报告管理输出容量管理数据</w:t>
            </w:r>
          </w:p>
        </w:tc>
      </w:tr>
      <w:tr w14:paraId="21A1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2" w:type="dxa"/>
            <w:shd w:val="clear" w:color="auto" w:fill="auto"/>
          </w:tcPr>
          <w:p w14:paraId="41EBDAD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信息安全</w:t>
            </w:r>
          </w:p>
          <w:p w14:paraId="1DCF4E2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管理</w:t>
            </w:r>
          </w:p>
        </w:tc>
        <w:tc>
          <w:tcPr>
            <w:tcW w:w="1752" w:type="dxa"/>
            <w:shd w:val="clear" w:color="auto" w:fill="auto"/>
          </w:tcPr>
          <w:p w14:paraId="7E54E54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通过规范的信息</w:t>
            </w:r>
          </w:p>
          <w:p w14:paraId="2D7DB3D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安全管理，识别、评估并合理应对运维服务过程中的各类安全风险 ，降低信息安全风险影响</w:t>
            </w:r>
          </w:p>
        </w:tc>
        <w:tc>
          <w:tcPr>
            <w:tcW w:w="1884" w:type="dxa"/>
            <w:shd w:val="clear" w:color="auto" w:fill="auto"/>
          </w:tcPr>
          <w:p w14:paraId="2CE7BAEE">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eastAsia"/>
                <w:lang w:val="en-US" w:eastAsia="zh-CN"/>
              </w:rPr>
              <w:t>信息安全事件数量≤1次</w:t>
            </w:r>
          </w:p>
          <w:p w14:paraId="53B9800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w:t>
            </w:r>
            <w:r>
              <w:rPr>
                <w:rFonts w:hint="default"/>
                <w:lang w:val="en-US" w:eastAsia="zh-CN"/>
              </w:rPr>
              <w:t>我方人员造成信息安全事件的次数</w:t>
            </w:r>
          </w:p>
          <w:p w14:paraId="2D2AF6E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考核频次：</w:t>
            </w:r>
            <w:r>
              <w:rPr>
                <w:rFonts w:hint="eastAsia"/>
                <w:lang w:val="en-US" w:eastAsia="zh-CN"/>
              </w:rPr>
              <w:t>年度</w:t>
            </w:r>
          </w:p>
        </w:tc>
        <w:tc>
          <w:tcPr>
            <w:tcW w:w="1944" w:type="dxa"/>
            <w:shd w:val="clear" w:color="auto" w:fill="auto"/>
          </w:tcPr>
          <w:p w14:paraId="235E87B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1、从服务级别管理获得关于信息安全管理的服务要求、法律法规和合同义务；</w:t>
            </w:r>
          </w:p>
          <w:p w14:paraId="5D43948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2、从配置管理获得配置项信息；</w:t>
            </w:r>
          </w:p>
          <w:p w14:paraId="1041AA8B">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3、从变更管理中获得变更请求信息；</w:t>
            </w:r>
          </w:p>
          <w:p w14:paraId="2874FE9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4、从事件管理获得信息安全事件信息</w:t>
            </w:r>
          </w:p>
        </w:tc>
        <w:tc>
          <w:tcPr>
            <w:tcW w:w="1949" w:type="dxa"/>
            <w:shd w:val="clear" w:color="auto" w:fill="auto"/>
          </w:tcPr>
          <w:p w14:paraId="7D44F61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1、向变更管理提供信息安全风险及其影响的信息；</w:t>
            </w:r>
          </w:p>
          <w:p w14:paraId="1E295A3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2、向服务报告管理提供信息安全相关信息。</w:t>
            </w:r>
          </w:p>
        </w:tc>
      </w:tr>
    </w:tbl>
    <w:p w14:paraId="73807665">
      <w:pPr>
        <w:pStyle w:val="12"/>
        <w:keepNext w:val="0"/>
        <w:keepLines w:val="0"/>
        <w:pageBreakBefore w:val="0"/>
        <w:widowControl w:val="0"/>
        <w:kinsoku w:val="0"/>
        <w:wordWrap/>
        <w:overflowPunct/>
        <w:topLinePunct w:val="0"/>
        <w:autoSpaceDE w:val="0"/>
        <w:autoSpaceDN w:val="0"/>
        <w:bidi w:val="0"/>
        <w:adjustRightInd w:val="0"/>
        <w:snapToGrid w:val="0"/>
        <w:spacing w:line="302" w:lineRule="auto"/>
      </w:pPr>
    </w:p>
    <w:p w14:paraId="13EE4DE7">
      <w:pPr>
        <w:pStyle w:val="27"/>
        <w:keepNext w:val="0"/>
        <w:keepLines w:val="0"/>
        <w:pageBreakBefore w:val="0"/>
        <w:widowControl w:val="0"/>
        <w:kinsoku w:val="0"/>
        <w:wordWrap/>
        <w:overflowPunct/>
        <w:topLinePunct w:val="0"/>
        <w:autoSpaceDE w:val="0"/>
        <w:autoSpaceDN w:val="0"/>
        <w:bidi w:val="0"/>
        <w:adjustRightInd w:val="0"/>
        <w:snapToGrid w:val="0"/>
      </w:pPr>
      <w:bookmarkStart w:id="109" w:name="_Toc24044"/>
      <w:bookmarkStart w:id="110" w:name="_Toc31242"/>
      <w:bookmarkStart w:id="111" w:name="_Toc8501"/>
      <w:r>
        <w:t>交付管理</w:t>
      </w:r>
      <w:bookmarkEnd w:id="109"/>
      <w:bookmarkEnd w:id="110"/>
      <w:bookmarkEnd w:id="111"/>
    </w:p>
    <w:p w14:paraId="6055777F">
      <w:pPr>
        <w:pStyle w:val="29"/>
        <w:keepNext w:val="0"/>
        <w:keepLines w:val="0"/>
        <w:pageBreakBefore w:val="0"/>
        <w:widowControl w:val="0"/>
        <w:kinsoku w:val="0"/>
        <w:wordWrap/>
        <w:overflowPunct/>
        <w:topLinePunct w:val="0"/>
        <w:autoSpaceDE w:val="0"/>
        <w:autoSpaceDN w:val="0"/>
        <w:bidi w:val="0"/>
        <w:adjustRightInd w:val="0"/>
        <w:snapToGrid w:val="0"/>
      </w:pPr>
      <w:bookmarkStart w:id="112" w:name="bookmark72"/>
      <w:bookmarkEnd w:id="112"/>
      <w:bookmarkStart w:id="113" w:name="_Toc4866"/>
      <w:bookmarkStart w:id="114" w:name="_Toc12694"/>
      <w:bookmarkStart w:id="115" w:name="_Toc25240"/>
      <w:r>
        <w:t>现状分析</w:t>
      </w:r>
      <w:bookmarkEnd w:id="113"/>
      <w:bookmarkEnd w:id="114"/>
      <w:bookmarkEnd w:id="115"/>
    </w:p>
    <w:p w14:paraId="7940444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在运维项目交付的规范化管理方面，运维部有一些既有的规范要求，但未形成交付管理体系，在运维交付的策划方面有所欠缺。</w:t>
      </w:r>
    </w:p>
    <w:p w14:paraId="53C64982">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另一方面，目前公司各运维项目的交付物（如：现场服务记录、故障分析记录等）存在格式不统一、内容比较混乱、缺少相关审核流程等问题，需要按照 ITSS 的相关标准进行梳理。</w:t>
      </w:r>
    </w:p>
    <w:p w14:paraId="700D913F">
      <w:pPr>
        <w:pStyle w:val="29"/>
        <w:keepNext w:val="0"/>
        <w:keepLines w:val="0"/>
        <w:pageBreakBefore w:val="0"/>
        <w:widowControl w:val="0"/>
        <w:kinsoku w:val="0"/>
        <w:wordWrap/>
        <w:overflowPunct/>
        <w:topLinePunct w:val="0"/>
        <w:autoSpaceDE w:val="0"/>
        <w:autoSpaceDN w:val="0"/>
        <w:bidi w:val="0"/>
        <w:adjustRightInd w:val="0"/>
        <w:snapToGrid w:val="0"/>
      </w:pPr>
      <w:bookmarkStart w:id="116" w:name="_Toc26133"/>
      <w:bookmarkStart w:id="117" w:name="_Toc17080"/>
      <w:bookmarkStart w:id="118" w:name="_Toc3163"/>
      <w:r>
        <w:t>改进目标</w:t>
      </w:r>
      <w:bookmarkEnd w:id="116"/>
      <w:bookmarkEnd w:id="117"/>
      <w:bookmarkEnd w:id="118"/>
    </w:p>
    <w:p w14:paraId="293D031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通过ITSS项目的实施，严格执行《运维交付规范》，在运维项目的实施过程中，持续优化、改善运维交付相关的管理过程。</w:t>
      </w:r>
    </w:p>
    <w:p w14:paraId="17BBED4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对运维交付物进行规范化、流程化的管理，建立相关 KPI 指标，提高运维交付工作的专业化水平。</w:t>
      </w:r>
    </w:p>
    <w:p w14:paraId="2845B80C">
      <w:pPr>
        <w:pStyle w:val="29"/>
        <w:keepNext w:val="0"/>
        <w:keepLines w:val="0"/>
        <w:pageBreakBefore w:val="0"/>
        <w:widowControl w:val="0"/>
        <w:kinsoku w:val="0"/>
        <w:wordWrap/>
        <w:overflowPunct/>
        <w:topLinePunct w:val="0"/>
        <w:autoSpaceDE w:val="0"/>
        <w:autoSpaceDN w:val="0"/>
        <w:bidi w:val="0"/>
        <w:adjustRightInd w:val="0"/>
        <w:snapToGrid w:val="0"/>
      </w:pPr>
      <w:bookmarkStart w:id="119" w:name="_Toc18604"/>
      <w:bookmarkStart w:id="120" w:name="_Toc30021"/>
      <w:bookmarkStart w:id="121" w:name="_Toc11474"/>
      <w:r>
        <w:t>实施计划</w:t>
      </w:r>
      <w:bookmarkEnd w:id="119"/>
      <w:bookmarkEnd w:id="120"/>
      <w:bookmarkEnd w:id="121"/>
    </w:p>
    <w:tbl>
      <w:tblPr>
        <w:tblStyle w:val="24"/>
        <w:tblW w:w="9539"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02"/>
        <w:gridCol w:w="1678"/>
        <w:gridCol w:w="2177"/>
        <w:gridCol w:w="2682"/>
      </w:tblGrid>
      <w:tr w14:paraId="2C8EF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3002" w:type="dxa"/>
          </w:tcPr>
          <w:p w14:paraId="6BF91A74">
            <w:pPr>
              <w:pStyle w:val="25"/>
              <w:keepNext w:val="0"/>
              <w:keepLines w:val="0"/>
              <w:pageBreakBefore w:val="0"/>
              <w:widowControl w:val="0"/>
              <w:kinsoku w:val="0"/>
              <w:wordWrap/>
              <w:overflowPunct/>
              <w:topLinePunct w:val="0"/>
              <w:autoSpaceDE w:val="0"/>
              <w:autoSpaceDN w:val="0"/>
              <w:bidi w:val="0"/>
              <w:adjustRightInd w:val="0"/>
              <w:snapToGrid w:val="0"/>
              <w:spacing w:before="125" w:line="222" w:lineRule="auto"/>
              <w:ind w:left="1267"/>
              <w:rPr>
                <w:sz w:val="24"/>
                <w:szCs w:val="24"/>
              </w:rPr>
            </w:pPr>
            <w:r>
              <w:rPr>
                <w:b/>
                <w:bCs/>
                <w:spacing w:val="-6"/>
                <w:sz w:val="24"/>
                <w:szCs w:val="24"/>
              </w:rPr>
              <w:t>名称</w:t>
            </w:r>
          </w:p>
        </w:tc>
        <w:tc>
          <w:tcPr>
            <w:tcW w:w="1678" w:type="dxa"/>
          </w:tcPr>
          <w:p w14:paraId="1C6A6318">
            <w:pPr>
              <w:pStyle w:val="25"/>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362"/>
              <w:rPr>
                <w:sz w:val="24"/>
                <w:szCs w:val="24"/>
              </w:rPr>
            </w:pPr>
            <w:r>
              <w:rPr>
                <w:b/>
                <w:bCs/>
                <w:spacing w:val="-5"/>
                <w:sz w:val="24"/>
                <w:szCs w:val="24"/>
              </w:rPr>
              <w:t>计划工期</w:t>
            </w:r>
          </w:p>
        </w:tc>
        <w:tc>
          <w:tcPr>
            <w:tcW w:w="2177" w:type="dxa"/>
            <w:tcBorders>
              <w:bottom w:val="single" w:color="auto" w:sz="4" w:space="0"/>
            </w:tcBorders>
          </w:tcPr>
          <w:p w14:paraId="4E7EDEDD">
            <w:pPr>
              <w:pStyle w:val="25"/>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623"/>
              <w:rPr>
                <w:sz w:val="24"/>
                <w:szCs w:val="24"/>
              </w:rPr>
            </w:pPr>
            <w:r>
              <w:rPr>
                <w:b/>
                <w:bCs/>
                <w:spacing w:val="-7"/>
                <w:sz w:val="24"/>
                <w:szCs w:val="24"/>
              </w:rPr>
              <w:t>负责部门</w:t>
            </w:r>
          </w:p>
        </w:tc>
        <w:tc>
          <w:tcPr>
            <w:tcW w:w="2682" w:type="dxa"/>
          </w:tcPr>
          <w:p w14:paraId="7107EFF0">
            <w:pPr>
              <w:pStyle w:val="25"/>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989"/>
              <w:rPr>
                <w:sz w:val="24"/>
                <w:szCs w:val="24"/>
              </w:rPr>
            </w:pPr>
            <w:r>
              <w:rPr>
                <w:b/>
                <w:bCs/>
                <w:spacing w:val="-6"/>
                <w:sz w:val="24"/>
                <w:szCs w:val="24"/>
              </w:rPr>
              <w:t>成果物</w:t>
            </w:r>
          </w:p>
        </w:tc>
      </w:tr>
      <w:tr w14:paraId="54115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3" w:hRule="atLeast"/>
        </w:trPr>
        <w:tc>
          <w:tcPr>
            <w:tcW w:w="3002" w:type="dxa"/>
          </w:tcPr>
          <w:p w14:paraId="4F66DB20">
            <w:pPr>
              <w:pStyle w:val="25"/>
              <w:keepNext w:val="0"/>
              <w:keepLines w:val="0"/>
              <w:pageBreakBefore w:val="0"/>
              <w:widowControl w:val="0"/>
              <w:kinsoku w:val="0"/>
              <w:wordWrap/>
              <w:overflowPunct/>
              <w:topLinePunct w:val="0"/>
              <w:autoSpaceDE w:val="0"/>
              <w:autoSpaceDN w:val="0"/>
              <w:bidi w:val="0"/>
              <w:adjustRightInd w:val="0"/>
              <w:snapToGrid w:val="0"/>
              <w:spacing w:before="123" w:line="341" w:lineRule="auto"/>
              <w:ind w:left="113" w:right="43"/>
              <w:jc w:val="both"/>
              <w:rPr>
                <w:sz w:val="24"/>
                <w:szCs w:val="24"/>
              </w:rPr>
            </w:pPr>
            <w:r>
              <w:rPr>
                <w:spacing w:val="-4"/>
                <w:sz w:val="24"/>
                <w:szCs w:val="24"/>
              </w:rPr>
              <w:t>严格执行交付，持续优化、</w:t>
            </w:r>
            <w:r>
              <w:rPr>
                <w:spacing w:val="-1"/>
                <w:sz w:val="24"/>
                <w:szCs w:val="24"/>
              </w:rPr>
              <w:t>改善运维交付相关的管理</w:t>
            </w:r>
            <w:r>
              <w:rPr>
                <w:spacing w:val="-3"/>
                <w:sz w:val="24"/>
                <w:szCs w:val="24"/>
              </w:rPr>
              <w:t>过程</w:t>
            </w:r>
          </w:p>
        </w:tc>
        <w:tc>
          <w:tcPr>
            <w:tcW w:w="1678" w:type="dxa"/>
            <w:tcBorders>
              <w:right w:val="single" w:color="auto" w:sz="4" w:space="0"/>
            </w:tcBorders>
          </w:tcPr>
          <w:p w14:paraId="5ABDD2B7">
            <w:pPr>
              <w:keepNext w:val="0"/>
              <w:keepLines w:val="0"/>
              <w:pageBreakBefore w:val="0"/>
              <w:widowControl w:val="0"/>
              <w:kinsoku w:val="0"/>
              <w:wordWrap/>
              <w:overflowPunct/>
              <w:topLinePunct w:val="0"/>
              <w:autoSpaceDE w:val="0"/>
              <w:autoSpaceDN w:val="0"/>
              <w:bidi w:val="0"/>
              <w:adjustRightInd w:val="0"/>
              <w:snapToGrid w:val="0"/>
              <w:spacing w:line="264" w:lineRule="auto"/>
              <w:rPr>
                <w:rFonts w:ascii="Arial"/>
                <w:sz w:val="21"/>
              </w:rPr>
            </w:pPr>
          </w:p>
          <w:p w14:paraId="413410DB">
            <w:pPr>
              <w:keepNext w:val="0"/>
              <w:keepLines w:val="0"/>
              <w:pageBreakBefore w:val="0"/>
              <w:widowControl w:val="0"/>
              <w:kinsoku w:val="0"/>
              <w:wordWrap/>
              <w:overflowPunct/>
              <w:topLinePunct w:val="0"/>
              <w:autoSpaceDE w:val="0"/>
              <w:autoSpaceDN w:val="0"/>
              <w:bidi w:val="0"/>
              <w:adjustRightInd w:val="0"/>
              <w:snapToGrid w:val="0"/>
              <w:spacing w:line="265" w:lineRule="auto"/>
              <w:rPr>
                <w:rFonts w:ascii="Arial"/>
                <w:sz w:val="21"/>
              </w:rPr>
            </w:pPr>
          </w:p>
          <w:p w14:paraId="2C9AD8A9">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602"/>
              <w:rPr>
                <w:sz w:val="24"/>
                <w:szCs w:val="24"/>
              </w:rPr>
            </w:pPr>
            <w:r>
              <w:rPr>
                <w:spacing w:val="-3"/>
                <w:sz w:val="24"/>
                <w:szCs w:val="24"/>
              </w:rPr>
              <w:t>全年</w:t>
            </w:r>
          </w:p>
        </w:tc>
        <w:tc>
          <w:tcPr>
            <w:tcW w:w="2177" w:type="dxa"/>
            <w:vMerge w:val="restart"/>
            <w:tcBorders>
              <w:top w:val="single" w:color="auto" w:sz="4" w:space="0"/>
              <w:left w:val="single" w:color="auto" w:sz="4" w:space="0"/>
              <w:bottom w:val="single" w:color="auto" w:sz="4" w:space="0"/>
              <w:right w:val="single" w:color="auto" w:sz="4" w:space="0"/>
            </w:tcBorders>
          </w:tcPr>
          <w:p w14:paraId="77CD8EB1">
            <w:pPr>
              <w:keepNext w:val="0"/>
              <w:keepLines w:val="0"/>
              <w:pageBreakBefore w:val="0"/>
              <w:widowControl w:val="0"/>
              <w:kinsoku w:val="0"/>
              <w:wordWrap/>
              <w:overflowPunct/>
              <w:topLinePunct w:val="0"/>
              <w:autoSpaceDE w:val="0"/>
              <w:autoSpaceDN w:val="0"/>
              <w:bidi w:val="0"/>
              <w:adjustRightInd w:val="0"/>
              <w:snapToGrid w:val="0"/>
              <w:spacing w:line="251" w:lineRule="auto"/>
              <w:rPr>
                <w:rFonts w:ascii="Arial"/>
                <w:sz w:val="21"/>
              </w:rPr>
            </w:pPr>
          </w:p>
          <w:p w14:paraId="77130509">
            <w:pPr>
              <w:keepNext w:val="0"/>
              <w:keepLines w:val="0"/>
              <w:pageBreakBefore w:val="0"/>
              <w:widowControl w:val="0"/>
              <w:kinsoku w:val="0"/>
              <w:wordWrap/>
              <w:overflowPunct/>
              <w:topLinePunct w:val="0"/>
              <w:autoSpaceDE w:val="0"/>
              <w:autoSpaceDN w:val="0"/>
              <w:bidi w:val="0"/>
              <w:adjustRightInd w:val="0"/>
              <w:snapToGrid w:val="0"/>
              <w:spacing w:line="252" w:lineRule="auto"/>
              <w:rPr>
                <w:rFonts w:ascii="Arial"/>
                <w:sz w:val="21"/>
              </w:rPr>
            </w:pPr>
          </w:p>
          <w:p w14:paraId="6656E9D3">
            <w:pPr>
              <w:keepNext w:val="0"/>
              <w:keepLines w:val="0"/>
              <w:pageBreakBefore w:val="0"/>
              <w:widowControl w:val="0"/>
              <w:kinsoku w:val="0"/>
              <w:wordWrap/>
              <w:overflowPunct/>
              <w:topLinePunct w:val="0"/>
              <w:autoSpaceDE w:val="0"/>
              <w:autoSpaceDN w:val="0"/>
              <w:bidi w:val="0"/>
              <w:adjustRightInd w:val="0"/>
              <w:snapToGrid w:val="0"/>
              <w:spacing w:line="252" w:lineRule="auto"/>
              <w:rPr>
                <w:rFonts w:ascii="Arial"/>
                <w:sz w:val="21"/>
              </w:rPr>
            </w:pPr>
          </w:p>
          <w:p w14:paraId="4AFB056B">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94"/>
              <w:rPr>
                <w:sz w:val="24"/>
                <w:szCs w:val="24"/>
              </w:rPr>
            </w:pPr>
            <w:r>
              <w:rPr>
                <w:spacing w:val="-2"/>
                <w:sz w:val="24"/>
                <w:szCs w:val="24"/>
              </w:rPr>
              <w:t>运维部</w:t>
            </w:r>
          </w:p>
        </w:tc>
        <w:tc>
          <w:tcPr>
            <w:tcW w:w="2682" w:type="dxa"/>
            <w:tcBorders>
              <w:left w:val="single" w:color="auto" w:sz="4" w:space="0"/>
            </w:tcBorders>
          </w:tcPr>
          <w:p w14:paraId="7DE7562C">
            <w:pPr>
              <w:keepNext w:val="0"/>
              <w:keepLines w:val="0"/>
              <w:pageBreakBefore w:val="0"/>
              <w:widowControl w:val="0"/>
              <w:kinsoku w:val="0"/>
              <w:wordWrap/>
              <w:overflowPunct/>
              <w:topLinePunct w:val="0"/>
              <w:autoSpaceDE w:val="0"/>
              <w:autoSpaceDN w:val="0"/>
              <w:bidi w:val="0"/>
              <w:adjustRightInd w:val="0"/>
              <w:snapToGrid w:val="0"/>
              <w:spacing w:line="286" w:lineRule="auto"/>
              <w:rPr>
                <w:rFonts w:ascii="Arial"/>
                <w:sz w:val="21"/>
              </w:rPr>
            </w:pPr>
          </w:p>
          <w:p w14:paraId="4353A46A">
            <w:pPr>
              <w:pStyle w:val="25"/>
              <w:keepNext w:val="0"/>
              <w:keepLines w:val="0"/>
              <w:pageBreakBefore w:val="0"/>
              <w:widowControl w:val="0"/>
              <w:kinsoku w:val="0"/>
              <w:wordWrap/>
              <w:overflowPunct/>
              <w:topLinePunct w:val="0"/>
              <w:autoSpaceDE w:val="0"/>
              <w:autoSpaceDN w:val="0"/>
              <w:bidi w:val="0"/>
              <w:adjustRightInd w:val="0"/>
              <w:snapToGrid w:val="0"/>
              <w:spacing w:before="202" w:line="220" w:lineRule="auto"/>
              <w:ind w:left="116"/>
              <w:rPr>
                <w:rFonts w:hint="default" w:eastAsia="宋体"/>
                <w:sz w:val="24"/>
                <w:szCs w:val="24"/>
                <w:lang w:val="en-US" w:eastAsia="zh-CN"/>
              </w:rPr>
            </w:pPr>
            <w:r>
              <w:rPr>
                <w:rFonts w:hint="eastAsia"/>
                <w:sz w:val="24"/>
                <w:szCs w:val="24"/>
                <w:lang w:val="en-US" w:eastAsia="zh-CN"/>
              </w:rPr>
              <w:t>《运维服务交付规范》</w:t>
            </w:r>
          </w:p>
        </w:tc>
      </w:tr>
      <w:tr w14:paraId="4A4B2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6" w:hRule="atLeast"/>
        </w:trPr>
        <w:tc>
          <w:tcPr>
            <w:tcW w:w="3002" w:type="dxa"/>
          </w:tcPr>
          <w:p w14:paraId="73969155">
            <w:pPr>
              <w:pStyle w:val="25"/>
              <w:keepNext w:val="0"/>
              <w:keepLines w:val="0"/>
              <w:pageBreakBefore w:val="0"/>
              <w:widowControl w:val="0"/>
              <w:kinsoku w:val="0"/>
              <w:wordWrap/>
              <w:overflowPunct/>
              <w:topLinePunct w:val="0"/>
              <w:autoSpaceDE w:val="0"/>
              <w:autoSpaceDN w:val="0"/>
              <w:bidi w:val="0"/>
              <w:adjustRightInd w:val="0"/>
              <w:snapToGrid w:val="0"/>
              <w:spacing w:before="126" w:line="323" w:lineRule="auto"/>
              <w:ind w:left="111" w:right="249" w:firstLine="2"/>
              <w:rPr>
                <w:sz w:val="24"/>
                <w:szCs w:val="24"/>
              </w:rPr>
            </w:pPr>
            <w:r>
              <w:rPr>
                <w:spacing w:val="-2"/>
                <w:sz w:val="24"/>
                <w:szCs w:val="24"/>
              </w:rPr>
              <w:t>编制运维项目交付服务计</w:t>
            </w:r>
            <w:r>
              <w:rPr>
                <w:sz w:val="24"/>
                <w:szCs w:val="24"/>
              </w:rPr>
              <w:t>划</w:t>
            </w:r>
          </w:p>
        </w:tc>
        <w:tc>
          <w:tcPr>
            <w:tcW w:w="1678" w:type="dxa"/>
            <w:tcBorders>
              <w:right w:val="single" w:color="auto" w:sz="4" w:space="0"/>
            </w:tcBorders>
          </w:tcPr>
          <w:p w14:paraId="763E549D">
            <w:pPr>
              <w:pStyle w:val="25"/>
              <w:keepNext w:val="0"/>
              <w:keepLines w:val="0"/>
              <w:pageBreakBefore w:val="0"/>
              <w:widowControl w:val="0"/>
              <w:kinsoku w:val="0"/>
              <w:wordWrap/>
              <w:overflowPunct/>
              <w:topLinePunct w:val="0"/>
              <w:autoSpaceDE w:val="0"/>
              <w:autoSpaceDN w:val="0"/>
              <w:bidi w:val="0"/>
              <w:adjustRightInd w:val="0"/>
              <w:snapToGrid w:val="0"/>
              <w:spacing w:before="126" w:line="323" w:lineRule="auto"/>
              <w:ind w:left="482" w:right="115" w:hanging="356"/>
              <w:rPr>
                <w:rFonts w:hint="default" w:eastAsia="宋体"/>
                <w:sz w:val="24"/>
                <w:szCs w:val="24"/>
                <w:lang w:val="en-US" w:eastAsia="zh-CN"/>
              </w:rPr>
            </w:pPr>
            <w:r>
              <w:rPr>
                <w:rFonts w:hint="eastAsia"/>
                <w:sz w:val="24"/>
                <w:szCs w:val="24"/>
                <w:lang w:val="en-US" w:eastAsia="zh-CN"/>
              </w:rPr>
              <w:t>项目运维周期</w:t>
            </w:r>
          </w:p>
        </w:tc>
        <w:tc>
          <w:tcPr>
            <w:tcW w:w="2177" w:type="dxa"/>
            <w:vMerge w:val="continue"/>
            <w:tcBorders>
              <w:top w:val="single" w:color="auto" w:sz="4" w:space="0"/>
              <w:left w:val="single" w:color="auto" w:sz="4" w:space="0"/>
              <w:bottom w:val="single" w:color="auto" w:sz="4" w:space="0"/>
              <w:right w:val="single" w:color="auto" w:sz="4" w:space="0"/>
            </w:tcBorders>
          </w:tcPr>
          <w:p w14:paraId="01B93D3B">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682" w:type="dxa"/>
            <w:tcBorders>
              <w:left w:val="single" w:color="auto" w:sz="4" w:space="0"/>
            </w:tcBorders>
          </w:tcPr>
          <w:p w14:paraId="7617A123">
            <w:pPr>
              <w:pStyle w:val="25"/>
              <w:keepNext w:val="0"/>
              <w:keepLines w:val="0"/>
              <w:pageBreakBefore w:val="0"/>
              <w:widowControl w:val="0"/>
              <w:kinsoku w:val="0"/>
              <w:wordWrap/>
              <w:overflowPunct/>
              <w:topLinePunct w:val="0"/>
              <w:autoSpaceDE w:val="0"/>
              <w:autoSpaceDN w:val="0"/>
              <w:bidi w:val="0"/>
              <w:adjustRightInd w:val="0"/>
              <w:snapToGrid w:val="0"/>
              <w:spacing w:before="126" w:line="323" w:lineRule="auto"/>
              <w:ind w:left="114" w:right="166" w:firstLine="1"/>
              <w:rPr>
                <w:rFonts w:hint="eastAsia"/>
                <w:sz w:val="24"/>
                <w:szCs w:val="24"/>
                <w:lang w:val="en-US" w:eastAsia="zh-CN"/>
              </w:rPr>
            </w:pPr>
            <w:r>
              <w:rPr>
                <w:rFonts w:hint="eastAsia"/>
                <w:sz w:val="24"/>
                <w:szCs w:val="24"/>
                <w:lang w:val="en-US" w:eastAsia="zh-CN"/>
              </w:rPr>
              <w:t>《项目运维实施方案》、《项目运维实施计划》《项目阶段性总结报告》</w:t>
            </w:r>
          </w:p>
        </w:tc>
      </w:tr>
    </w:tbl>
    <w:p w14:paraId="65554FF6">
      <w:bookmarkStart w:id="122" w:name="bookmark55"/>
      <w:bookmarkEnd w:id="122"/>
      <w:bookmarkStart w:id="123" w:name="_Toc14360"/>
      <w:bookmarkStart w:id="124" w:name="_Toc10435"/>
      <w:bookmarkStart w:id="125" w:name="_Toc5088"/>
      <w:r>
        <w:br w:type="page"/>
      </w:r>
    </w:p>
    <w:p w14:paraId="76CCCFF6">
      <w:pPr>
        <w:pStyle w:val="27"/>
        <w:keepNext w:val="0"/>
        <w:keepLines w:val="0"/>
        <w:pageBreakBefore w:val="0"/>
        <w:widowControl w:val="0"/>
        <w:kinsoku w:val="0"/>
        <w:wordWrap/>
        <w:overflowPunct/>
        <w:topLinePunct w:val="0"/>
        <w:autoSpaceDE w:val="0"/>
        <w:autoSpaceDN w:val="0"/>
        <w:bidi w:val="0"/>
        <w:adjustRightInd w:val="0"/>
        <w:snapToGrid w:val="0"/>
      </w:pPr>
      <w:r>
        <w:t>应急响应</w:t>
      </w:r>
      <w:bookmarkEnd w:id="123"/>
      <w:bookmarkEnd w:id="124"/>
      <w:bookmarkEnd w:id="125"/>
    </w:p>
    <w:p w14:paraId="6E6803EB">
      <w:pPr>
        <w:pStyle w:val="29"/>
        <w:keepNext w:val="0"/>
        <w:keepLines w:val="0"/>
        <w:pageBreakBefore w:val="0"/>
        <w:widowControl w:val="0"/>
        <w:kinsoku w:val="0"/>
        <w:wordWrap/>
        <w:overflowPunct/>
        <w:topLinePunct w:val="0"/>
        <w:autoSpaceDE w:val="0"/>
        <w:autoSpaceDN w:val="0"/>
        <w:bidi w:val="0"/>
        <w:adjustRightInd w:val="0"/>
        <w:snapToGrid w:val="0"/>
      </w:pPr>
      <w:bookmarkStart w:id="126" w:name="bookmark73"/>
      <w:bookmarkEnd w:id="126"/>
      <w:bookmarkStart w:id="127" w:name="_Toc13591"/>
      <w:bookmarkStart w:id="128" w:name="_Toc17367"/>
      <w:bookmarkStart w:id="129" w:name="_Toc16790"/>
      <w:r>
        <w:t>现状分析</w:t>
      </w:r>
      <w:bookmarkEnd w:id="127"/>
      <w:bookmarkEnd w:id="128"/>
      <w:bookmarkEnd w:id="129"/>
    </w:p>
    <w:p w14:paraId="0CE00C5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公司坚持以预防为主、日常响应处理相结合的策略，把应对突发事件的各项工作落实在日常管理之中，加强基础工作，提高防范意识，将预防与应急处置有机结合起来，做好预防、预测、预警工作，加强系统巡视，定期安全检查，及时发现处理系统缺陷，有效防止发生系统瘫痪；组织开展事故演习，提高对突发事件处理和恢复运行的能力。</w:t>
      </w:r>
    </w:p>
    <w:p w14:paraId="62AB76E9">
      <w:pPr>
        <w:pStyle w:val="29"/>
        <w:keepNext w:val="0"/>
        <w:keepLines w:val="0"/>
        <w:pageBreakBefore w:val="0"/>
        <w:widowControl w:val="0"/>
        <w:kinsoku w:val="0"/>
        <w:wordWrap/>
        <w:overflowPunct/>
        <w:topLinePunct w:val="0"/>
        <w:autoSpaceDE w:val="0"/>
        <w:autoSpaceDN w:val="0"/>
        <w:bidi w:val="0"/>
        <w:adjustRightInd w:val="0"/>
        <w:snapToGrid w:val="0"/>
      </w:pPr>
      <w:bookmarkStart w:id="130" w:name="bookmark56"/>
      <w:bookmarkEnd w:id="130"/>
      <w:bookmarkStart w:id="131" w:name="_Toc30137"/>
      <w:bookmarkStart w:id="132" w:name="_Toc3880"/>
      <w:bookmarkStart w:id="133" w:name="_Toc19715"/>
      <w:r>
        <w:t>改进目标</w:t>
      </w:r>
      <w:bookmarkEnd w:id="131"/>
      <w:bookmarkEnd w:id="132"/>
      <w:bookmarkEnd w:id="133"/>
    </w:p>
    <w:p w14:paraId="65B61E0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eastAsia="zh-CN"/>
        </w:rPr>
      </w:pPr>
      <w:r>
        <w:rPr>
          <w:rFonts w:ascii="宋体" w:hAnsi="宋体" w:eastAsia="宋体" w:cs="宋体"/>
          <w:sz w:val="24"/>
          <w:szCs w:val="24"/>
        </w:rPr>
        <w:t>运维部负责在 2025年 1 月将运维应急管理相关制度，并宣贯到各个项目。所有运维工程师熟悉并严格执行应急响应规范，在岗及储备的运维负责人负责应急响应规范的监控和统计分析</w:t>
      </w:r>
      <w:r>
        <w:rPr>
          <w:rFonts w:hint="eastAsia" w:ascii="宋体" w:hAnsi="宋体" w:cs="宋体"/>
          <w:sz w:val="24"/>
          <w:szCs w:val="24"/>
          <w:lang w:eastAsia="zh-CN"/>
        </w:rPr>
        <w:t>。</w:t>
      </w:r>
    </w:p>
    <w:p w14:paraId="1C559550">
      <w:pPr>
        <w:pStyle w:val="29"/>
        <w:keepNext w:val="0"/>
        <w:keepLines w:val="0"/>
        <w:pageBreakBefore w:val="0"/>
        <w:widowControl w:val="0"/>
        <w:kinsoku w:val="0"/>
        <w:wordWrap/>
        <w:overflowPunct/>
        <w:topLinePunct w:val="0"/>
        <w:autoSpaceDE w:val="0"/>
        <w:autoSpaceDN w:val="0"/>
        <w:bidi w:val="0"/>
        <w:adjustRightInd w:val="0"/>
        <w:snapToGrid w:val="0"/>
      </w:pPr>
      <w:bookmarkStart w:id="134" w:name="bookmark57"/>
      <w:bookmarkEnd w:id="134"/>
      <w:bookmarkStart w:id="135" w:name="_Toc2180"/>
      <w:bookmarkStart w:id="136" w:name="_Toc4273"/>
      <w:r>
        <w:t xml:space="preserve"> </w:t>
      </w:r>
      <w:bookmarkStart w:id="137" w:name="_Toc15610"/>
      <w:r>
        <w:t>实施计划</w:t>
      </w:r>
      <w:bookmarkEnd w:id="135"/>
      <w:bookmarkEnd w:id="136"/>
      <w:bookmarkEnd w:id="137"/>
    </w:p>
    <w:tbl>
      <w:tblPr>
        <w:tblStyle w:val="21"/>
        <w:tblW w:w="107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3"/>
        <w:gridCol w:w="3150"/>
        <w:gridCol w:w="1624"/>
        <w:gridCol w:w="2680"/>
      </w:tblGrid>
      <w:tr w14:paraId="60A8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3" w:type="dxa"/>
            <w:shd w:val="clear" w:color="auto" w:fill="auto"/>
          </w:tcPr>
          <w:p w14:paraId="71343604">
            <w:pPr>
              <w:pStyle w:val="25"/>
              <w:keepNext w:val="0"/>
              <w:keepLines w:val="0"/>
              <w:pageBreakBefore w:val="0"/>
              <w:widowControl w:val="0"/>
              <w:kinsoku w:val="0"/>
              <w:wordWrap/>
              <w:overflowPunct/>
              <w:topLinePunct w:val="0"/>
              <w:autoSpaceDE w:val="0"/>
              <w:autoSpaceDN w:val="0"/>
              <w:bidi w:val="0"/>
              <w:adjustRightInd w:val="0"/>
              <w:snapToGrid w:val="0"/>
              <w:spacing w:before="125" w:line="222" w:lineRule="auto"/>
              <w:ind w:left="1324" w:leftChars="0"/>
              <w:rPr>
                <w:rFonts w:ascii="宋体" w:hAnsi="宋体" w:eastAsia="宋体" w:cs="宋体"/>
                <w:snapToGrid w:val="0"/>
                <w:color w:val="000000"/>
                <w:kern w:val="0"/>
                <w:sz w:val="24"/>
                <w:szCs w:val="24"/>
                <w:lang w:val="en-US" w:eastAsia="en-US" w:bidi="ar-SA"/>
              </w:rPr>
            </w:pPr>
            <w:bookmarkStart w:id="138" w:name="bookmark59"/>
            <w:bookmarkEnd w:id="138"/>
            <w:bookmarkStart w:id="139" w:name="bookmark58"/>
            <w:bookmarkEnd w:id="139"/>
            <w:bookmarkStart w:id="140" w:name="_Toc3108"/>
            <w:bookmarkStart w:id="141" w:name="_Toc21932"/>
            <w:r>
              <w:rPr>
                <w:b/>
                <w:bCs/>
                <w:spacing w:val="-6"/>
                <w:sz w:val="24"/>
                <w:szCs w:val="24"/>
              </w:rPr>
              <w:t>名称</w:t>
            </w:r>
          </w:p>
        </w:tc>
        <w:tc>
          <w:tcPr>
            <w:tcW w:w="3150" w:type="dxa"/>
            <w:shd w:val="clear" w:color="auto" w:fill="auto"/>
          </w:tcPr>
          <w:p w14:paraId="3919775A">
            <w:pPr>
              <w:pStyle w:val="25"/>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284" w:leftChars="0"/>
              <w:rPr>
                <w:rFonts w:ascii="宋体" w:hAnsi="宋体" w:eastAsia="宋体" w:cs="宋体"/>
                <w:snapToGrid w:val="0"/>
                <w:color w:val="000000"/>
                <w:kern w:val="0"/>
                <w:sz w:val="24"/>
                <w:szCs w:val="24"/>
                <w:lang w:val="en-US" w:eastAsia="en-US" w:bidi="ar-SA"/>
              </w:rPr>
            </w:pPr>
            <w:r>
              <w:rPr>
                <w:b/>
                <w:bCs/>
                <w:spacing w:val="-5"/>
                <w:sz w:val="24"/>
                <w:szCs w:val="24"/>
              </w:rPr>
              <w:t>计划工期</w:t>
            </w:r>
          </w:p>
        </w:tc>
        <w:tc>
          <w:tcPr>
            <w:tcW w:w="1624" w:type="dxa"/>
            <w:shd w:val="clear" w:color="auto" w:fill="auto"/>
          </w:tcPr>
          <w:p w14:paraId="0D40CDBA">
            <w:pPr>
              <w:pStyle w:val="25"/>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335" w:leftChars="0"/>
              <w:rPr>
                <w:rFonts w:ascii="宋体" w:hAnsi="宋体" w:eastAsia="宋体" w:cs="宋体"/>
                <w:snapToGrid w:val="0"/>
                <w:color w:val="000000"/>
                <w:kern w:val="0"/>
                <w:sz w:val="24"/>
                <w:szCs w:val="24"/>
                <w:lang w:val="en-US" w:eastAsia="en-US" w:bidi="ar-SA"/>
              </w:rPr>
            </w:pPr>
            <w:r>
              <w:rPr>
                <w:rFonts w:hint="eastAsia"/>
                <w:b/>
                <w:bCs/>
                <w:spacing w:val="-7"/>
                <w:sz w:val="24"/>
                <w:szCs w:val="24"/>
                <w:lang w:val="en-US" w:eastAsia="zh-CN"/>
              </w:rPr>
              <w:t>相关</w:t>
            </w:r>
            <w:r>
              <w:rPr>
                <w:b/>
                <w:bCs/>
                <w:spacing w:val="-7"/>
                <w:sz w:val="24"/>
                <w:szCs w:val="24"/>
              </w:rPr>
              <w:t>部门</w:t>
            </w:r>
          </w:p>
        </w:tc>
        <w:tc>
          <w:tcPr>
            <w:tcW w:w="2680" w:type="dxa"/>
            <w:shd w:val="clear" w:color="auto" w:fill="auto"/>
          </w:tcPr>
          <w:p w14:paraId="2C0EEEF2">
            <w:pPr>
              <w:pStyle w:val="25"/>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794" w:leftChars="0"/>
              <w:rPr>
                <w:rFonts w:ascii="宋体" w:hAnsi="宋体" w:eastAsia="宋体" w:cs="宋体"/>
                <w:snapToGrid w:val="0"/>
                <w:color w:val="000000"/>
                <w:kern w:val="0"/>
                <w:sz w:val="24"/>
                <w:szCs w:val="24"/>
                <w:lang w:val="en-US" w:eastAsia="en-US" w:bidi="ar-SA"/>
              </w:rPr>
            </w:pPr>
            <w:r>
              <w:rPr>
                <w:b/>
                <w:bCs/>
                <w:spacing w:val="-6"/>
                <w:sz w:val="24"/>
                <w:szCs w:val="24"/>
              </w:rPr>
              <w:t>成果物</w:t>
            </w:r>
          </w:p>
        </w:tc>
      </w:tr>
      <w:tr w14:paraId="228B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3" w:type="dxa"/>
          </w:tcPr>
          <w:p w14:paraId="516775F0">
            <w:pPr>
              <w:keepNext w:val="0"/>
              <w:keepLines w:val="0"/>
              <w:pageBreakBefore w:val="0"/>
              <w:widowControl w:val="0"/>
              <w:kinsoku w:val="0"/>
              <w:wordWrap/>
              <w:overflowPunct/>
              <w:topLinePunct w:val="0"/>
              <w:autoSpaceDE w:val="0"/>
              <w:autoSpaceDN w:val="0"/>
              <w:bidi w:val="0"/>
              <w:adjustRightInd w:val="0"/>
              <w:snapToGrid w:val="0"/>
              <w:rPr>
                <w:vertAlign w:val="baseline"/>
              </w:rPr>
            </w:pPr>
            <w:r>
              <w:rPr>
                <w:spacing w:val="-1"/>
                <w:sz w:val="24"/>
                <w:szCs w:val="24"/>
              </w:rPr>
              <w:t>将应急响应服务规范贯彻执行，并持续改进运维服务过程中的应急响应管理</w:t>
            </w:r>
          </w:p>
        </w:tc>
        <w:tc>
          <w:tcPr>
            <w:tcW w:w="3150" w:type="dxa"/>
          </w:tcPr>
          <w:p w14:paraId="2DCD49D1">
            <w:pPr>
              <w:keepNext w:val="0"/>
              <w:keepLines w:val="0"/>
              <w:pageBreakBefore w:val="0"/>
              <w:widowControl w:val="0"/>
              <w:kinsoku w:val="0"/>
              <w:wordWrap/>
              <w:overflowPunct/>
              <w:topLinePunct w:val="0"/>
              <w:autoSpaceDE w:val="0"/>
              <w:autoSpaceDN w:val="0"/>
              <w:bidi w:val="0"/>
              <w:adjustRightInd w:val="0"/>
              <w:snapToGrid w:val="0"/>
              <w:rPr>
                <w:vertAlign w:val="baseline"/>
              </w:rPr>
            </w:pPr>
            <w:r>
              <w:rPr>
                <w:spacing w:val="-3"/>
                <w:sz w:val="24"/>
                <w:szCs w:val="24"/>
              </w:rPr>
              <w:t>全年</w:t>
            </w:r>
          </w:p>
        </w:tc>
        <w:tc>
          <w:tcPr>
            <w:tcW w:w="1624" w:type="dxa"/>
            <w:vMerge w:val="restart"/>
          </w:tcPr>
          <w:p w14:paraId="49171243">
            <w:pPr>
              <w:keepNext w:val="0"/>
              <w:keepLines w:val="0"/>
              <w:pageBreakBefore w:val="0"/>
              <w:widowControl w:val="0"/>
              <w:kinsoku w:val="0"/>
              <w:wordWrap/>
              <w:overflowPunct/>
              <w:topLinePunct w:val="0"/>
              <w:autoSpaceDE w:val="0"/>
              <w:autoSpaceDN w:val="0"/>
              <w:bidi w:val="0"/>
              <w:adjustRightInd w:val="0"/>
              <w:snapToGrid w:val="0"/>
              <w:rPr>
                <w:rFonts w:hint="eastAsia" w:eastAsia="宋体"/>
                <w:vertAlign w:val="baseline"/>
                <w:lang w:val="en-US" w:eastAsia="zh-CN"/>
              </w:rPr>
            </w:pPr>
            <w:r>
              <w:rPr>
                <w:rFonts w:hint="eastAsia" w:eastAsia="宋体"/>
                <w:vertAlign w:val="baseline"/>
                <w:lang w:val="en-US" w:eastAsia="zh-CN"/>
              </w:rPr>
              <w:t>应急管理小组</w:t>
            </w:r>
          </w:p>
          <w:p w14:paraId="1A931D90">
            <w:pPr>
              <w:keepNext w:val="0"/>
              <w:keepLines w:val="0"/>
              <w:pageBreakBefore w:val="0"/>
              <w:widowControl w:val="0"/>
              <w:kinsoku w:val="0"/>
              <w:wordWrap/>
              <w:overflowPunct/>
              <w:topLinePunct w:val="0"/>
              <w:autoSpaceDE w:val="0"/>
              <w:autoSpaceDN w:val="0"/>
              <w:bidi w:val="0"/>
              <w:adjustRightInd w:val="0"/>
              <w:snapToGrid w:val="0"/>
              <w:rPr>
                <w:rFonts w:hint="eastAsia" w:eastAsia="宋体"/>
                <w:vertAlign w:val="baseline"/>
                <w:lang w:val="en-US" w:eastAsia="zh-CN"/>
              </w:rPr>
            </w:pPr>
            <w:r>
              <w:rPr>
                <w:rFonts w:hint="eastAsia" w:eastAsia="宋体"/>
                <w:vertAlign w:val="baseline"/>
                <w:lang w:val="en-US" w:eastAsia="zh-CN"/>
              </w:rPr>
              <w:t>研发部</w:t>
            </w:r>
          </w:p>
          <w:p w14:paraId="542B7DEA">
            <w:pPr>
              <w:keepNext w:val="0"/>
              <w:keepLines w:val="0"/>
              <w:pageBreakBefore w:val="0"/>
              <w:widowControl w:val="0"/>
              <w:kinsoku w:val="0"/>
              <w:wordWrap/>
              <w:overflowPunct/>
              <w:topLinePunct w:val="0"/>
              <w:autoSpaceDE w:val="0"/>
              <w:autoSpaceDN w:val="0"/>
              <w:bidi w:val="0"/>
              <w:adjustRightInd w:val="0"/>
              <w:snapToGrid w:val="0"/>
              <w:rPr>
                <w:rFonts w:hint="eastAsia" w:eastAsia="宋体"/>
                <w:vertAlign w:val="baseline"/>
                <w:lang w:val="en-US" w:eastAsia="zh-CN"/>
              </w:rPr>
            </w:pPr>
            <w:r>
              <w:rPr>
                <w:rFonts w:hint="eastAsia" w:eastAsia="宋体"/>
                <w:vertAlign w:val="baseline"/>
                <w:lang w:val="en-US" w:eastAsia="zh-CN"/>
              </w:rPr>
              <w:t>运维部</w:t>
            </w:r>
          </w:p>
          <w:p w14:paraId="59297CA5">
            <w:pPr>
              <w:keepNext w:val="0"/>
              <w:keepLines w:val="0"/>
              <w:pageBreakBefore w:val="0"/>
              <w:widowControl w:val="0"/>
              <w:kinsoku w:val="0"/>
              <w:wordWrap/>
              <w:overflowPunct/>
              <w:topLinePunct w:val="0"/>
              <w:autoSpaceDE w:val="0"/>
              <w:autoSpaceDN w:val="0"/>
              <w:bidi w:val="0"/>
              <w:adjustRightInd w:val="0"/>
              <w:snapToGrid w:val="0"/>
              <w:rPr>
                <w:rFonts w:hint="default" w:eastAsia="宋体"/>
                <w:vertAlign w:val="baseline"/>
                <w:lang w:val="en-US" w:eastAsia="zh-CN"/>
              </w:rPr>
            </w:pPr>
            <w:r>
              <w:rPr>
                <w:rFonts w:hint="eastAsia" w:eastAsia="宋体"/>
                <w:vertAlign w:val="baseline"/>
                <w:lang w:val="en-US" w:eastAsia="zh-CN"/>
              </w:rPr>
              <w:t>质量部</w:t>
            </w:r>
          </w:p>
        </w:tc>
        <w:tc>
          <w:tcPr>
            <w:tcW w:w="2680" w:type="dxa"/>
          </w:tcPr>
          <w:p w14:paraId="7FC24245">
            <w:pPr>
              <w:keepNext w:val="0"/>
              <w:keepLines w:val="0"/>
              <w:pageBreakBefore w:val="0"/>
              <w:widowControl w:val="0"/>
              <w:kinsoku w:val="0"/>
              <w:wordWrap/>
              <w:overflowPunct/>
              <w:topLinePunct w:val="0"/>
              <w:autoSpaceDE w:val="0"/>
              <w:autoSpaceDN w:val="0"/>
              <w:bidi w:val="0"/>
              <w:adjustRightInd w:val="0"/>
              <w:snapToGrid w:val="0"/>
              <w:rPr>
                <w:rFonts w:hint="default" w:eastAsia="宋体"/>
                <w:vertAlign w:val="baseline"/>
                <w:lang w:val="en-US" w:eastAsia="zh-CN"/>
              </w:rPr>
            </w:pPr>
            <w:r>
              <w:rPr>
                <w:rFonts w:hint="eastAsia" w:eastAsia="宋体"/>
                <w:vertAlign w:val="baseline"/>
                <w:lang w:val="en-US" w:eastAsia="zh-CN"/>
              </w:rPr>
              <w:t>《应急</w:t>
            </w:r>
            <w:r>
              <w:rPr>
                <w:rFonts w:hint="eastAsia"/>
                <w:vertAlign w:val="baseline"/>
                <w:lang w:val="en-US" w:eastAsia="zh-CN"/>
              </w:rPr>
              <w:t>管理</w:t>
            </w:r>
            <w:r>
              <w:rPr>
                <w:rFonts w:hint="eastAsia" w:eastAsia="宋体"/>
                <w:vertAlign w:val="baseline"/>
                <w:lang w:val="en-US" w:eastAsia="zh-CN"/>
              </w:rPr>
              <w:t>制度》</w:t>
            </w:r>
          </w:p>
        </w:tc>
      </w:tr>
      <w:tr w14:paraId="096AA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3" w:type="dxa"/>
          </w:tcPr>
          <w:p w14:paraId="2DAD48E3">
            <w:pPr>
              <w:keepNext w:val="0"/>
              <w:keepLines w:val="0"/>
              <w:pageBreakBefore w:val="0"/>
              <w:widowControl w:val="0"/>
              <w:kinsoku w:val="0"/>
              <w:wordWrap/>
              <w:overflowPunct/>
              <w:topLinePunct w:val="0"/>
              <w:autoSpaceDE w:val="0"/>
              <w:autoSpaceDN w:val="0"/>
              <w:bidi w:val="0"/>
              <w:adjustRightInd w:val="0"/>
              <w:snapToGrid w:val="0"/>
              <w:rPr>
                <w:vertAlign w:val="baseline"/>
              </w:rPr>
            </w:pPr>
            <w:r>
              <w:rPr>
                <w:spacing w:val="-1"/>
                <w:sz w:val="24"/>
                <w:szCs w:val="24"/>
              </w:rPr>
              <w:t>应急响应规范与应急预案培</w:t>
            </w:r>
            <w:r>
              <w:rPr>
                <w:sz w:val="24"/>
                <w:szCs w:val="24"/>
              </w:rPr>
              <w:t>训</w:t>
            </w:r>
          </w:p>
        </w:tc>
        <w:tc>
          <w:tcPr>
            <w:tcW w:w="3150" w:type="dxa"/>
          </w:tcPr>
          <w:p w14:paraId="4F0397F7">
            <w:pPr>
              <w:keepNext w:val="0"/>
              <w:keepLines w:val="0"/>
              <w:pageBreakBefore w:val="0"/>
              <w:widowControl w:val="0"/>
              <w:kinsoku w:val="0"/>
              <w:wordWrap/>
              <w:overflowPunct/>
              <w:topLinePunct w:val="0"/>
              <w:autoSpaceDE w:val="0"/>
              <w:autoSpaceDN w:val="0"/>
              <w:bidi w:val="0"/>
              <w:adjustRightInd w:val="0"/>
              <w:snapToGrid w:val="0"/>
              <w:rPr>
                <w:rFonts w:hint="default" w:eastAsia="宋体"/>
                <w:vertAlign w:val="baseline"/>
                <w:lang w:val="en-US" w:eastAsia="zh-CN"/>
              </w:rPr>
            </w:pPr>
            <w:r>
              <w:rPr>
                <w:rFonts w:hint="eastAsia" w:eastAsia="宋体"/>
                <w:vertAlign w:val="baseline"/>
                <w:lang w:val="en-US" w:eastAsia="zh-CN"/>
              </w:rPr>
              <w:t>4月</w:t>
            </w:r>
          </w:p>
        </w:tc>
        <w:tc>
          <w:tcPr>
            <w:tcW w:w="1624" w:type="dxa"/>
            <w:vMerge w:val="continue"/>
          </w:tcPr>
          <w:p w14:paraId="536914EA">
            <w:pPr>
              <w:keepNext w:val="0"/>
              <w:keepLines w:val="0"/>
              <w:pageBreakBefore w:val="0"/>
              <w:widowControl w:val="0"/>
              <w:kinsoku w:val="0"/>
              <w:wordWrap/>
              <w:overflowPunct/>
              <w:topLinePunct w:val="0"/>
              <w:autoSpaceDE w:val="0"/>
              <w:autoSpaceDN w:val="0"/>
              <w:bidi w:val="0"/>
              <w:adjustRightInd w:val="0"/>
              <w:snapToGrid w:val="0"/>
              <w:rPr>
                <w:vertAlign w:val="baseline"/>
              </w:rPr>
            </w:pPr>
          </w:p>
        </w:tc>
        <w:tc>
          <w:tcPr>
            <w:tcW w:w="2680" w:type="dxa"/>
          </w:tcPr>
          <w:p w14:paraId="086F1A5A">
            <w:pPr>
              <w:keepNext w:val="0"/>
              <w:keepLines w:val="0"/>
              <w:pageBreakBefore w:val="0"/>
              <w:widowControl w:val="0"/>
              <w:kinsoku w:val="0"/>
              <w:wordWrap/>
              <w:overflowPunct/>
              <w:topLinePunct w:val="0"/>
              <w:autoSpaceDE w:val="0"/>
              <w:autoSpaceDN w:val="0"/>
              <w:bidi w:val="0"/>
              <w:adjustRightInd w:val="0"/>
              <w:snapToGrid w:val="0"/>
              <w:rPr>
                <w:rFonts w:hint="default" w:eastAsia="宋体"/>
                <w:vertAlign w:val="baseline"/>
                <w:lang w:val="en-US" w:eastAsia="zh-CN"/>
              </w:rPr>
            </w:pPr>
            <w:r>
              <w:rPr>
                <w:rFonts w:hint="eastAsia" w:eastAsia="宋体"/>
                <w:vertAlign w:val="baseline"/>
                <w:lang w:val="en-US" w:eastAsia="zh-CN"/>
              </w:rPr>
              <w:t>培训记录</w:t>
            </w:r>
          </w:p>
        </w:tc>
      </w:tr>
      <w:tr w14:paraId="3DC3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3" w:type="dxa"/>
          </w:tcPr>
          <w:p w14:paraId="1A067A94">
            <w:pPr>
              <w:keepNext w:val="0"/>
              <w:keepLines w:val="0"/>
              <w:pageBreakBefore w:val="0"/>
              <w:widowControl w:val="0"/>
              <w:kinsoku w:val="0"/>
              <w:wordWrap/>
              <w:overflowPunct/>
              <w:topLinePunct w:val="0"/>
              <w:autoSpaceDE w:val="0"/>
              <w:autoSpaceDN w:val="0"/>
              <w:bidi w:val="0"/>
              <w:adjustRightInd w:val="0"/>
              <w:snapToGrid w:val="0"/>
              <w:rPr>
                <w:spacing w:val="-1"/>
                <w:sz w:val="24"/>
                <w:szCs w:val="24"/>
              </w:rPr>
            </w:pPr>
            <w:r>
              <w:rPr>
                <w:spacing w:val="-2"/>
                <w:sz w:val="24"/>
                <w:szCs w:val="24"/>
              </w:rPr>
              <w:t>组织应急响应预案演练</w:t>
            </w:r>
          </w:p>
        </w:tc>
        <w:tc>
          <w:tcPr>
            <w:tcW w:w="3150" w:type="dxa"/>
          </w:tcPr>
          <w:p w14:paraId="626DC154">
            <w:pPr>
              <w:keepNext w:val="0"/>
              <w:keepLines w:val="0"/>
              <w:pageBreakBefore w:val="0"/>
              <w:widowControl w:val="0"/>
              <w:kinsoku w:val="0"/>
              <w:wordWrap/>
              <w:overflowPunct/>
              <w:topLinePunct w:val="0"/>
              <w:autoSpaceDE w:val="0"/>
              <w:autoSpaceDN w:val="0"/>
              <w:bidi w:val="0"/>
              <w:adjustRightInd w:val="0"/>
              <w:snapToGrid w:val="0"/>
              <w:rPr>
                <w:rFonts w:hint="default" w:eastAsia="宋体"/>
                <w:vertAlign w:val="baseline"/>
                <w:lang w:val="en-US" w:eastAsia="zh-CN"/>
              </w:rPr>
            </w:pPr>
            <w:r>
              <w:rPr>
                <w:rFonts w:hint="eastAsia"/>
                <w:vertAlign w:val="baseline"/>
                <w:lang w:val="en-US" w:eastAsia="zh-CN"/>
              </w:rPr>
              <w:t>12月</w:t>
            </w:r>
          </w:p>
        </w:tc>
        <w:tc>
          <w:tcPr>
            <w:tcW w:w="1624" w:type="dxa"/>
            <w:vMerge w:val="continue"/>
          </w:tcPr>
          <w:p w14:paraId="237743B8">
            <w:pPr>
              <w:keepNext w:val="0"/>
              <w:keepLines w:val="0"/>
              <w:pageBreakBefore w:val="0"/>
              <w:widowControl w:val="0"/>
              <w:kinsoku w:val="0"/>
              <w:wordWrap/>
              <w:overflowPunct/>
              <w:topLinePunct w:val="0"/>
              <w:autoSpaceDE w:val="0"/>
              <w:autoSpaceDN w:val="0"/>
              <w:bidi w:val="0"/>
              <w:adjustRightInd w:val="0"/>
              <w:snapToGrid w:val="0"/>
              <w:rPr>
                <w:vertAlign w:val="baseline"/>
              </w:rPr>
            </w:pPr>
          </w:p>
        </w:tc>
        <w:tc>
          <w:tcPr>
            <w:tcW w:w="2680" w:type="dxa"/>
          </w:tcPr>
          <w:p w14:paraId="6F56BA38">
            <w:pPr>
              <w:keepNext w:val="0"/>
              <w:keepLines w:val="0"/>
              <w:pageBreakBefore w:val="0"/>
              <w:widowControl w:val="0"/>
              <w:kinsoku w:val="0"/>
              <w:wordWrap/>
              <w:overflowPunct/>
              <w:topLinePunct w:val="0"/>
              <w:autoSpaceDE w:val="0"/>
              <w:autoSpaceDN w:val="0"/>
              <w:bidi w:val="0"/>
              <w:adjustRightInd w:val="0"/>
              <w:snapToGrid w:val="0"/>
              <w:rPr>
                <w:rFonts w:hint="eastAsia" w:eastAsia="宋体"/>
                <w:vertAlign w:val="baseline"/>
                <w:lang w:eastAsia="zh-CN"/>
              </w:rPr>
            </w:pPr>
            <w:r>
              <w:rPr>
                <w:rFonts w:hint="eastAsia" w:eastAsia="宋体"/>
                <w:vertAlign w:val="baseline"/>
                <w:lang w:eastAsia="zh-CN"/>
              </w:rPr>
              <w:t>《应急演练总结报告》</w:t>
            </w:r>
          </w:p>
          <w:p w14:paraId="154A9864">
            <w:pPr>
              <w:keepNext w:val="0"/>
              <w:keepLines w:val="0"/>
              <w:pageBreakBefore w:val="0"/>
              <w:widowControl w:val="0"/>
              <w:kinsoku w:val="0"/>
              <w:wordWrap/>
              <w:overflowPunct/>
              <w:topLinePunct w:val="0"/>
              <w:autoSpaceDE w:val="0"/>
              <w:autoSpaceDN w:val="0"/>
              <w:bidi w:val="0"/>
              <w:adjustRightInd w:val="0"/>
              <w:snapToGrid w:val="0"/>
              <w:rPr>
                <w:rFonts w:hint="eastAsia" w:eastAsia="宋体"/>
                <w:vertAlign w:val="baseline"/>
                <w:lang w:eastAsia="zh-CN"/>
              </w:rPr>
            </w:pPr>
            <w:r>
              <w:rPr>
                <w:rFonts w:hint="eastAsia" w:eastAsia="宋体"/>
                <w:vertAlign w:val="baseline"/>
                <w:lang w:eastAsia="zh-CN"/>
              </w:rPr>
              <w:t>《应急演练记录》</w:t>
            </w:r>
          </w:p>
          <w:p w14:paraId="29B1CC63">
            <w:pPr>
              <w:keepNext w:val="0"/>
              <w:keepLines w:val="0"/>
              <w:pageBreakBefore w:val="0"/>
              <w:widowControl w:val="0"/>
              <w:kinsoku w:val="0"/>
              <w:wordWrap/>
              <w:overflowPunct/>
              <w:topLinePunct w:val="0"/>
              <w:autoSpaceDE w:val="0"/>
              <w:autoSpaceDN w:val="0"/>
              <w:bidi w:val="0"/>
              <w:adjustRightInd w:val="0"/>
              <w:snapToGrid w:val="0"/>
              <w:rPr>
                <w:rFonts w:hint="eastAsia" w:eastAsia="宋体"/>
                <w:vertAlign w:val="baseline"/>
                <w:lang w:eastAsia="zh-CN"/>
              </w:rPr>
            </w:pPr>
            <w:r>
              <w:rPr>
                <w:rFonts w:hint="eastAsia" w:eastAsia="宋体"/>
                <w:vertAlign w:val="baseline"/>
                <w:lang w:eastAsia="zh-CN"/>
              </w:rPr>
              <w:t>《应急响应演练计划》</w:t>
            </w:r>
          </w:p>
        </w:tc>
      </w:tr>
    </w:tbl>
    <w:p w14:paraId="375BA37F">
      <w:pPr>
        <w:keepNext w:val="0"/>
        <w:keepLines w:val="0"/>
        <w:pageBreakBefore w:val="0"/>
        <w:widowControl w:val="0"/>
        <w:kinsoku w:val="0"/>
        <w:wordWrap/>
        <w:overflowPunct/>
        <w:topLinePunct w:val="0"/>
        <w:autoSpaceDE w:val="0"/>
        <w:autoSpaceDN w:val="0"/>
        <w:bidi w:val="0"/>
        <w:adjustRightInd w:val="0"/>
        <w:snapToGrid w:val="0"/>
      </w:pPr>
    </w:p>
    <w:p w14:paraId="1B54CDBC">
      <w:pPr>
        <w:pStyle w:val="27"/>
        <w:keepNext w:val="0"/>
        <w:keepLines w:val="0"/>
        <w:pageBreakBefore w:val="0"/>
        <w:widowControl w:val="0"/>
        <w:kinsoku w:val="0"/>
        <w:wordWrap/>
        <w:overflowPunct/>
        <w:topLinePunct w:val="0"/>
        <w:autoSpaceDE w:val="0"/>
        <w:autoSpaceDN w:val="0"/>
        <w:bidi w:val="0"/>
        <w:adjustRightInd w:val="0"/>
        <w:snapToGrid w:val="0"/>
      </w:pPr>
      <w:bookmarkStart w:id="142" w:name="_Toc14993"/>
      <w:r>
        <w:t>质量管理</w:t>
      </w:r>
      <w:bookmarkEnd w:id="140"/>
      <w:bookmarkEnd w:id="141"/>
      <w:bookmarkEnd w:id="142"/>
    </w:p>
    <w:p w14:paraId="33FCB3B0">
      <w:pPr>
        <w:pStyle w:val="29"/>
        <w:keepNext w:val="0"/>
        <w:keepLines w:val="0"/>
        <w:pageBreakBefore w:val="0"/>
        <w:widowControl w:val="0"/>
        <w:kinsoku w:val="0"/>
        <w:wordWrap/>
        <w:overflowPunct/>
        <w:topLinePunct w:val="0"/>
        <w:autoSpaceDE w:val="0"/>
        <w:autoSpaceDN w:val="0"/>
        <w:bidi w:val="0"/>
        <w:adjustRightInd w:val="0"/>
        <w:snapToGrid w:val="0"/>
      </w:pPr>
      <w:bookmarkStart w:id="143" w:name="bookmark74"/>
      <w:bookmarkEnd w:id="143"/>
      <w:bookmarkStart w:id="144" w:name="_Toc19431"/>
      <w:bookmarkStart w:id="145" w:name="_Toc25644"/>
      <w:bookmarkStart w:id="146" w:name="_Toc18818"/>
      <w:r>
        <w:t>现状分析</w:t>
      </w:r>
      <w:bookmarkEnd w:id="144"/>
      <w:bookmarkEnd w:id="145"/>
      <w:bookmarkEnd w:id="146"/>
    </w:p>
    <w:p w14:paraId="58B071CA">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在质量管理规范化方面，质量部虽然已有一些既</w:t>
      </w:r>
      <w:r>
        <w:rPr>
          <w:rFonts w:ascii="宋体" w:hAnsi="宋体" w:eastAsia="宋体" w:cs="宋体"/>
          <w:spacing w:val="-1"/>
          <w:sz w:val="24"/>
          <w:szCs w:val="24"/>
        </w:rPr>
        <w:t>有的规范要求，但仍需</w:t>
      </w:r>
      <w:r>
        <w:rPr>
          <w:rFonts w:ascii="宋体" w:hAnsi="宋体" w:eastAsia="宋体" w:cs="宋体"/>
          <w:sz w:val="24"/>
          <w:szCs w:val="24"/>
        </w:rPr>
        <w:t>继续完善或执行现有的质量管理体系。另外，随着</w:t>
      </w:r>
      <w:r>
        <w:rPr>
          <w:rFonts w:ascii="宋体" w:hAnsi="宋体" w:eastAsia="宋体" w:cs="宋体"/>
          <w:spacing w:val="-1"/>
          <w:sz w:val="24"/>
          <w:szCs w:val="24"/>
        </w:rPr>
        <w:t>公司运维业务的不断发展，</w:t>
      </w:r>
      <w:r>
        <w:rPr>
          <w:rFonts w:ascii="宋体" w:hAnsi="宋体" w:eastAsia="宋体" w:cs="宋体"/>
          <w:spacing w:val="-3"/>
          <w:sz w:val="24"/>
          <w:szCs w:val="24"/>
        </w:rPr>
        <w:t>质量管理工作需进行全面的开展。</w:t>
      </w:r>
    </w:p>
    <w:p w14:paraId="6008BF41">
      <w:pPr>
        <w:pStyle w:val="29"/>
        <w:keepNext w:val="0"/>
        <w:keepLines w:val="0"/>
        <w:pageBreakBefore w:val="0"/>
        <w:widowControl w:val="0"/>
        <w:kinsoku w:val="0"/>
        <w:wordWrap/>
        <w:overflowPunct/>
        <w:topLinePunct w:val="0"/>
        <w:autoSpaceDE w:val="0"/>
        <w:autoSpaceDN w:val="0"/>
        <w:bidi w:val="0"/>
        <w:adjustRightInd w:val="0"/>
        <w:snapToGrid w:val="0"/>
      </w:pPr>
      <w:bookmarkStart w:id="147" w:name="bookmark60"/>
      <w:bookmarkEnd w:id="147"/>
      <w:bookmarkStart w:id="148" w:name="_Toc29953"/>
      <w:bookmarkStart w:id="149" w:name="_Toc28857"/>
      <w:bookmarkStart w:id="150" w:name="_Toc12720"/>
      <w:r>
        <w:t>改进目标</w:t>
      </w:r>
      <w:bookmarkEnd w:id="148"/>
      <w:bookmarkEnd w:id="149"/>
      <w:bookmarkEnd w:id="150"/>
    </w:p>
    <w:p w14:paraId="5EB832F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检查各部门是否按照已建立的运维服务管理体系进行相关管理活动，保证ITSS 体系的符合性；</w:t>
      </w:r>
    </w:p>
    <w:p w14:paraId="0CD42EC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检查和审计各类汇报和报告，以提高其报告质量和及时性；</w:t>
      </w:r>
    </w:p>
    <w:p w14:paraId="5216A6A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检查运维服务管理体系在经过每次评审和指导后对于暴露出问题的解决和修改，确保问题都能及时和稳妥地被解决。</w:t>
      </w:r>
    </w:p>
    <w:p w14:paraId="16090B32">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组织员工培训运维服务管理体系文件，增强质量意识，适时扩充质量保证队伍。</w:t>
      </w:r>
    </w:p>
    <w:p w14:paraId="353FE7C5">
      <w:pPr>
        <w:pStyle w:val="29"/>
        <w:keepNext w:val="0"/>
        <w:keepLines w:val="0"/>
        <w:pageBreakBefore w:val="0"/>
        <w:widowControl w:val="0"/>
        <w:kinsoku w:val="0"/>
        <w:wordWrap/>
        <w:overflowPunct/>
        <w:topLinePunct w:val="0"/>
        <w:autoSpaceDE w:val="0"/>
        <w:autoSpaceDN w:val="0"/>
        <w:bidi w:val="0"/>
        <w:adjustRightInd w:val="0"/>
        <w:snapToGrid w:val="0"/>
      </w:pPr>
      <w:bookmarkStart w:id="151" w:name="bookmark61"/>
      <w:bookmarkEnd w:id="151"/>
      <w:bookmarkStart w:id="152" w:name="_Toc9887"/>
      <w:bookmarkStart w:id="153" w:name="_Toc23362"/>
      <w:bookmarkStart w:id="154" w:name="_Toc3406"/>
      <w:r>
        <w:t>实施计划</w:t>
      </w:r>
      <w:bookmarkEnd w:id="152"/>
      <w:bookmarkEnd w:id="153"/>
      <w:bookmarkEnd w:id="154"/>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
        <w:gridCol w:w="1427"/>
        <w:gridCol w:w="5052"/>
        <w:gridCol w:w="936"/>
        <w:gridCol w:w="678"/>
        <w:gridCol w:w="709"/>
        <w:gridCol w:w="1412"/>
      </w:tblGrid>
      <w:tr w14:paraId="266D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76" w:type="dxa"/>
            <w:vAlign w:val="center"/>
          </w:tcPr>
          <w:p w14:paraId="37741D11">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zh-CN"/>
              </w:rPr>
            </w:pPr>
            <w:r>
              <w:rPr>
                <w:rFonts w:hint="eastAsia" w:ascii="宋体" w:hAnsi="宋体" w:eastAsia="宋体" w:cs="宋体"/>
                <w:sz w:val="19"/>
                <w:szCs w:val="19"/>
                <w:lang w:val="en-US" w:eastAsia="zh-CN"/>
              </w:rPr>
              <w:t>编号</w:t>
            </w:r>
          </w:p>
        </w:tc>
        <w:tc>
          <w:tcPr>
            <w:tcW w:w="1335" w:type="dxa"/>
            <w:shd w:val="clear" w:color="auto" w:fill="auto"/>
            <w:vAlign w:val="center"/>
          </w:tcPr>
          <w:p w14:paraId="115A0A85">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zh-CN"/>
              </w:rPr>
            </w:pPr>
            <w:r>
              <w:rPr>
                <w:rFonts w:hint="eastAsia" w:ascii="宋体" w:hAnsi="宋体" w:eastAsia="宋体" w:cs="宋体"/>
                <w:sz w:val="19"/>
                <w:szCs w:val="19"/>
                <w:lang w:val="en-US" w:eastAsia="zh-CN"/>
              </w:rPr>
              <w:t>工作项目</w:t>
            </w:r>
          </w:p>
        </w:tc>
        <w:tc>
          <w:tcPr>
            <w:tcW w:w="3323" w:type="dxa"/>
            <w:shd w:val="clear" w:color="auto" w:fill="auto"/>
            <w:vAlign w:val="center"/>
          </w:tcPr>
          <w:p w14:paraId="0655378D">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zh-CN"/>
              </w:rPr>
            </w:pPr>
            <w:r>
              <w:rPr>
                <w:rFonts w:hint="eastAsia" w:ascii="宋体" w:hAnsi="宋体" w:eastAsia="宋体" w:cs="宋体"/>
                <w:sz w:val="19"/>
                <w:szCs w:val="19"/>
                <w:lang w:val="en-US" w:eastAsia="zh-CN"/>
              </w:rPr>
              <w:t>措施及要求</w:t>
            </w:r>
          </w:p>
        </w:tc>
        <w:tc>
          <w:tcPr>
            <w:tcW w:w="1211" w:type="dxa"/>
            <w:shd w:val="clear" w:color="auto" w:fill="auto"/>
            <w:vAlign w:val="center"/>
          </w:tcPr>
          <w:p w14:paraId="4277E8D5">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zh-CN"/>
              </w:rPr>
            </w:pPr>
            <w:r>
              <w:rPr>
                <w:rFonts w:hint="eastAsia" w:ascii="宋体" w:hAnsi="宋体" w:eastAsia="宋体" w:cs="宋体"/>
                <w:sz w:val="19"/>
                <w:szCs w:val="19"/>
                <w:lang w:val="en-US" w:eastAsia="zh-CN"/>
              </w:rPr>
              <w:t>责任部门</w:t>
            </w:r>
          </w:p>
        </w:tc>
        <w:tc>
          <w:tcPr>
            <w:tcW w:w="936" w:type="dxa"/>
            <w:shd w:val="clear" w:color="auto" w:fill="auto"/>
            <w:vAlign w:val="center"/>
          </w:tcPr>
          <w:p w14:paraId="303086E1">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zh-CN"/>
              </w:rPr>
            </w:pPr>
            <w:r>
              <w:rPr>
                <w:rFonts w:hint="eastAsia" w:ascii="宋体" w:hAnsi="宋体" w:eastAsia="宋体" w:cs="宋体"/>
                <w:sz w:val="19"/>
                <w:szCs w:val="19"/>
                <w:lang w:val="en-US" w:eastAsia="zh-CN"/>
              </w:rPr>
              <w:t>配合部门</w:t>
            </w:r>
          </w:p>
        </w:tc>
        <w:tc>
          <w:tcPr>
            <w:tcW w:w="1251" w:type="dxa"/>
            <w:shd w:val="clear" w:color="auto" w:fill="auto"/>
            <w:vAlign w:val="center"/>
          </w:tcPr>
          <w:p w14:paraId="0B5EEE6B">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zh-CN"/>
              </w:rPr>
              <w:t>负责人</w:t>
            </w:r>
          </w:p>
        </w:tc>
        <w:tc>
          <w:tcPr>
            <w:tcW w:w="1339" w:type="dxa"/>
            <w:shd w:val="clear" w:color="auto" w:fill="auto"/>
            <w:vAlign w:val="center"/>
          </w:tcPr>
          <w:p w14:paraId="5DD4D612">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zh-CN"/>
              </w:rPr>
              <w:t>计划实施日期</w:t>
            </w:r>
          </w:p>
        </w:tc>
      </w:tr>
      <w:tr w14:paraId="671C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 w:type="dxa"/>
            <w:shd w:val="clear" w:color="auto" w:fill="auto"/>
          </w:tcPr>
          <w:p w14:paraId="00949BD5">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1</w:t>
            </w:r>
          </w:p>
        </w:tc>
        <w:tc>
          <w:tcPr>
            <w:tcW w:w="1335" w:type="dxa"/>
            <w:shd w:val="clear" w:color="auto" w:fill="auto"/>
          </w:tcPr>
          <w:p w14:paraId="5FB0CD35">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运维服务质量目标策划分解</w:t>
            </w:r>
          </w:p>
        </w:tc>
        <w:tc>
          <w:tcPr>
            <w:tcW w:w="3323" w:type="dxa"/>
            <w:shd w:val="clear" w:color="auto" w:fill="auto"/>
          </w:tcPr>
          <w:p w14:paraId="69B0566F">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1. 组织制定部门运维服务质量目标；</w:t>
            </w:r>
          </w:p>
          <w:p w14:paraId="27BD70A5">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 对部门运维服务质量目标进行分解，制定质量目标展开对策表。</w:t>
            </w:r>
          </w:p>
        </w:tc>
        <w:tc>
          <w:tcPr>
            <w:tcW w:w="1211" w:type="dxa"/>
            <w:shd w:val="clear" w:color="auto" w:fill="auto"/>
          </w:tcPr>
          <w:p w14:paraId="0CAB0652">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w:t>
            </w:r>
          </w:p>
        </w:tc>
        <w:tc>
          <w:tcPr>
            <w:tcW w:w="936" w:type="dxa"/>
            <w:shd w:val="clear" w:color="auto" w:fill="auto"/>
          </w:tcPr>
          <w:p w14:paraId="38D784F0">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质量部</w:t>
            </w:r>
          </w:p>
        </w:tc>
        <w:tc>
          <w:tcPr>
            <w:tcW w:w="1251" w:type="dxa"/>
            <w:shd w:val="clear" w:color="auto" w:fill="auto"/>
          </w:tcPr>
          <w:p w14:paraId="70D9D42A">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运维部经理</w:t>
            </w:r>
          </w:p>
        </w:tc>
        <w:tc>
          <w:tcPr>
            <w:tcW w:w="1339" w:type="dxa"/>
            <w:shd w:val="clear" w:color="auto" w:fill="auto"/>
          </w:tcPr>
          <w:p w14:paraId="5F5E24ED">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2025年 1 月</w:t>
            </w:r>
          </w:p>
        </w:tc>
      </w:tr>
      <w:tr w14:paraId="1627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 w:type="dxa"/>
            <w:shd w:val="clear" w:color="auto" w:fill="auto"/>
          </w:tcPr>
          <w:p w14:paraId="24240D14">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2</w:t>
            </w:r>
          </w:p>
        </w:tc>
        <w:tc>
          <w:tcPr>
            <w:tcW w:w="1335" w:type="dxa"/>
            <w:shd w:val="clear" w:color="auto" w:fill="auto"/>
          </w:tcPr>
          <w:p w14:paraId="6A219952">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质量信息反馈</w:t>
            </w:r>
          </w:p>
        </w:tc>
        <w:tc>
          <w:tcPr>
            <w:tcW w:w="3323" w:type="dxa"/>
            <w:shd w:val="clear" w:color="auto" w:fill="auto"/>
          </w:tcPr>
          <w:p w14:paraId="7CA2F207">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1. 加强与用户的联系，主动征求意见；</w:t>
            </w:r>
          </w:p>
          <w:p w14:paraId="34079B44">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 按规定及时交流和采用反馈信息；</w:t>
            </w:r>
          </w:p>
          <w:p w14:paraId="7FEE0B50">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3. 通过公司、事件不同角度的用户满意度调查和统计分析，及时掌握用户要求和用户意见；</w:t>
            </w:r>
          </w:p>
          <w:p w14:paraId="512CD11F">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4. 跟踪问题处置；</w:t>
            </w:r>
          </w:p>
          <w:p w14:paraId="603BD9C7">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5. 处理用户投诉；</w:t>
            </w:r>
          </w:p>
        </w:tc>
        <w:tc>
          <w:tcPr>
            <w:tcW w:w="1211" w:type="dxa"/>
            <w:shd w:val="clear" w:color="auto" w:fill="auto"/>
          </w:tcPr>
          <w:p w14:paraId="14BF4492">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w:t>
            </w:r>
          </w:p>
        </w:tc>
        <w:tc>
          <w:tcPr>
            <w:tcW w:w="936" w:type="dxa"/>
            <w:shd w:val="clear" w:color="auto" w:fill="auto"/>
          </w:tcPr>
          <w:p w14:paraId="3F3A76D7">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质量部</w:t>
            </w:r>
          </w:p>
        </w:tc>
        <w:tc>
          <w:tcPr>
            <w:tcW w:w="1251" w:type="dxa"/>
            <w:shd w:val="clear" w:color="auto" w:fill="auto"/>
          </w:tcPr>
          <w:p w14:paraId="1202B8F9">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运维部经理</w:t>
            </w:r>
          </w:p>
        </w:tc>
        <w:tc>
          <w:tcPr>
            <w:tcW w:w="1339" w:type="dxa"/>
            <w:shd w:val="clear" w:color="auto" w:fill="auto"/>
          </w:tcPr>
          <w:p w14:paraId="6C4C9E6A">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全年</w:t>
            </w:r>
          </w:p>
        </w:tc>
      </w:tr>
      <w:tr w14:paraId="36513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 w:type="dxa"/>
            <w:shd w:val="clear" w:color="auto" w:fill="auto"/>
          </w:tcPr>
          <w:p w14:paraId="257CC44D">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3</w:t>
            </w:r>
          </w:p>
        </w:tc>
        <w:tc>
          <w:tcPr>
            <w:tcW w:w="1335" w:type="dxa"/>
            <w:shd w:val="clear" w:color="auto" w:fill="auto"/>
          </w:tcPr>
          <w:p w14:paraId="0AD02A7F">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运维服务制度的培训与学习</w:t>
            </w:r>
          </w:p>
        </w:tc>
        <w:tc>
          <w:tcPr>
            <w:tcW w:w="3323" w:type="dxa"/>
            <w:shd w:val="clear" w:color="auto" w:fill="auto"/>
          </w:tcPr>
          <w:p w14:paraId="3E1296FE">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1. 运维服务文件下发后，应及时组织学习。</w:t>
            </w:r>
          </w:p>
          <w:p w14:paraId="1A8FAF51">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 结合监督检查、内审、管理评审中发现的不符合项，学习有关管理文件；</w:t>
            </w:r>
          </w:p>
          <w:p w14:paraId="190A1C97">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3. 做好学习记录。</w:t>
            </w:r>
          </w:p>
        </w:tc>
        <w:tc>
          <w:tcPr>
            <w:tcW w:w="1211" w:type="dxa"/>
            <w:shd w:val="clear" w:color="auto" w:fill="auto"/>
          </w:tcPr>
          <w:p w14:paraId="48F914E9">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综合部、</w:t>
            </w:r>
          </w:p>
          <w:p w14:paraId="6924407B">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质量部</w:t>
            </w:r>
          </w:p>
        </w:tc>
        <w:tc>
          <w:tcPr>
            <w:tcW w:w="936" w:type="dxa"/>
            <w:shd w:val="clear" w:color="auto" w:fill="auto"/>
          </w:tcPr>
          <w:p w14:paraId="64C35CCA">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各相关部门</w:t>
            </w:r>
          </w:p>
        </w:tc>
        <w:tc>
          <w:tcPr>
            <w:tcW w:w="1251" w:type="dxa"/>
            <w:shd w:val="clear" w:color="auto" w:fill="auto"/>
          </w:tcPr>
          <w:p w14:paraId="142FD967">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综合部</w:t>
            </w:r>
          </w:p>
        </w:tc>
        <w:tc>
          <w:tcPr>
            <w:tcW w:w="1339" w:type="dxa"/>
            <w:shd w:val="clear" w:color="auto" w:fill="auto"/>
          </w:tcPr>
          <w:p w14:paraId="3FC12BE7">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2025年 3 月</w:t>
            </w:r>
          </w:p>
          <w:p w14:paraId="00CD01DB">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 xml:space="preserve">2025年 </w:t>
            </w:r>
            <w:r>
              <w:rPr>
                <w:rFonts w:hint="eastAsia" w:ascii="宋体" w:hAnsi="宋体" w:cs="宋体"/>
                <w:sz w:val="19"/>
                <w:szCs w:val="19"/>
                <w:lang w:val="en-US" w:eastAsia="zh-CN"/>
              </w:rPr>
              <w:t>7</w:t>
            </w:r>
            <w:r>
              <w:rPr>
                <w:rFonts w:hint="eastAsia" w:ascii="宋体" w:hAnsi="宋体" w:eastAsia="宋体" w:cs="宋体"/>
                <w:sz w:val="19"/>
                <w:szCs w:val="19"/>
                <w:lang w:val="en-US" w:eastAsia="en-US"/>
              </w:rPr>
              <w:t xml:space="preserve"> 月</w:t>
            </w:r>
          </w:p>
        </w:tc>
      </w:tr>
      <w:tr w14:paraId="28B89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4277DC92">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4</w:t>
            </w:r>
          </w:p>
        </w:tc>
        <w:tc>
          <w:tcPr>
            <w:tcW w:w="0" w:type="auto"/>
            <w:shd w:val="clear" w:color="auto" w:fill="auto"/>
          </w:tcPr>
          <w:p w14:paraId="0EE842EC">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运维服务能力管理体系过程控制</w:t>
            </w:r>
          </w:p>
        </w:tc>
        <w:tc>
          <w:tcPr>
            <w:tcW w:w="0" w:type="auto"/>
            <w:shd w:val="clear" w:color="auto" w:fill="auto"/>
          </w:tcPr>
          <w:p w14:paraId="4E7CF0AE">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1. 各部门强化工作范围内的执行规范，严格按照管理规定，做好服务工作的过程控制，保障过程文档记录的有效性和完整性，做到有章可循、有据可查；</w:t>
            </w:r>
          </w:p>
          <w:p w14:paraId="0DB30C9A">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 运维部认真做好定期的服务回顾与报告分析，继续强化周例会、服务巡检、检查审核，针对总结出的问题认真处置，保持一种较好的服务状态；</w:t>
            </w:r>
          </w:p>
        </w:tc>
        <w:tc>
          <w:tcPr>
            <w:tcW w:w="0" w:type="auto"/>
            <w:shd w:val="clear" w:color="auto" w:fill="auto"/>
          </w:tcPr>
          <w:p w14:paraId="2AC8B810">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w:t>
            </w:r>
          </w:p>
        </w:tc>
        <w:tc>
          <w:tcPr>
            <w:tcW w:w="0" w:type="auto"/>
            <w:shd w:val="clear" w:color="auto" w:fill="auto"/>
          </w:tcPr>
          <w:p w14:paraId="3D188D4D">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质量部</w:t>
            </w:r>
          </w:p>
        </w:tc>
        <w:tc>
          <w:tcPr>
            <w:tcW w:w="0" w:type="auto"/>
            <w:shd w:val="clear" w:color="auto" w:fill="auto"/>
          </w:tcPr>
          <w:p w14:paraId="7E5C6E9E">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运维部经理</w:t>
            </w:r>
          </w:p>
        </w:tc>
        <w:tc>
          <w:tcPr>
            <w:tcW w:w="0" w:type="auto"/>
            <w:shd w:val="clear" w:color="auto" w:fill="auto"/>
          </w:tcPr>
          <w:p w14:paraId="6766C693">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全年</w:t>
            </w:r>
          </w:p>
        </w:tc>
      </w:tr>
      <w:tr w14:paraId="017DD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45083352">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5</w:t>
            </w:r>
          </w:p>
        </w:tc>
        <w:tc>
          <w:tcPr>
            <w:tcW w:w="0" w:type="auto"/>
            <w:shd w:val="clear" w:color="auto" w:fill="auto"/>
          </w:tcPr>
          <w:p w14:paraId="5E40147B">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客户满意度调查</w:t>
            </w:r>
          </w:p>
        </w:tc>
        <w:tc>
          <w:tcPr>
            <w:tcW w:w="0" w:type="auto"/>
            <w:shd w:val="clear" w:color="auto" w:fill="auto"/>
          </w:tcPr>
          <w:p w14:paraId="15C5BFB5">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质量部每年对运维服务客户进行公司级客户满意度调查。</w:t>
            </w:r>
          </w:p>
        </w:tc>
        <w:tc>
          <w:tcPr>
            <w:tcW w:w="0" w:type="auto"/>
            <w:shd w:val="clear" w:color="auto" w:fill="auto"/>
          </w:tcPr>
          <w:p w14:paraId="76E4F33B">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运维部、质量部</w:t>
            </w:r>
          </w:p>
        </w:tc>
        <w:tc>
          <w:tcPr>
            <w:tcW w:w="0" w:type="auto"/>
            <w:shd w:val="clear" w:color="auto" w:fill="auto"/>
          </w:tcPr>
          <w:p w14:paraId="225CC1A4">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各有关部门</w:t>
            </w:r>
          </w:p>
        </w:tc>
        <w:tc>
          <w:tcPr>
            <w:tcW w:w="0" w:type="auto"/>
            <w:shd w:val="clear" w:color="auto" w:fill="auto"/>
          </w:tcPr>
          <w:p w14:paraId="77B9D07F">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质量部</w:t>
            </w:r>
          </w:p>
        </w:tc>
        <w:tc>
          <w:tcPr>
            <w:tcW w:w="0" w:type="auto"/>
            <w:shd w:val="clear" w:color="auto" w:fill="auto"/>
          </w:tcPr>
          <w:p w14:paraId="0BDB85BE">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2025年</w:t>
            </w:r>
            <w:r>
              <w:rPr>
                <w:rFonts w:hint="eastAsia" w:ascii="宋体" w:hAnsi="宋体" w:cs="宋体"/>
                <w:sz w:val="19"/>
                <w:szCs w:val="19"/>
                <w:lang w:val="en-US" w:eastAsia="zh-CN"/>
              </w:rPr>
              <w:t>12</w:t>
            </w:r>
            <w:r>
              <w:rPr>
                <w:rFonts w:hint="eastAsia" w:ascii="宋体" w:hAnsi="宋体" w:eastAsia="宋体" w:cs="宋体"/>
                <w:sz w:val="19"/>
                <w:szCs w:val="19"/>
              </w:rPr>
              <w:t>月</w:t>
            </w:r>
          </w:p>
        </w:tc>
      </w:tr>
      <w:tr w14:paraId="1BD88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66C657FC">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6</w:t>
            </w:r>
          </w:p>
        </w:tc>
        <w:tc>
          <w:tcPr>
            <w:tcW w:w="0" w:type="auto"/>
            <w:shd w:val="clear" w:color="auto" w:fill="auto"/>
          </w:tcPr>
          <w:p w14:paraId="53E9370B">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内审</w:t>
            </w:r>
          </w:p>
        </w:tc>
        <w:tc>
          <w:tcPr>
            <w:tcW w:w="0" w:type="auto"/>
            <w:shd w:val="clear" w:color="auto" w:fill="auto"/>
          </w:tcPr>
          <w:p w14:paraId="784B473A">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 xml:space="preserve"> 按规定要求制订审核计划，选好内审员，做好内审前培训；做好各项准备工作，开预备会议；</w:t>
            </w:r>
          </w:p>
          <w:p w14:paraId="773DB835">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现场审核，做好审核记录；</w:t>
            </w:r>
          </w:p>
          <w:p w14:paraId="2E7DAE60">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编写审核报告并及时下发；</w:t>
            </w:r>
          </w:p>
          <w:p w14:paraId="61952EDA">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对不符合项按规定认真进行整改和验证。</w:t>
            </w:r>
          </w:p>
        </w:tc>
        <w:tc>
          <w:tcPr>
            <w:tcW w:w="0" w:type="auto"/>
            <w:shd w:val="clear" w:color="auto" w:fill="auto"/>
          </w:tcPr>
          <w:p w14:paraId="048C8E03">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质量部</w:t>
            </w:r>
          </w:p>
        </w:tc>
        <w:tc>
          <w:tcPr>
            <w:tcW w:w="0" w:type="auto"/>
            <w:shd w:val="clear" w:color="auto" w:fill="auto"/>
          </w:tcPr>
          <w:p w14:paraId="071C65D2">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各有关部门</w:t>
            </w:r>
          </w:p>
        </w:tc>
        <w:tc>
          <w:tcPr>
            <w:tcW w:w="0" w:type="auto"/>
            <w:shd w:val="clear" w:color="auto" w:fill="auto"/>
          </w:tcPr>
          <w:p w14:paraId="5CFAEDFE">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管理者代表</w:t>
            </w:r>
          </w:p>
        </w:tc>
        <w:tc>
          <w:tcPr>
            <w:tcW w:w="0" w:type="auto"/>
            <w:shd w:val="clear" w:color="auto" w:fill="auto"/>
          </w:tcPr>
          <w:p w14:paraId="17E8FD68">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2025年</w:t>
            </w:r>
            <w:r>
              <w:rPr>
                <w:rFonts w:hint="eastAsia" w:ascii="宋体" w:hAnsi="宋体" w:cs="宋体"/>
                <w:sz w:val="19"/>
                <w:szCs w:val="19"/>
                <w:lang w:val="en-US" w:eastAsia="zh-CN"/>
              </w:rPr>
              <w:t>12</w:t>
            </w:r>
            <w:r>
              <w:rPr>
                <w:rFonts w:hint="eastAsia" w:ascii="宋体" w:hAnsi="宋体" w:eastAsia="宋体" w:cs="宋体"/>
                <w:sz w:val="19"/>
                <w:szCs w:val="19"/>
              </w:rPr>
              <w:t>月（外审前进行一次）</w:t>
            </w:r>
          </w:p>
        </w:tc>
      </w:tr>
      <w:tr w14:paraId="4A8F5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39B116EA">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7</w:t>
            </w:r>
          </w:p>
        </w:tc>
        <w:tc>
          <w:tcPr>
            <w:tcW w:w="0" w:type="auto"/>
            <w:shd w:val="clear" w:color="auto" w:fill="auto"/>
          </w:tcPr>
          <w:p w14:paraId="7B541791">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管理评审</w:t>
            </w:r>
          </w:p>
        </w:tc>
        <w:tc>
          <w:tcPr>
            <w:tcW w:w="0" w:type="auto"/>
            <w:shd w:val="clear" w:color="auto" w:fill="auto"/>
          </w:tcPr>
          <w:p w14:paraId="30F14409">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1. 根据总经理意见，质量部编制运维服务管理评审计划，组织编制管理评审专题报告</w:t>
            </w:r>
          </w:p>
          <w:p w14:paraId="2B768AAE">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2. 副总经理组织汇报及评审材料，提交会议评审；</w:t>
            </w:r>
          </w:p>
          <w:p w14:paraId="26C77922">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3. 总经理主持，有关部门和人 员参加，实施运维服务管理评审，并做好记录；编制评审报告并发放；</w:t>
            </w:r>
          </w:p>
          <w:p w14:paraId="395A3486">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4. 实施运维服务管理评审报告有关工作。</w:t>
            </w:r>
          </w:p>
        </w:tc>
        <w:tc>
          <w:tcPr>
            <w:tcW w:w="0" w:type="auto"/>
            <w:shd w:val="clear" w:color="auto" w:fill="auto"/>
          </w:tcPr>
          <w:p w14:paraId="44A5F17B">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质量部</w:t>
            </w:r>
          </w:p>
        </w:tc>
        <w:tc>
          <w:tcPr>
            <w:tcW w:w="0" w:type="auto"/>
            <w:shd w:val="clear" w:color="auto" w:fill="auto"/>
          </w:tcPr>
          <w:p w14:paraId="0CB8DF42">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各有关部门</w:t>
            </w:r>
          </w:p>
        </w:tc>
        <w:tc>
          <w:tcPr>
            <w:tcW w:w="0" w:type="auto"/>
            <w:shd w:val="clear" w:color="auto" w:fill="auto"/>
          </w:tcPr>
          <w:p w14:paraId="4AAC9F29">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管理者代表</w:t>
            </w:r>
          </w:p>
        </w:tc>
        <w:tc>
          <w:tcPr>
            <w:tcW w:w="0" w:type="auto"/>
            <w:shd w:val="clear" w:color="auto" w:fill="auto"/>
          </w:tcPr>
          <w:p w14:paraId="17FD054E">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2025年</w:t>
            </w:r>
            <w:r>
              <w:rPr>
                <w:rFonts w:hint="eastAsia" w:ascii="宋体" w:hAnsi="宋体" w:cs="宋体"/>
                <w:sz w:val="19"/>
                <w:szCs w:val="19"/>
                <w:lang w:val="en-US" w:eastAsia="zh-CN"/>
              </w:rPr>
              <w:t>12</w:t>
            </w:r>
            <w:r>
              <w:rPr>
                <w:rFonts w:hint="eastAsia" w:ascii="宋体" w:hAnsi="宋体" w:eastAsia="宋体" w:cs="宋体"/>
                <w:sz w:val="19"/>
                <w:szCs w:val="19"/>
              </w:rPr>
              <w:t>月</w:t>
            </w:r>
          </w:p>
          <w:p w14:paraId="608FD3D8">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（外审前进行一次）</w:t>
            </w:r>
          </w:p>
        </w:tc>
      </w:tr>
      <w:tr w14:paraId="50B8B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777ED5A8">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8</w:t>
            </w:r>
          </w:p>
        </w:tc>
        <w:tc>
          <w:tcPr>
            <w:tcW w:w="0" w:type="auto"/>
            <w:shd w:val="clear" w:color="auto" w:fill="auto"/>
          </w:tcPr>
          <w:p w14:paraId="43EEB9CE">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运维服务质量目标实施效果分析评价</w:t>
            </w:r>
          </w:p>
        </w:tc>
        <w:tc>
          <w:tcPr>
            <w:tcW w:w="0" w:type="auto"/>
            <w:shd w:val="clear" w:color="auto" w:fill="auto"/>
          </w:tcPr>
          <w:p w14:paraId="2EEAF947">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1. 运维部经理结合部门年 初制定的运维服务质量目标对策表，针对质量目标进行逐条评价，形成运维服务质量目标实施效果分析评价报告。</w:t>
            </w:r>
          </w:p>
          <w:p w14:paraId="02F4C138">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2. 质量部根据质量目标分析 评价报告，形成公司级运维服务质量目标实施效果分析评价报告。</w:t>
            </w:r>
          </w:p>
        </w:tc>
        <w:tc>
          <w:tcPr>
            <w:tcW w:w="0" w:type="auto"/>
            <w:shd w:val="clear" w:color="auto" w:fill="auto"/>
          </w:tcPr>
          <w:p w14:paraId="1A898895">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运维部</w:t>
            </w:r>
          </w:p>
        </w:tc>
        <w:tc>
          <w:tcPr>
            <w:tcW w:w="0" w:type="auto"/>
            <w:shd w:val="clear" w:color="auto" w:fill="auto"/>
          </w:tcPr>
          <w:p w14:paraId="2F21AB50">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各有关部门</w:t>
            </w:r>
          </w:p>
        </w:tc>
        <w:tc>
          <w:tcPr>
            <w:tcW w:w="0" w:type="auto"/>
            <w:shd w:val="clear" w:color="auto" w:fill="auto"/>
          </w:tcPr>
          <w:p w14:paraId="396FDB46">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运维部经理</w:t>
            </w:r>
          </w:p>
        </w:tc>
        <w:tc>
          <w:tcPr>
            <w:tcW w:w="0" w:type="auto"/>
            <w:shd w:val="clear" w:color="auto" w:fill="auto"/>
          </w:tcPr>
          <w:p w14:paraId="59E9EC66">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2025年</w:t>
            </w:r>
            <w:r>
              <w:rPr>
                <w:rFonts w:hint="eastAsia" w:ascii="宋体" w:hAnsi="宋体" w:cs="宋体"/>
                <w:sz w:val="19"/>
                <w:szCs w:val="19"/>
                <w:lang w:val="en-US" w:eastAsia="zh-CN"/>
              </w:rPr>
              <w:t>12</w:t>
            </w:r>
            <w:r>
              <w:rPr>
                <w:rFonts w:hint="eastAsia" w:ascii="宋体" w:hAnsi="宋体" w:eastAsia="宋体" w:cs="宋体"/>
                <w:sz w:val="19"/>
                <w:szCs w:val="19"/>
              </w:rPr>
              <w:t>月</w:t>
            </w:r>
          </w:p>
        </w:tc>
      </w:tr>
      <w:tr w14:paraId="2F03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4B55624A">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9</w:t>
            </w:r>
          </w:p>
        </w:tc>
        <w:tc>
          <w:tcPr>
            <w:tcW w:w="0" w:type="auto"/>
            <w:shd w:val="clear" w:color="auto" w:fill="auto"/>
          </w:tcPr>
          <w:p w14:paraId="082AD5E0">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体系文件的持续修订</w:t>
            </w:r>
          </w:p>
        </w:tc>
        <w:tc>
          <w:tcPr>
            <w:tcW w:w="0" w:type="auto"/>
            <w:shd w:val="clear" w:color="auto" w:fill="auto"/>
          </w:tcPr>
          <w:p w14:paraId="6CE634F8">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1. 公司各部门日常管理工作流程如发现与体系文件不匹配的情况，根据自身情况对体系文件进行修订、评审、改进。</w:t>
            </w:r>
          </w:p>
          <w:p w14:paraId="672D0D09">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2. 在内审、管理评审中，发现公司体系文件与 ITSS 标准不符合的情况，应及时对体系文件提出修改建议，持续修订、改进。</w:t>
            </w:r>
          </w:p>
        </w:tc>
        <w:tc>
          <w:tcPr>
            <w:tcW w:w="0" w:type="auto"/>
            <w:shd w:val="clear" w:color="auto" w:fill="auto"/>
          </w:tcPr>
          <w:p w14:paraId="7B62EADE">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质量部</w:t>
            </w:r>
          </w:p>
        </w:tc>
        <w:tc>
          <w:tcPr>
            <w:tcW w:w="0" w:type="auto"/>
            <w:shd w:val="clear" w:color="auto" w:fill="auto"/>
          </w:tcPr>
          <w:p w14:paraId="37B7EB27">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各有关部门</w:t>
            </w:r>
          </w:p>
        </w:tc>
        <w:tc>
          <w:tcPr>
            <w:tcW w:w="0" w:type="auto"/>
            <w:shd w:val="clear" w:color="auto" w:fill="auto"/>
          </w:tcPr>
          <w:p w14:paraId="2F23892C">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管理者代表</w:t>
            </w:r>
          </w:p>
        </w:tc>
        <w:tc>
          <w:tcPr>
            <w:tcW w:w="0" w:type="auto"/>
            <w:shd w:val="clear" w:color="auto" w:fill="auto"/>
          </w:tcPr>
          <w:p w14:paraId="1ADDA1CB">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全年</w:t>
            </w:r>
          </w:p>
        </w:tc>
      </w:tr>
    </w:tbl>
    <w:p w14:paraId="1FB1FBD9">
      <w:pPr>
        <w:pStyle w:val="12"/>
        <w:keepNext w:val="0"/>
        <w:keepLines w:val="0"/>
        <w:pageBreakBefore w:val="0"/>
        <w:widowControl w:val="0"/>
        <w:kinsoku w:val="0"/>
        <w:wordWrap/>
        <w:overflowPunct/>
        <w:topLinePunct w:val="0"/>
        <w:autoSpaceDE w:val="0"/>
        <w:autoSpaceDN w:val="0"/>
        <w:bidi w:val="0"/>
        <w:adjustRightInd w:val="0"/>
        <w:snapToGrid w:val="0"/>
      </w:pPr>
    </w:p>
    <w:sectPr>
      <w:footerReference r:id="rId7" w:type="default"/>
      <w:pgSz w:w="11906" w:h="16839"/>
      <w:pgMar w:top="1264" w:right="702" w:bottom="1637" w:left="703" w:header="0" w:footer="138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94225">
    <w:pPr>
      <w:pStyle w:val="12"/>
      <w:spacing w:line="52" w:lineRule="auto"/>
      <w:rPr>
        <w:sz w:val="2"/>
      </w:rPr>
    </w:pPr>
    <w:r>
      <w:pict>
        <v:shape id="_x0000_s4097" o:spid="_x0000_s4097" style="position:absolute;left:0pt;margin-left:88.4pt;margin-top:780.7pt;height:0.25pt;width:418.5pt;mso-position-horizontal-relative:page;mso-position-vertical-relative:page;z-index:251659264;mso-width-relative:page;mso-height-relative:page;" filled="f" stroked="t" coordsize="8370,5" o:allowincell="f" path="m0,2l8369,2e">
          <v:fill on="f" focussize="0,0"/>
          <v:stroke joinstyle="miter"/>
          <v:imagedata o:title=""/>
          <o:lock v:ext="edit"/>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C3C6F">
    <w:pPr>
      <w:pStyle w:val="12"/>
      <w:spacing w:before="6" w:line="236" w:lineRule="exact"/>
      <w:ind w:left="4142"/>
      <w:rPr>
        <w:sz w:val="18"/>
        <w:szCs w:val="18"/>
      </w:rPr>
    </w:pPr>
    <w:r>
      <w:pict>
        <v:shape id="_x0000_s4098" o:spid="_x0000_s4098" style="position:absolute;left:0pt;margin-left:88.4pt;margin-top:760pt;height:0.25pt;width:418.5pt;mso-position-horizontal-relative:page;mso-position-vertical-relative:page;z-index:251660288;mso-width-relative:page;mso-height-relative:page;" filled="f" stroked="t" coordsize="8370,5" o:allowincell="f" path="m0,2l8370,2e">
          <v:fill on="f" focussize="0,0"/>
          <v:stroke joinstyle="miter"/>
          <v:imagedata o:title=""/>
          <o:lock v:ext="edit"/>
        </v:shape>
      </w:pict>
    </w:r>
    <w:r>
      <w:rPr>
        <w:position w:val="1"/>
        <w:sz w:val="18"/>
        <w:szCs w:val="18"/>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8DB11">
    <w:pPr>
      <w:pStyle w:val="12"/>
      <w:pBdr>
        <w:top w:val="none" w:color="auto" w:sz="0" w:space="0"/>
        <w:left w:val="none" w:color="auto" w:sz="0" w:space="0"/>
        <w:bottom w:val="none" w:color="auto" w:sz="0" w:space="0"/>
        <w:right w:val="none" w:color="auto" w:sz="0" w:space="0"/>
        <w:between w:val="none" w:color="auto" w:sz="0" w:space="0"/>
      </w:pBdr>
      <w:spacing w:before="6" w:line="236" w:lineRule="exact"/>
      <w:ind w:left="5155"/>
      <w:rPr>
        <w:sz w:val="18"/>
        <w:szCs w:val="18"/>
      </w:rPr>
    </w:pPr>
    <w:r>
      <w:pict>
        <v:shape id="_x0000_s4099" o:spid="_x0000_s4099" style="position:absolute;left:0pt;margin-left:88.4pt;margin-top:760pt;height:0.25pt;width:418.5pt;mso-position-horizontal-relative:page;mso-position-vertical-relative:page;z-index:251661312;mso-width-relative:page;mso-height-relative:page;" filled="f" stroked="t" coordsize="8370,5" o:allowincell="f" path="m0,2l8369,2e">
          <v:fill on="f" focussize="0,0"/>
          <v:stroke joinstyle="miter"/>
          <v:imagedata o:title=""/>
          <o:lock v:ext="edit"/>
        </v:shape>
      </w:pict>
    </w:r>
    <w:r>
      <w:rPr>
        <w:spacing w:val="-2"/>
        <w:position w:val="1"/>
        <w:sz w:val="18"/>
        <w:szCs w:val="18"/>
      </w:rPr>
      <w:t>28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5A0353B"/>
    <w:multiLevelType w:val="singleLevel"/>
    <w:tmpl w:val="D5A0353B"/>
    <w:lvl w:ilvl="0" w:tentative="0">
      <w:start w:val="1"/>
      <w:numFmt w:val="decimal"/>
      <w:suff w:val="nothing"/>
      <w:lvlText w:val="%1、"/>
      <w:lvlJc w:val="left"/>
    </w:lvl>
  </w:abstractNum>
  <w:abstractNum w:abstractNumId="2">
    <w:nsid w:val="451FDF0A"/>
    <w:multiLevelType w:val="singleLevel"/>
    <w:tmpl w:val="451FDF0A"/>
    <w:lvl w:ilvl="0" w:tentative="0">
      <w:start w:val="1"/>
      <w:numFmt w:val="decimal"/>
      <w:lvlText w:val="%1."/>
      <w:lvlJc w:val="left"/>
      <w:pPr>
        <w:ind w:left="425" w:hanging="425"/>
      </w:pPr>
      <w:rPr>
        <w:rFonts w:hint="default"/>
      </w:rPr>
    </w:lvl>
  </w:abstractNum>
  <w:abstractNum w:abstractNumId="3">
    <w:nsid w:val="65BFE11F"/>
    <w:multiLevelType w:val="singleLevel"/>
    <w:tmpl w:val="65BFE11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FE67BD"/>
    <w:rsid w:val="0616772D"/>
    <w:rsid w:val="089B03BE"/>
    <w:rsid w:val="0A0B50CF"/>
    <w:rsid w:val="0EB421D9"/>
    <w:rsid w:val="10FF0701"/>
    <w:rsid w:val="13A46201"/>
    <w:rsid w:val="14207529"/>
    <w:rsid w:val="145F6743"/>
    <w:rsid w:val="17B943BD"/>
    <w:rsid w:val="21F425E4"/>
    <w:rsid w:val="228C7AD0"/>
    <w:rsid w:val="3F3210CE"/>
    <w:rsid w:val="3FF5060B"/>
    <w:rsid w:val="43C460EE"/>
    <w:rsid w:val="449E32A8"/>
    <w:rsid w:val="45A108DC"/>
    <w:rsid w:val="4963096F"/>
    <w:rsid w:val="4B394BCA"/>
    <w:rsid w:val="523D05D3"/>
    <w:rsid w:val="5C1B35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character" w:customStyle="1" w:styleId="26">
    <w:name w:val="font11"/>
    <w:basedOn w:val="22"/>
    <w:qFormat/>
    <w:uiPriority w:val="0"/>
    <w:rPr>
      <w:rFonts w:hint="eastAsia" w:ascii="宋体" w:hAnsi="宋体" w:eastAsia="宋体" w:cs="宋体"/>
      <w:color w:val="000000"/>
      <w:sz w:val="16"/>
      <w:szCs w:val="16"/>
      <w:u w:val="none"/>
    </w:rPr>
  </w:style>
  <w:style w:type="paragraph" w:customStyle="1" w:styleId="27">
    <w:name w:val="柴_标题1"/>
    <w:basedOn w:val="2"/>
    <w:next w:val="28"/>
    <w:link w:val="39"/>
    <w:qFormat/>
    <w:uiPriority w:val="0"/>
    <w:pPr>
      <w:spacing w:before="100" w:after="90" w:line="360" w:lineRule="auto"/>
    </w:pPr>
    <w:rPr>
      <w:rFonts w:ascii="Arial" w:hAnsi="Arial" w:eastAsia="宋体"/>
      <w:sz w:val="32"/>
    </w:rPr>
  </w:style>
  <w:style w:type="paragraph" w:customStyle="1" w:styleId="28">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29">
    <w:name w:val="柴_标题2"/>
    <w:basedOn w:val="3"/>
    <w:next w:val="28"/>
    <w:qFormat/>
    <w:uiPriority w:val="0"/>
    <w:pPr>
      <w:spacing w:line="360" w:lineRule="auto"/>
    </w:pPr>
    <w:rPr>
      <w:rFonts w:ascii="Arial" w:hAnsi="Arial" w:eastAsia="宋体"/>
      <w:sz w:val="28"/>
    </w:rPr>
  </w:style>
  <w:style w:type="paragraph" w:customStyle="1" w:styleId="30">
    <w:name w:val="柴_标题3"/>
    <w:basedOn w:val="4"/>
    <w:next w:val="28"/>
    <w:qFormat/>
    <w:uiPriority w:val="0"/>
    <w:pPr>
      <w:spacing w:line="360" w:lineRule="auto"/>
      <w:ind w:left="0" w:firstLine="472" w:firstLineChars="200"/>
    </w:pPr>
    <w:rPr>
      <w:rFonts w:ascii="宋体" w:hAnsi="宋体" w:eastAsia="宋体" w:cs="宋体"/>
      <w:spacing w:val="-2"/>
      <w:sz w:val="24"/>
      <w:szCs w:val="24"/>
    </w:rPr>
  </w:style>
  <w:style w:type="paragraph" w:customStyle="1" w:styleId="31">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2">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3">
    <w:name w:val="柴_文档名"/>
    <w:basedOn w:val="19"/>
    <w:qFormat/>
    <w:uiPriority w:val="0"/>
    <w:pPr>
      <w:spacing w:after="900" w:afterLines="900"/>
    </w:pPr>
    <w:rPr>
      <w:rFonts w:ascii="黑体" w:hAnsi="黑体" w:eastAsia="黑体" w:cs="黑体"/>
      <w:bCs/>
      <w:spacing w:val="-7"/>
      <w:sz w:val="52"/>
      <w:szCs w:val="52"/>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7"/>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8"/>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Pages>
  <Words>9858</Words>
  <Characters>10438</Characters>
  <Lines>0</Lines>
  <Paragraphs>0</Paragraphs>
  <TotalTime>4</TotalTime>
  <ScaleCrop>false</ScaleCrop>
  <LinksUpToDate>false</LinksUpToDate>
  <CharactersWithSpaces>10804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2025-08-16T13:15:00Z</dcterms:created>
  <dc:creator>杜旭晖</dc:creator>
  <cp:lastModifiedBy>郝宇</cp:lastModifiedBy>
  <dcterms:modified xsi:type="dcterms:W3CDTF">2026-04-16T20:23:54Z</dcterms:modified>
  <dc:title>XXXX市电子政务安全防护系统技术方案建议书</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2025-08-16T13:16:03Z</vt:filetime>
  </property>
  <property fmtid="{D5CDD505-2E9C-101B-9397-08002B2CF9AE}" pid="3" name="CRO">
    <vt:lpwstr>wqlLaW5nc29mdCBQREYgdG8gV1BTIDExNQ</vt:lpwstr>
  </property>
  <property fmtid="{D5CDD505-2E9C-101B-9397-08002B2CF9AE}" pid="4" name="ICV">
    <vt:lpwstr>DCC3C7A184964F008B43613826B1F13E_12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