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E5437">
      <w:pPr>
        <w:pStyle w:val="32"/>
        <w:widowControl w:val="0"/>
        <w:spacing w:after="1440"/>
        <w:rPr>
          <w:rFonts w:hint="default"/>
        </w:rPr>
      </w:pPr>
    </w:p>
    <w:p w14:paraId="6E8E8FD7">
      <w:pPr>
        <w:pStyle w:val="32"/>
        <w:widowControl w:val="0"/>
        <w:spacing w:after="1440"/>
        <w:rPr>
          <w:rFonts w:hint="default"/>
        </w:rPr>
      </w:pPr>
      <w:bookmarkStart w:id="0" w:name="_Toc20863"/>
      <w:r>
        <w:t>内部审核管理制度</w:t>
      </w:r>
      <w:bookmarkEnd w:id="0"/>
    </w:p>
    <w:p w14:paraId="3732C425">
      <w:pPr>
        <w:pStyle w:val="33"/>
        <w:widowControl w:val="0"/>
        <w:spacing w:after="2160"/>
      </w:pPr>
      <w:bookmarkStart w:id="1" w:name="_Toc17004"/>
      <w:r>
        <w:t>江苏云储智能科技有限公司</w:t>
      </w:r>
      <w:bookmarkEnd w:id="1"/>
    </w:p>
    <w:p w14:paraId="62446B26">
      <w:pPr>
        <w:widowControl w:val="0"/>
        <w:spacing w:before="224" w:line="220" w:lineRule="auto"/>
        <w:ind w:left="2925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2025年1月4日</w:t>
      </w:r>
    </w:p>
    <w:p w14:paraId="126915A5">
      <w:pPr>
        <w:widowControl w:val="0"/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25C20CA">
      <w:pPr>
        <w:widowControl w:val="0"/>
        <w:spacing w:before="55" w:line="220" w:lineRule="auto"/>
        <w:ind w:left="3828"/>
        <w:outlineLvl w:val="0"/>
        <w:rPr>
          <w:rFonts w:ascii="宋体" w:hAnsi="宋体" w:cs="宋体"/>
          <w:sz w:val="28"/>
          <w:szCs w:val="28"/>
        </w:rPr>
      </w:pPr>
      <w:bookmarkStart w:id="2" w:name="_Toc9131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5"/>
        <w:tblW w:w="914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 w14:paraId="0B9B4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3" w:type="dxa"/>
          </w:tcPr>
          <w:p w14:paraId="5D938D94">
            <w:pPr>
              <w:widowControl w:val="0"/>
              <w:spacing w:before="199" w:line="220" w:lineRule="auto"/>
              <w:ind w:left="112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文档名称编号</w:t>
            </w:r>
          </w:p>
        </w:tc>
        <w:tc>
          <w:tcPr>
            <w:tcW w:w="7582" w:type="dxa"/>
            <w:gridSpan w:val="4"/>
          </w:tcPr>
          <w:p w14:paraId="2F80A52D">
            <w:pPr>
              <w:widowControl w:val="0"/>
              <w:spacing w:before="199" w:line="220" w:lineRule="auto"/>
              <w:ind w:left="133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内部审核管理制度（JSYC-ITSS-NBSHGL）</w:t>
            </w:r>
          </w:p>
        </w:tc>
      </w:tr>
      <w:tr w14:paraId="6E9DD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20BB1EFA">
            <w:pPr>
              <w:widowControl w:val="0"/>
              <w:spacing w:before="196" w:line="220" w:lineRule="auto"/>
              <w:ind w:left="112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编制单位</w:t>
            </w:r>
          </w:p>
        </w:tc>
        <w:tc>
          <w:tcPr>
            <w:tcW w:w="7582" w:type="dxa"/>
            <w:gridSpan w:val="4"/>
          </w:tcPr>
          <w:p w14:paraId="409A2547">
            <w:pPr>
              <w:widowControl w:val="0"/>
              <w:spacing w:before="197" w:line="219" w:lineRule="auto"/>
              <w:ind w:left="108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1"/>
              </w:rPr>
              <w:t>江苏云储智能科技有限公司</w:t>
            </w:r>
          </w:p>
        </w:tc>
      </w:tr>
      <w:tr w14:paraId="29CA8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492F4BBF">
            <w:pPr>
              <w:widowControl w:val="0"/>
              <w:spacing w:before="197" w:line="220" w:lineRule="auto"/>
              <w:ind w:left="112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文档密级</w:t>
            </w:r>
          </w:p>
        </w:tc>
        <w:tc>
          <w:tcPr>
            <w:tcW w:w="7582" w:type="dxa"/>
            <w:gridSpan w:val="4"/>
          </w:tcPr>
          <w:p w14:paraId="0FA60E9F">
            <w:pPr>
              <w:widowControl w:val="0"/>
              <w:spacing w:before="197" w:line="220" w:lineRule="auto"/>
              <w:ind w:left="10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秘密</w:t>
            </w:r>
          </w:p>
        </w:tc>
      </w:tr>
      <w:tr w14:paraId="16DC8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63" w:type="dxa"/>
          </w:tcPr>
          <w:p w14:paraId="2A1CE5E8">
            <w:pPr>
              <w:widowControl w:val="0"/>
              <w:spacing w:before="199" w:line="219" w:lineRule="auto"/>
              <w:ind w:left="364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文档版本</w:t>
            </w:r>
          </w:p>
        </w:tc>
        <w:tc>
          <w:tcPr>
            <w:tcW w:w="1696" w:type="dxa"/>
          </w:tcPr>
          <w:p w14:paraId="169C5D67">
            <w:pPr>
              <w:widowControl w:val="0"/>
              <w:spacing w:before="199" w:line="219" w:lineRule="auto"/>
              <w:ind w:left="430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69D560AE">
            <w:pPr>
              <w:widowControl w:val="0"/>
              <w:spacing w:before="199" w:line="219" w:lineRule="auto"/>
              <w:ind w:left="754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25F91A42">
            <w:pPr>
              <w:widowControl w:val="0"/>
              <w:spacing w:before="199" w:line="220" w:lineRule="auto"/>
              <w:ind w:left="78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3"/>
              </w:rPr>
              <w:t>作者</w:t>
            </w:r>
          </w:p>
        </w:tc>
        <w:tc>
          <w:tcPr>
            <w:tcW w:w="1563" w:type="dxa"/>
          </w:tcPr>
          <w:p w14:paraId="51C6F1CE">
            <w:pPr>
              <w:widowControl w:val="0"/>
              <w:spacing w:before="199" w:line="220" w:lineRule="auto"/>
              <w:ind w:left="586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5"/>
              </w:rPr>
              <w:t>审核</w:t>
            </w:r>
          </w:p>
        </w:tc>
      </w:tr>
      <w:tr w14:paraId="292C4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34AFCF1F">
            <w:pPr>
              <w:widowControl w:val="0"/>
              <w:spacing w:before="163" w:line="239" w:lineRule="auto"/>
              <w:ind w:left="568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1"/>
              </w:rPr>
              <w:t>V1.0</w:t>
            </w:r>
          </w:p>
        </w:tc>
        <w:tc>
          <w:tcPr>
            <w:tcW w:w="1696" w:type="dxa"/>
          </w:tcPr>
          <w:p w14:paraId="3494F415">
            <w:pPr>
              <w:widowControl w:val="0"/>
              <w:spacing w:before="163"/>
              <w:ind w:left="431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2"/>
              </w:rPr>
              <w:t>2025-1-4</w:t>
            </w:r>
          </w:p>
        </w:tc>
        <w:tc>
          <w:tcPr>
            <w:tcW w:w="2341" w:type="dxa"/>
          </w:tcPr>
          <w:p w14:paraId="396252A7">
            <w:pPr>
              <w:widowControl w:val="0"/>
              <w:spacing w:before="133" w:line="219" w:lineRule="auto"/>
              <w:ind w:left="75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6AF4B706">
            <w:pPr>
              <w:widowControl w:val="0"/>
              <w:spacing w:before="133" w:line="220" w:lineRule="auto"/>
              <w:ind w:left="682"/>
              <w:rPr>
                <w:rFonts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郑云</w:t>
            </w:r>
          </w:p>
        </w:tc>
        <w:tc>
          <w:tcPr>
            <w:tcW w:w="1563" w:type="dxa"/>
          </w:tcPr>
          <w:p w14:paraId="4A18956B">
            <w:pPr>
              <w:widowControl w:val="0"/>
              <w:spacing w:before="134" w:line="220" w:lineRule="auto"/>
              <w:ind w:left="481"/>
              <w:rPr>
                <w:rFonts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史晓玲</w:t>
            </w:r>
          </w:p>
        </w:tc>
      </w:tr>
      <w:tr w14:paraId="67DE5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730420BD">
            <w:pPr>
              <w:pStyle w:val="26"/>
              <w:widowControl w:val="0"/>
            </w:pPr>
          </w:p>
        </w:tc>
        <w:tc>
          <w:tcPr>
            <w:tcW w:w="1696" w:type="dxa"/>
          </w:tcPr>
          <w:p w14:paraId="267C57F4">
            <w:pPr>
              <w:pStyle w:val="26"/>
              <w:widowControl w:val="0"/>
            </w:pPr>
          </w:p>
        </w:tc>
        <w:tc>
          <w:tcPr>
            <w:tcW w:w="2341" w:type="dxa"/>
          </w:tcPr>
          <w:p w14:paraId="02B4011F">
            <w:pPr>
              <w:pStyle w:val="26"/>
              <w:widowControl w:val="0"/>
            </w:pPr>
          </w:p>
        </w:tc>
        <w:tc>
          <w:tcPr>
            <w:tcW w:w="1982" w:type="dxa"/>
          </w:tcPr>
          <w:p w14:paraId="3349093C">
            <w:pPr>
              <w:pStyle w:val="26"/>
              <w:widowControl w:val="0"/>
            </w:pPr>
          </w:p>
        </w:tc>
        <w:tc>
          <w:tcPr>
            <w:tcW w:w="1563" w:type="dxa"/>
          </w:tcPr>
          <w:p w14:paraId="47641D11">
            <w:pPr>
              <w:pStyle w:val="26"/>
              <w:widowControl w:val="0"/>
            </w:pPr>
          </w:p>
        </w:tc>
      </w:tr>
      <w:tr w14:paraId="7CC56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79939891">
            <w:pPr>
              <w:pStyle w:val="26"/>
              <w:widowControl w:val="0"/>
            </w:pPr>
          </w:p>
        </w:tc>
        <w:tc>
          <w:tcPr>
            <w:tcW w:w="1696" w:type="dxa"/>
          </w:tcPr>
          <w:p w14:paraId="4C2F5F27">
            <w:pPr>
              <w:pStyle w:val="26"/>
              <w:widowControl w:val="0"/>
            </w:pPr>
          </w:p>
        </w:tc>
        <w:tc>
          <w:tcPr>
            <w:tcW w:w="2341" w:type="dxa"/>
          </w:tcPr>
          <w:p w14:paraId="2433BF3C">
            <w:pPr>
              <w:pStyle w:val="26"/>
              <w:widowControl w:val="0"/>
            </w:pPr>
          </w:p>
        </w:tc>
        <w:tc>
          <w:tcPr>
            <w:tcW w:w="1982" w:type="dxa"/>
          </w:tcPr>
          <w:p w14:paraId="74386F9F">
            <w:pPr>
              <w:pStyle w:val="26"/>
              <w:widowControl w:val="0"/>
            </w:pPr>
          </w:p>
        </w:tc>
        <w:tc>
          <w:tcPr>
            <w:tcW w:w="1563" w:type="dxa"/>
          </w:tcPr>
          <w:p w14:paraId="14C9ADD8">
            <w:pPr>
              <w:pStyle w:val="26"/>
              <w:widowControl w:val="0"/>
            </w:pPr>
          </w:p>
        </w:tc>
      </w:tr>
      <w:tr w14:paraId="4B607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5BF471A8">
            <w:pPr>
              <w:pStyle w:val="26"/>
              <w:widowControl w:val="0"/>
            </w:pPr>
          </w:p>
        </w:tc>
        <w:tc>
          <w:tcPr>
            <w:tcW w:w="1696" w:type="dxa"/>
          </w:tcPr>
          <w:p w14:paraId="61AAE520">
            <w:pPr>
              <w:pStyle w:val="26"/>
              <w:widowControl w:val="0"/>
            </w:pPr>
          </w:p>
        </w:tc>
        <w:tc>
          <w:tcPr>
            <w:tcW w:w="2341" w:type="dxa"/>
          </w:tcPr>
          <w:p w14:paraId="30378A96">
            <w:pPr>
              <w:pStyle w:val="26"/>
              <w:widowControl w:val="0"/>
            </w:pPr>
          </w:p>
        </w:tc>
        <w:tc>
          <w:tcPr>
            <w:tcW w:w="1982" w:type="dxa"/>
          </w:tcPr>
          <w:p w14:paraId="7649BB3D">
            <w:pPr>
              <w:pStyle w:val="26"/>
              <w:widowControl w:val="0"/>
            </w:pPr>
          </w:p>
        </w:tc>
        <w:tc>
          <w:tcPr>
            <w:tcW w:w="1563" w:type="dxa"/>
          </w:tcPr>
          <w:p w14:paraId="49E9BFD8">
            <w:pPr>
              <w:pStyle w:val="26"/>
              <w:widowControl w:val="0"/>
            </w:pPr>
          </w:p>
        </w:tc>
      </w:tr>
      <w:tr w14:paraId="30235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563" w:type="dxa"/>
          </w:tcPr>
          <w:p w14:paraId="53F617BC">
            <w:pPr>
              <w:pStyle w:val="26"/>
              <w:widowControl w:val="0"/>
            </w:pPr>
          </w:p>
        </w:tc>
        <w:tc>
          <w:tcPr>
            <w:tcW w:w="1696" w:type="dxa"/>
          </w:tcPr>
          <w:p w14:paraId="7D299EA9">
            <w:pPr>
              <w:pStyle w:val="26"/>
              <w:widowControl w:val="0"/>
            </w:pPr>
          </w:p>
        </w:tc>
        <w:tc>
          <w:tcPr>
            <w:tcW w:w="2341" w:type="dxa"/>
          </w:tcPr>
          <w:p w14:paraId="7FA775F1">
            <w:pPr>
              <w:pStyle w:val="26"/>
              <w:widowControl w:val="0"/>
            </w:pPr>
          </w:p>
        </w:tc>
        <w:tc>
          <w:tcPr>
            <w:tcW w:w="1982" w:type="dxa"/>
          </w:tcPr>
          <w:p w14:paraId="757224DC">
            <w:pPr>
              <w:pStyle w:val="26"/>
              <w:widowControl w:val="0"/>
            </w:pPr>
          </w:p>
        </w:tc>
        <w:tc>
          <w:tcPr>
            <w:tcW w:w="1563" w:type="dxa"/>
          </w:tcPr>
          <w:p w14:paraId="3F8C42F2">
            <w:pPr>
              <w:pStyle w:val="26"/>
              <w:widowControl w:val="0"/>
            </w:pPr>
          </w:p>
        </w:tc>
      </w:tr>
      <w:tr w14:paraId="4B67D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63" w:type="dxa"/>
          </w:tcPr>
          <w:p w14:paraId="27F7CB19">
            <w:pPr>
              <w:pStyle w:val="26"/>
              <w:widowControl w:val="0"/>
            </w:pPr>
          </w:p>
        </w:tc>
        <w:tc>
          <w:tcPr>
            <w:tcW w:w="1696" w:type="dxa"/>
          </w:tcPr>
          <w:p w14:paraId="482D5DCE">
            <w:pPr>
              <w:pStyle w:val="26"/>
              <w:widowControl w:val="0"/>
            </w:pPr>
          </w:p>
        </w:tc>
        <w:tc>
          <w:tcPr>
            <w:tcW w:w="2341" w:type="dxa"/>
          </w:tcPr>
          <w:p w14:paraId="1D0462A7">
            <w:pPr>
              <w:pStyle w:val="26"/>
              <w:widowControl w:val="0"/>
            </w:pPr>
          </w:p>
        </w:tc>
        <w:tc>
          <w:tcPr>
            <w:tcW w:w="1982" w:type="dxa"/>
          </w:tcPr>
          <w:p w14:paraId="00A7FD32">
            <w:pPr>
              <w:pStyle w:val="26"/>
              <w:widowControl w:val="0"/>
            </w:pPr>
          </w:p>
        </w:tc>
        <w:tc>
          <w:tcPr>
            <w:tcW w:w="1563" w:type="dxa"/>
          </w:tcPr>
          <w:p w14:paraId="633D3924">
            <w:pPr>
              <w:pStyle w:val="26"/>
              <w:widowControl w:val="0"/>
            </w:pPr>
          </w:p>
        </w:tc>
      </w:tr>
    </w:tbl>
    <w:p w14:paraId="16E63A96">
      <w:pPr>
        <w:pStyle w:val="12"/>
        <w:widowControl w:val="0"/>
      </w:pPr>
    </w:p>
    <w:p w14:paraId="3266CB6F">
      <w:pPr>
        <w:widowControl w:val="0"/>
        <w:sectPr>
          <w:pgSz w:w="11907" w:h="16840"/>
          <w:pgMar w:top="1253" w:right="1173" w:bottom="0" w:left="1578" w:header="0" w:footer="0" w:gutter="0"/>
          <w:cols w:space="720" w:num="1"/>
        </w:sectPr>
      </w:pPr>
    </w:p>
    <w:sdt>
      <w:sdtPr>
        <w:rPr>
          <w:rFonts w:ascii="宋体" w:hAnsi="宋体"/>
        </w:rPr>
        <w:id w:val="147476917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z w:val="24"/>
          <w:szCs w:val="24"/>
        </w:rPr>
      </w:sdtEndPr>
      <w:sdtContent>
        <w:p w14:paraId="07ED60EB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053648B0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rPr>
              <w:rFonts w:hint="eastAsia" w:ascii="Microsoft JhengHei" w:hAnsi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cs="Microsoft JhengHei"/>
              <w:szCs w:val="24"/>
            </w:rPr>
            <w:instrText xml:space="preserve"> HYPERLINK \l _Toc20863 </w:instrText>
          </w:r>
          <w:r>
            <w:rPr>
              <w:rFonts w:hint="eastAsia" w:ascii="Microsoft JhengHei" w:hAnsi="Microsoft JhengHei" w:cs="Microsoft JhengHei"/>
              <w:szCs w:val="24"/>
            </w:rPr>
            <w:fldChar w:fldCharType="separate"/>
          </w:r>
          <w:r>
            <w:t>内部审核管理制度</w:t>
          </w:r>
          <w:r>
            <w:tab/>
          </w:r>
          <w:r>
            <w:fldChar w:fldCharType="begin"/>
          </w:r>
          <w:r>
            <w:instrText xml:space="preserve"> PAGEREF _Toc20863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cs="Microsoft JhengHei"/>
              <w:szCs w:val="24"/>
            </w:rPr>
            <w:fldChar w:fldCharType="end"/>
          </w:r>
        </w:p>
        <w:p w14:paraId="7326D790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_Toc17004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_Toc17004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8BFF6C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_Toc9131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_Toc9131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976FDD6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_Toc2955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EC369A7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_Toc31233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_Toc31233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389DF25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_Toc8586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_Toc8586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1FD8C10">
          <w:pPr>
            <w:pStyle w:val="18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_Toc25252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_Toc25252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CCB1CF5">
          <w:pPr>
            <w:pStyle w:val="18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_Toc1770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其他相关部门</w:t>
          </w:r>
          <w:r>
            <w:tab/>
          </w:r>
          <w:r>
            <w:fldChar w:fldCharType="begin"/>
          </w:r>
          <w:r>
            <w:instrText xml:space="preserve"> PAGEREF _Toc1770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D5D8F0C">
          <w:pPr>
            <w:pStyle w:val="18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_Toc30539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工作程序</w:t>
          </w:r>
          <w:r>
            <w:tab/>
          </w:r>
          <w:r>
            <w:fldChar w:fldCharType="begin"/>
          </w:r>
          <w:r>
            <w:instrText xml:space="preserve"> PAGEREF _Toc30539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1C68C3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_Toc4799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eastAsia"/>
            </w:rPr>
            <w:t>审核的频次</w:t>
          </w:r>
          <w:r>
            <w:tab/>
          </w:r>
          <w:r>
            <w:fldChar w:fldCharType="begin"/>
          </w:r>
          <w:r>
            <w:instrText xml:space="preserve"> PAGEREF _Toc4799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0C41B0A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_Toc11792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rPr>
              <w:rFonts w:hint="eastAsia"/>
            </w:rPr>
            <w:t>审核的策划</w:t>
          </w:r>
          <w:r>
            <w:tab/>
          </w:r>
          <w:r>
            <w:fldChar w:fldCharType="begin"/>
          </w:r>
          <w:r>
            <w:instrText xml:space="preserve"> PAGEREF _Toc11792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D2FCE97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_Toc14533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rPr>
              <w:rFonts w:hint="eastAsia"/>
            </w:rPr>
            <w:t>审核组</w:t>
          </w:r>
          <w:r>
            <w:tab/>
          </w:r>
          <w:r>
            <w:fldChar w:fldCharType="begin"/>
          </w:r>
          <w:r>
            <w:instrText xml:space="preserve"> PAGEREF _Toc14533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9CDB619">
          <w:pPr>
            <w:pStyle w:val="18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_Toc20896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审核依据</w:t>
          </w:r>
          <w:r>
            <w:tab/>
          </w:r>
          <w:r>
            <w:fldChar w:fldCharType="begin"/>
          </w:r>
          <w:r>
            <w:instrText xml:space="preserve"> PAGEREF _Toc20896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A75976E">
          <w:pPr>
            <w:pStyle w:val="18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_Toc12108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审核的计划</w:t>
          </w:r>
          <w:r>
            <w:tab/>
          </w:r>
          <w:r>
            <w:fldChar w:fldCharType="begin"/>
          </w:r>
          <w:r>
            <w:instrText xml:space="preserve"> PAGEREF _Toc12108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E45BFBE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_Toc25598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审核的准备</w:t>
          </w:r>
          <w:r>
            <w:tab/>
          </w:r>
          <w:r>
            <w:fldChar w:fldCharType="begin"/>
          </w:r>
          <w:r>
            <w:instrText xml:space="preserve"> PAGEREF _Toc25598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EBE8CB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_Toc18813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审核的实施</w:t>
          </w:r>
          <w:r>
            <w:tab/>
          </w:r>
          <w:r>
            <w:fldChar w:fldCharType="begin"/>
          </w:r>
          <w:r>
            <w:instrText xml:space="preserve"> PAGEREF _Toc18813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4A7E2A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_Toc2093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不符合项报告</w:t>
          </w:r>
          <w:r>
            <w:tab/>
          </w:r>
          <w:r>
            <w:fldChar w:fldCharType="begin"/>
          </w:r>
          <w:r>
            <w:instrText xml:space="preserve"> PAGEREF _Toc2093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CDB064D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_Toc20672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审核报告</w:t>
          </w:r>
          <w:r>
            <w:tab/>
          </w:r>
          <w:r>
            <w:fldChar w:fldCharType="begin"/>
          </w:r>
          <w:r>
            <w:instrText xml:space="preserve"> PAGEREF _Toc20672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8C458D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_Toc12941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总结会议</w:t>
          </w:r>
          <w:r>
            <w:tab/>
          </w:r>
          <w:r>
            <w:fldChar w:fldCharType="begin"/>
          </w:r>
          <w:r>
            <w:instrText xml:space="preserve"> PAGEREF _Toc12941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9475EBF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_Toc15944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服务改进措施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E2FFE0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_Toc7333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跟踪验证</w:t>
          </w:r>
          <w:r>
            <w:tab/>
          </w:r>
          <w:r>
            <w:fldChar w:fldCharType="begin"/>
          </w:r>
          <w:r>
            <w:instrText xml:space="preserve"> PAGEREF _Toc7333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FEDF6F3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_Toc32274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11. </w:t>
          </w:r>
          <w:r>
            <w:rPr>
              <w:rFonts w:hint="eastAsia"/>
              <w:lang w:eastAsia="zh-CN"/>
            </w:rPr>
            <w:t>流程衡量指标</w:t>
          </w:r>
          <w:r>
            <w:tab/>
          </w:r>
          <w:r>
            <w:fldChar w:fldCharType="begin"/>
          </w:r>
          <w:r>
            <w:instrText xml:space="preserve"> PAGEREF _Toc32274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23DA4E5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_Toc8367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12. </w:t>
          </w:r>
          <w:r>
            <w:t>内审记录</w:t>
          </w:r>
          <w:r>
            <w:tab/>
          </w:r>
          <w:r>
            <w:fldChar w:fldCharType="begin"/>
          </w:r>
          <w:r>
            <w:instrText xml:space="preserve"> PAGEREF _Toc8367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63FC888">
          <w:pPr>
            <w:widowControl w:val="0"/>
            <w:spacing w:line="220" w:lineRule="auto"/>
            <w:rPr>
              <w:rFonts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72C5B570">
      <w:pPr>
        <w:widowControl w:val="0"/>
        <w:spacing w:line="220" w:lineRule="auto"/>
        <w:rPr>
          <w:rFonts w:ascii="宋体" w:hAnsi="宋体" w:cs="宋体"/>
        </w:rPr>
        <w:sectPr>
          <w:headerReference r:id="rId5" w:type="default"/>
          <w:footerReference r:id="rId6" w:type="default"/>
          <w:pgSz w:w="11907" w:h="16840"/>
          <w:pgMar w:top="1162" w:right="1768" w:bottom="1359" w:left="1768" w:header="830" w:footer="1198" w:gutter="0"/>
          <w:cols w:space="720" w:num="1"/>
        </w:sectPr>
      </w:pPr>
    </w:p>
    <w:p w14:paraId="66538A4D">
      <w:pPr>
        <w:pStyle w:val="27"/>
        <w:keepNext w:val="0"/>
        <w:keepLines w:val="0"/>
        <w:widowControl w:val="0"/>
      </w:pPr>
      <w:bookmarkStart w:id="3" w:name="_Toc2955"/>
      <w:r>
        <w:t>目的</w:t>
      </w:r>
      <w:bookmarkEnd w:id="3"/>
    </w:p>
    <w:p w14:paraId="41F52034">
      <w:pPr>
        <w:pStyle w:val="28"/>
        <w:widowControl w:val="0"/>
        <w:ind w:firstLine="480"/>
      </w:pPr>
      <w:r>
        <w:t>确定江苏云储智能科技有限公司的ITSS运维服务质量管理体系是否满足规定要求，以及是否得到有效实施和保持。</w:t>
      </w:r>
    </w:p>
    <w:p w14:paraId="5A944F75">
      <w:pPr>
        <w:pStyle w:val="27"/>
        <w:keepNext w:val="0"/>
        <w:keepLines w:val="0"/>
        <w:widowControl w:val="0"/>
      </w:pPr>
      <w:bookmarkStart w:id="4" w:name="_Toc31233"/>
      <w:r>
        <w:t>适用范围</w:t>
      </w:r>
      <w:bookmarkEnd w:id="4"/>
    </w:p>
    <w:p w14:paraId="0E4A3431">
      <w:pPr>
        <w:pStyle w:val="28"/>
        <w:widowControl w:val="0"/>
        <w:ind w:firstLine="480"/>
      </w:pPr>
      <w:r>
        <w:t>适用于江苏云储智能科技有限公司的运维服务管理体系的内审。</w:t>
      </w:r>
    </w:p>
    <w:p w14:paraId="647B2381">
      <w:pPr>
        <w:pStyle w:val="27"/>
        <w:keepNext w:val="0"/>
        <w:keepLines w:val="0"/>
        <w:widowControl w:val="0"/>
      </w:pPr>
      <w:bookmarkStart w:id="5" w:name="_Toc8586"/>
      <w:r>
        <w:t>职责</w:t>
      </w:r>
      <w:bookmarkEnd w:id="5"/>
    </w:p>
    <w:p w14:paraId="088AA9BE">
      <w:pPr>
        <w:pStyle w:val="29"/>
        <w:keepNext w:val="0"/>
        <w:keepLines w:val="0"/>
        <w:widowControl w:val="0"/>
      </w:pPr>
      <w:bookmarkStart w:id="6" w:name="bookmark21"/>
      <w:bookmarkEnd w:id="6"/>
      <w:bookmarkStart w:id="7" w:name="_Toc25252"/>
      <w:r>
        <w:t>质量部</w:t>
      </w:r>
      <w:bookmarkEnd w:id="7"/>
    </w:p>
    <w:p w14:paraId="1A3E3C9C">
      <w:pPr>
        <w:pStyle w:val="40"/>
        <w:numPr>
          <w:ilvl w:val="0"/>
          <w:numId w:val="2"/>
        </w:numPr>
        <w:bidi w:val="0"/>
      </w:pPr>
      <w:r>
        <w:t>质量部负责制订《内审计划》，由</w:t>
      </w:r>
      <w:r>
        <w:rPr>
          <w:rFonts w:hint="eastAsia"/>
        </w:rPr>
        <w:t>经理</w:t>
      </w:r>
      <w:r>
        <w:t>审批，质量部负责组织内审活动，组建审核组。</w:t>
      </w:r>
    </w:p>
    <w:p w14:paraId="5084569F">
      <w:pPr>
        <w:pStyle w:val="40"/>
        <w:numPr>
          <w:ilvl w:val="0"/>
          <w:numId w:val="2"/>
        </w:numPr>
        <w:bidi w:val="0"/>
      </w:pPr>
      <w:r>
        <w:t>质量部经理或其他指定人员担任审核组长，负责组织编制内部质量体系审核检查表，并组织内审的实施，负责不符合项的跟踪验证。</w:t>
      </w:r>
    </w:p>
    <w:p w14:paraId="75D172DD">
      <w:pPr>
        <w:pStyle w:val="29"/>
        <w:keepNext w:val="0"/>
        <w:keepLines w:val="0"/>
        <w:widowControl w:val="0"/>
      </w:pPr>
      <w:bookmarkStart w:id="8" w:name="_Toc1770"/>
      <w:r>
        <w:t>其他相关部门</w:t>
      </w:r>
      <w:bookmarkEnd w:id="8"/>
    </w:p>
    <w:p w14:paraId="785636DF">
      <w:pPr>
        <w:pStyle w:val="28"/>
        <w:widowControl w:val="0"/>
        <w:ind w:firstLine="480"/>
      </w:pPr>
      <w:r>
        <w:t>各受审核的部门配合审核工作的实施。</w:t>
      </w:r>
    </w:p>
    <w:p w14:paraId="1913BFB9">
      <w:pPr>
        <w:pStyle w:val="29"/>
        <w:keepNext w:val="0"/>
        <w:keepLines w:val="0"/>
        <w:widowControl w:val="0"/>
      </w:pPr>
      <w:bookmarkStart w:id="9" w:name="_Toc30539"/>
      <w:r>
        <w:t>工作程序</w:t>
      </w:r>
      <w:bookmarkEnd w:id="9"/>
    </w:p>
    <w:p w14:paraId="0FB193CC">
      <w:pPr>
        <w:pStyle w:val="30"/>
        <w:bidi w:val="0"/>
      </w:pPr>
      <w:bookmarkStart w:id="10" w:name="bookmark22"/>
      <w:bookmarkEnd w:id="10"/>
      <w:bookmarkStart w:id="11" w:name="_Toc4799"/>
      <w:r>
        <w:rPr>
          <w:rFonts w:hint="eastAsia"/>
        </w:rPr>
        <w:t>审核的频次</w:t>
      </w:r>
      <w:bookmarkEnd w:id="11"/>
    </w:p>
    <w:p w14:paraId="78F6D4A1">
      <w:pPr>
        <w:pStyle w:val="40"/>
        <w:numPr>
          <w:ilvl w:val="0"/>
          <w:numId w:val="3"/>
        </w:numPr>
        <w:bidi w:val="0"/>
      </w:pPr>
      <w:r>
        <w:t>完整的内审时间间隔不超过1年。</w:t>
      </w:r>
    </w:p>
    <w:p w14:paraId="76720262">
      <w:pPr>
        <w:pStyle w:val="40"/>
        <w:numPr>
          <w:ilvl w:val="0"/>
          <w:numId w:val="3"/>
        </w:numPr>
        <w:bidi w:val="0"/>
      </w:pPr>
      <w:r>
        <w:t>需要时经副总批准后，可增加部分或完整质量体系的审核。</w:t>
      </w:r>
    </w:p>
    <w:p w14:paraId="709C5A19">
      <w:pPr>
        <w:pStyle w:val="30"/>
        <w:keepNext w:val="0"/>
        <w:keepLines w:val="0"/>
        <w:widowControl w:val="0"/>
        <w:ind w:firstLine="478"/>
      </w:pPr>
      <w:bookmarkStart w:id="12" w:name="bookmark23"/>
      <w:bookmarkEnd w:id="12"/>
      <w:bookmarkStart w:id="13" w:name="_Toc11792"/>
      <w:r>
        <w:rPr>
          <w:rFonts w:hint="eastAsia"/>
        </w:rPr>
        <w:t>审核的策划</w:t>
      </w:r>
      <w:bookmarkEnd w:id="13"/>
    </w:p>
    <w:p w14:paraId="36189ACD">
      <w:pPr>
        <w:pStyle w:val="40"/>
        <w:numPr>
          <w:ilvl w:val="0"/>
          <w:numId w:val="4"/>
        </w:numPr>
        <w:bidi w:val="0"/>
      </w:pPr>
      <w:r>
        <w:t>质量部经理负责将下一次内审的《内审计划》并发至各部门，在内审前进行策划。</w:t>
      </w:r>
    </w:p>
    <w:p w14:paraId="7A32DDA4">
      <w:pPr>
        <w:pStyle w:val="40"/>
        <w:numPr>
          <w:ilvl w:val="0"/>
          <w:numId w:val="4"/>
        </w:numPr>
        <w:bidi w:val="0"/>
      </w:pPr>
      <w:r>
        <w:t>策划时应考虑审核过程和区域的状况和重要性以及以往的审核结果。</w:t>
      </w:r>
    </w:p>
    <w:p w14:paraId="30D35A5E">
      <w:pPr>
        <w:pStyle w:val="30"/>
        <w:keepNext w:val="0"/>
        <w:keepLines w:val="0"/>
        <w:widowControl w:val="0"/>
        <w:ind w:firstLine="478"/>
      </w:pPr>
      <w:bookmarkStart w:id="14" w:name="_Toc14533"/>
      <w:r>
        <w:rPr>
          <w:rFonts w:hint="eastAsia"/>
        </w:rPr>
        <w:t>审核组</w:t>
      </w:r>
      <w:bookmarkEnd w:id="14"/>
    </w:p>
    <w:p w14:paraId="0BE7DB79">
      <w:pPr>
        <w:pStyle w:val="41"/>
        <w:keepNext w:val="0"/>
        <w:keepLines w:val="0"/>
        <w:ind w:left="1492"/>
        <w:rPr>
          <w:rFonts w:hint="default"/>
        </w:rPr>
      </w:pPr>
      <w:r>
        <w:t>审核组成员</w:t>
      </w:r>
    </w:p>
    <w:p w14:paraId="5D192217">
      <w:pPr>
        <w:pStyle w:val="28"/>
        <w:widowControl w:val="0"/>
        <w:ind w:firstLine="480"/>
      </w:pPr>
      <w:r>
        <w:t>审核组长由质量部经理或指定人员担任，根据审核特点从本公司的内审员中选定若干名组成审核组。审核组长对最终的审核结论和审核报告负责。</w:t>
      </w:r>
    </w:p>
    <w:p w14:paraId="4F090663">
      <w:pPr>
        <w:pStyle w:val="41"/>
        <w:keepNext w:val="0"/>
        <w:keepLines w:val="0"/>
        <w:ind w:left="1492"/>
        <w:rPr>
          <w:rFonts w:hint="default"/>
        </w:rPr>
      </w:pPr>
      <w:r>
        <w:t>审核人员要求</w:t>
      </w:r>
    </w:p>
    <w:p w14:paraId="3FE5A1C7">
      <w:pPr>
        <w:pStyle w:val="28"/>
        <w:widowControl w:val="0"/>
        <w:ind w:firstLine="480"/>
      </w:pPr>
      <w:r>
        <w:t>在选择内审员时应考虑下列条件：</w:t>
      </w:r>
    </w:p>
    <w:p w14:paraId="455B0940">
      <w:pPr>
        <w:pStyle w:val="40"/>
        <w:widowControl w:val="0"/>
        <w:numPr>
          <w:ilvl w:val="0"/>
          <w:numId w:val="5"/>
        </w:numPr>
      </w:pPr>
      <w:r>
        <w:t>审核员应是经培训合格的公司内审员。</w:t>
      </w:r>
    </w:p>
    <w:p w14:paraId="33FB972C">
      <w:pPr>
        <w:pStyle w:val="40"/>
        <w:widowControl w:val="0"/>
        <w:numPr>
          <w:ilvl w:val="0"/>
          <w:numId w:val="5"/>
        </w:numPr>
      </w:pPr>
      <w:r>
        <w:t>应了解受审核部门运维体系运行情况和业务特点。</w:t>
      </w:r>
    </w:p>
    <w:p w14:paraId="736DE34B">
      <w:pPr>
        <w:pStyle w:val="40"/>
        <w:widowControl w:val="0"/>
        <w:numPr>
          <w:ilvl w:val="0"/>
          <w:numId w:val="5"/>
        </w:numPr>
      </w:pPr>
      <w:r>
        <w:t>当本公司的内审能力不足时，可聘请外部专家协助审核。</w:t>
      </w:r>
    </w:p>
    <w:p w14:paraId="17909C16">
      <w:pPr>
        <w:pStyle w:val="29"/>
        <w:keepNext w:val="0"/>
        <w:keepLines w:val="0"/>
        <w:widowControl w:val="0"/>
      </w:pPr>
      <w:bookmarkStart w:id="15" w:name="_Toc20896"/>
      <w:r>
        <w:rPr>
          <w:rFonts w:hint="eastAsia"/>
        </w:rPr>
        <w:t>审核依据</w:t>
      </w:r>
      <w:bookmarkEnd w:id="15"/>
    </w:p>
    <w:p w14:paraId="12EF944E">
      <w:pPr>
        <w:pStyle w:val="40"/>
        <w:widowControl w:val="0"/>
        <w:numPr>
          <w:ilvl w:val="0"/>
          <w:numId w:val="6"/>
        </w:numPr>
      </w:pPr>
      <w:r>
        <w:t>GB/T28827.1-20</w:t>
      </w:r>
      <w:r>
        <w:rPr>
          <w:rFonts w:hint="eastAsia"/>
        </w:rPr>
        <w:t>2</w:t>
      </w:r>
      <w:r>
        <w:t xml:space="preserve">2《信息技术服务  运行维护  第 </w:t>
      </w:r>
      <w:r>
        <w:rPr>
          <w:rFonts w:hint="eastAsia"/>
        </w:rPr>
        <w:t>1</w:t>
      </w:r>
      <w:r>
        <w:t xml:space="preserve"> 部分：</w:t>
      </w:r>
      <w:r>
        <w:rPr>
          <w:rFonts w:hint="eastAsia"/>
        </w:rPr>
        <w:t>通用要求</w:t>
      </w:r>
      <w:r>
        <w:t>》</w:t>
      </w:r>
    </w:p>
    <w:p w14:paraId="5281DCCC">
      <w:pPr>
        <w:pStyle w:val="40"/>
        <w:widowControl w:val="0"/>
        <w:numPr>
          <w:ilvl w:val="0"/>
          <w:numId w:val="6"/>
        </w:numPr>
      </w:pPr>
      <w:r>
        <w:t>GB/T28827.</w:t>
      </w:r>
      <w:r>
        <w:rPr>
          <w:rFonts w:hint="eastAsia"/>
          <w:lang w:val="en-US" w:eastAsia="zh-CN"/>
        </w:rPr>
        <w:t>2</w:t>
      </w:r>
      <w:r>
        <w:t>-20</w:t>
      </w:r>
      <w:r>
        <w:rPr>
          <w:rFonts w:hint="eastAsia"/>
        </w:rPr>
        <w:t>1</w:t>
      </w:r>
      <w:r>
        <w:t xml:space="preserve">2《信息技术服务  运行维护  第 </w:t>
      </w:r>
      <w:r>
        <w:rPr>
          <w:rFonts w:hint="eastAsia"/>
        </w:rPr>
        <w:t>2</w:t>
      </w:r>
      <w:r>
        <w:t xml:space="preserve"> 部分：交付规范》</w:t>
      </w:r>
    </w:p>
    <w:p w14:paraId="22DACFBC">
      <w:pPr>
        <w:pStyle w:val="40"/>
        <w:widowControl w:val="0"/>
        <w:numPr>
          <w:ilvl w:val="0"/>
          <w:numId w:val="6"/>
        </w:numPr>
      </w:pPr>
      <w:r>
        <w:t>GB/T28827.3-2012《信息技术服务  运行维护  第 3 部分：应急响应规范》</w:t>
      </w:r>
    </w:p>
    <w:p w14:paraId="71F55ABA">
      <w:pPr>
        <w:pStyle w:val="40"/>
        <w:widowControl w:val="0"/>
        <w:numPr>
          <w:ilvl w:val="0"/>
          <w:numId w:val="6"/>
        </w:numPr>
      </w:pPr>
      <w:r>
        <w:rPr>
          <w:rFonts w:hint="eastAsia"/>
        </w:rPr>
        <w:t>T/CESA 1299—2023</w:t>
      </w:r>
      <w:r>
        <w:t>《信息技术服务 运行维护服务能力成熟度模型》。</w:t>
      </w:r>
    </w:p>
    <w:p w14:paraId="01653F85">
      <w:pPr>
        <w:pStyle w:val="29"/>
        <w:keepNext w:val="0"/>
        <w:keepLines w:val="0"/>
        <w:widowControl w:val="0"/>
      </w:pPr>
      <w:bookmarkStart w:id="16" w:name="_Toc12108"/>
      <w:r>
        <w:t>审核的计划</w:t>
      </w:r>
      <w:bookmarkEnd w:id="16"/>
    </w:p>
    <w:p w14:paraId="6E82F54E">
      <w:pPr>
        <w:pStyle w:val="28"/>
        <w:widowControl w:val="0"/>
        <w:ind w:firstLine="480"/>
      </w:pPr>
      <w:r>
        <w:t>审核组长与审核组其它成员一起制定《内审计划》和编写《内审检查表》，《内审计划》应确保审核员不能审核其所在的部门，《内审检查表》应充分考虑抽样的代表性、审核深度和上次审核纠正措施实施情况，并且审核前通知被审核部门。</w:t>
      </w:r>
    </w:p>
    <w:p w14:paraId="7AFF5B0A">
      <w:pPr>
        <w:pStyle w:val="27"/>
        <w:keepNext w:val="0"/>
        <w:keepLines w:val="0"/>
        <w:widowControl w:val="0"/>
      </w:pPr>
      <w:bookmarkStart w:id="17" w:name="bookmark1"/>
      <w:bookmarkEnd w:id="17"/>
      <w:bookmarkStart w:id="18" w:name="_Toc25598"/>
      <w:r>
        <w:t>审核的准备</w:t>
      </w:r>
      <w:bookmarkEnd w:id="18"/>
    </w:p>
    <w:p w14:paraId="1276EF18">
      <w:pPr>
        <w:pStyle w:val="28"/>
        <w:widowControl w:val="0"/>
        <w:ind w:firstLine="480"/>
      </w:pPr>
      <w:r>
        <w:t>审核组长将相关记录，如《不符合项报告》，《审核检查表》等发放给审核组成员，各审核员根据自己被分配的任务、范围、日程等来计划具体审核细节和时间分配等。</w:t>
      </w:r>
    </w:p>
    <w:p w14:paraId="53EDCC0A">
      <w:pPr>
        <w:pStyle w:val="27"/>
        <w:keepNext w:val="0"/>
        <w:keepLines w:val="0"/>
        <w:widowControl w:val="0"/>
      </w:pPr>
      <w:bookmarkStart w:id="19" w:name="_Toc18813"/>
      <w:r>
        <w:t>审核的实施</w:t>
      </w:r>
      <w:bookmarkEnd w:id="19"/>
    </w:p>
    <w:p w14:paraId="29E42082">
      <w:pPr>
        <w:pStyle w:val="40"/>
        <w:widowControl w:val="0"/>
        <w:numPr>
          <w:ilvl w:val="0"/>
          <w:numId w:val="7"/>
        </w:numPr>
      </w:pPr>
      <w:r>
        <w:t>由审核组长主持，被审核部门负责人、审核组成员、主管副总裁参加的首次会议。审核组长介绍审核计划，审核的依据、目的、范围及方法，审核组成员及审核日程等。</w:t>
      </w:r>
    </w:p>
    <w:p w14:paraId="109D7A1D">
      <w:pPr>
        <w:pStyle w:val="40"/>
        <w:widowControl w:val="0"/>
        <w:numPr>
          <w:ilvl w:val="0"/>
          <w:numId w:val="7"/>
        </w:numPr>
      </w:pPr>
      <w:r>
        <w:t>审核组按审核计划实施审核，充分利用检查表，采取与有关人员面谈、观察现场及岗位工作人员操作、查阅各种记录的方式进行审核，收集客观证据。</w:t>
      </w:r>
    </w:p>
    <w:p w14:paraId="2D23A741">
      <w:pPr>
        <w:pStyle w:val="40"/>
        <w:widowControl w:val="0"/>
        <w:numPr>
          <w:ilvl w:val="0"/>
          <w:numId w:val="8"/>
        </w:numPr>
      </w:pPr>
      <w:r>
        <w:t>面谈：审核人员根据检查表与被审核部门的负责人或当事人进行面谈、提问。部门负责人或当事人的讲话可作为证据，陪同人员的讲话不能作为证据。</w:t>
      </w:r>
    </w:p>
    <w:p w14:paraId="61403E6B">
      <w:pPr>
        <w:pStyle w:val="40"/>
        <w:widowControl w:val="0"/>
        <w:numPr>
          <w:ilvl w:val="0"/>
          <w:numId w:val="8"/>
        </w:numPr>
      </w:pPr>
      <w:r>
        <w:t>观察现场：察看作业现场的环境、操作等是否符合要求。</w:t>
      </w:r>
    </w:p>
    <w:p w14:paraId="77F9869E">
      <w:pPr>
        <w:pStyle w:val="40"/>
        <w:widowControl w:val="0"/>
        <w:numPr>
          <w:ilvl w:val="0"/>
          <w:numId w:val="8"/>
        </w:numPr>
      </w:pPr>
      <w:r>
        <w:t>查文件和记录：向被审核部门负责人或当事人索取相关文件和记录，检查记录的完整性、真实性和一致性。</w:t>
      </w:r>
    </w:p>
    <w:p w14:paraId="77F6C592">
      <w:pPr>
        <w:pStyle w:val="40"/>
        <w:widowControl w:val="0"/>
        <w:numPr>
          <w:ilvl w:val="0"/>
          <w:numId w:val="7"/>
        </w:numPr>
      </w:pPr>
      <w:r>
        <w:t>各审核员对发现的不合格项填写在《内审检查表》中，同时让现场操作者和负责人确认，以保证不符合项能完全被理解，记录应尽可能详细，以确保审核结果的可追溯性。</w:t>
      </w:r>
    </w:p>
    <w:p w14:paraId="73C9CC4C">
      <w:pPr>
        <w:pStyle w:val="40"/>
        <w:widowControl w:val="0"/>
        <w:numPr>
          <w:ilvl w:val="0"/>
          <w:numId w:val="7"/>
        </w:numPr>
      </w:pPr>
      <w:r>
        <w:t>不符合项分为严重不符合和一般不符合两类。对于未构成不符合项的问题可以作为观察项书面提出。</w:t>
      </w:r>
    </w:p>
    <w:p w14:paraId="3919F0AB">
      <w:pPr>
        <w:pStyle w:val="40"/>
        <w:widowControl w:val="0"/>
        <w:numPr>
          <w:ilvl w:val="0"/>
          <w:numId w:val="9"/>
        </w:numPr>
      </w:pPr>
      <w:r>
        <w:t>严重不符合项：凡是审核中发现明显不符合ITSS 能力成熟度三级要求标准规定的;  违反法律法规而造成严重质量事故的;   多次出现同一类一般不符合项而造成运维服务管理体系失效的;  对以前提出的不符合项采取纠正措施无效的;  以上违反任一条均判定为严重不符合项。</w:t>
      </w:r>
    </w:p>
    <w:p w14:paraId="6F3EB20D">
      <w:pPr>
        <w:pStyle w:val="40"/>
        <w:widowControl w:val="0"/>
        <w:numPr>
          <w:ilvl w:val="0"/>
          <w:numId w:val="9"/>
        </w:numPr>
      </w:pPr>
      <w:r>
        <w:t>一般不符合项： 对偶尔人为造成的不符合项且易于纠正，不造成严重后果的，不造成质量管理体系失效的不符合项，判定为一般不符合项。</w:t>
      </w:r>
    </w:p>
    <w:p w14:paraId="256A41EA">
      <w:pPr>
        <w:pStyle w:val="40"/>
        <w:widowControl w:val="0"/>
        <w:numPr>
          <w:ilvl w:val="0"/>
          <w:numId w:val="9"/>
        </w:numPr>
      </w:pPr>
      <w:r>
        <w:t>观察项：对个别轻微不符合文件的规定要求，并可在当时完成纠正的，尚无确切证据说明其有不良发展趋势的问题，可视为观察项。观察项不视为不符合项，但应引起受审核部门的注意。</w:t>
      </w:r>
    </w:p>
    <w:p w14:paraId="06901B29">
      <w:pPr>
        <w:pStyle w:val="27"/>
        <w:keepNext w:val="0"/>
        <w:keepLines w:val="0"/>
        <w:widowControl w:val="0"/>
      </w:pPr>
      <w:bookmarkStart w:id="20" w:name="_Toc2093"/>
      <w:r>
        <w:t>不符合项报告</w:t>
      </w:r>
      <w:bookmarkEnd w:id="20"/>
    </w:p>
    <w:p w14:paraId="7E2F5D7F">
      <w:pPr>
        <w:pStyle w:val="28"/>
        <w:ind w:firstLine="480"/>
      </w:pPr>
      <w:r>
        <w:t>审核完毕，审核组整理审核记录，并将审核结果在组织内沟通，取得一致意见，最后由审核组长决定是否作为不符合项提出并判定严重程度，由审核组成员填写《不符合项报告》。</w:t>
      </w:r>
    </w:p>
    <w:p w14:paraId="17FB4500">
      <w:pPr>
        <w:pStyle w:val="28"/>
        <w:ind w:firstLine="480"/>
      </w:pPr>
      <w:r>
        <w:t>填写的不符合项报告有以下</w:t>
      </w:r>
      <w:r>
        <w:rPr>
          <w:rFonts w:hint="eastAsia"/>
        </w:rPr>
        <w:t>几</w:t>
      </w:r>
      <w:r>
        <w:t>项要求：</w:t>
      </w:r>
    </w:p>
    <w:p w14:paraId="79E27014">
      <w:pPr>
        <w:pStyle w:val="40"/>
        <w:numPr>
          <w:ilvl w:val="0"/>
          <w:numId w:val="10"/>
        </w:numPr>
      </w:pPr>
      <w:r>
        <w:t>填写的不符合事实陈述要全面、清楚、正确、精练地用文字表达出来。</w:t>
      </w:r>
    </w:p>
    <w:p w14:paraId="48B38D8E">
      <w:pPr>
        <w:pStyle w:val="40"/>
        <w:numPr>
          <w:ilvl w:val="0"/>
          <w:numId w:val="10"/>
        </w:numPr>
      </w:pPr>
      <w:r>
        <w:t>写明判为不合格的理由，为什么判为不合格。</w:t>
      </w:r>
    </w:p>
    <w:p w14:paraId="449BFEDC">
      <w:pPr>
        <w:pStyle w:val="40"/>
        <w:numPr>
          <w:ilvl w:val="0"/>
          <w:numId w:val="10"/>
        </w:numPr>
      </w:pPr>
      <w:r>
        <w:t>不符合标准或相关文件的哪一条要判断正确。</w:t>
      </w:r>
    </w:p>
    <w:p w14:paraId="4C5B895A">
      <w:pPr>
        <w:pStyle w:val="40"/>
        <w:numPr>
          <w:ilvl w:val="0"/>
          <w:numId w:val="10"/>
        </w:numPr>
      </w:pPr>
      <w:r>
        <w:t>不符合的类型和程度要在报告中表达清楚。</w:t>
      </w:r>
    </w:p>
    <w:p w14:paraId="1578443D">
      <w:pPr>
        <w:pStyle w:val="27"/>
        <w:keepNext w:val="0"/>
        <w:keepLines w:val="0"/>
        <w:widowControl w:val="0"/>
      </w:pPr>
      <w:bookmarkStart w:id="21" w:name="_Toc20672"/>
      <w:r>
        <w:t>审核报告</w:t>
      </w:r>
      <w:bookmarkEnd w:id="21"/>
    </w:p>
    <w:p w14:paraId="73CF8844">
      <w:pPr>
        <w:pStyle w:val="28"/>
        <w:bidi w:val="0"/>
      </w:pPr>
      <w:r>
        <w:t>审核组长在审核结束后编写《内审报告》，审核组长对审核报告的准确性、客观性和完整性负责。审核报告应附有《不符合项报告》等必要的客观证据材料。</w:t>
      </w:r>
    </w:p>
    <w:p w14:paraId="3FCADA24">
      <w:pPr>
        <w:pStyle w:val="27"/>
        <w:keepNext w:val="0"/>
        <w:keepLines w:val="0"/>
        <w:widowControl w:val="0"/>
      </w:pPr>
      <w:bookmarkStart w:id="22" w:name="_Toc12941"/>
      <w:r>
        <w:t>总结会议</w:t>
      </w:r>
      <w:bookmarkEnd w:id="22"/>
    </w:p>
    <w:p w14:paraId="245D7718">
      <w:pPr>
        <w:pStyle w:val="28"/>
        <w:ind w:firstLine="480"/>
      </w:pPr>
      <w:r>
        <w:t>审核结束，</w:t>
      </w:r>
      <w:bookmarkStart w:id="27" w:name="_GoBack"/>
      <w:bookmarkEnd w:id="27"/>
      <w:r>
        <w:t>管理者代表、质量部和被审核部门负责人参加由审核组长组织召开的总结会议，审核组长宣读《内审报告》和《不符合项报告》，由副总经理及质量部经理提出要求。会议结束后，将《不符合项报告》发至相关部门。</w:t>
      </w:r>
    </w:p>
    <w:p w14:paraId="45EB2499">
      <w:pPr>
        <w:pStyle w:val="27"/>
        <w:keepNext w:val="0"/>
        <w:keepLines w:val="0"/>
        <w:widowControl w:val="0"/>
      </w:pPr>
      <w:bookmarkStart w:id="23" w:name="_Toc15944"/>
      <w:r>
        <w:t>服务改进措施</w:t>
      </w:r>
      <w:bookmarkEnd w:id="23"/>
    </w:p>
    <w:p w14:paraId="215F9ACE">
      <w:pPr>
        <w:pStyle w:val="28"/>
        <w:ind w:firstLine="480"/>
      </w:pPr>
      <w:r>
        <w:t>《不符合项报告》分别传递给被审核部门负责人，经签字确认后，要分析产生原因，提出改进措施计划，以及完成改进措施的时间，即开始按计划采取相应的改进措施。</w:t>
      </w:r>
    </w:p>
    <w:p w14:paraId="234AACD4">
      <w:pPr>
        <w:pStyle w:val="27"/>
        <w:keepNext w:val="0"/>
        <w:keepLines w:val="0"/>
        <w:widowControl w:val="0"/>
      </w:pPr>
      <w:bookmarkStart w:id="24" w:name="_Toc7333"/>
      <w:r>
        <w:t>跟踪验证</w:t>
      </w:r>
      <w:bookmarkEnd w:id="24"/>
    </w:p>
    <w:p w14:paraId="52126DF3">
      <w:pPr>
        <w:pStyle w:val="28"/>
        <w:ind w:firstLine="480"/>
      </w:pPr>
      <w:r>
        <w:t>审核组对被审核部门采取的改进措施进行跟踪、验证其实施结果，直到措施完全被落实。对验证无效的措施审核组有权责令其重新制定改进措施，审核组再次验证。</w:t>
      </w:r>
    </w:p>
    <w:p w14:paraId="4ED41E97">
      <w:pPr>
        <w:pStyle w:val="27"/>
        <w:keepNext w:val="0"/>
        <w:keepLines w:val="0"/>
        <w:widowControl w:val="0"/>
        <w:rPr>
          <w:lang w:eastAsia="zh-CN"/>
        </w:rPr>
      </w:pPr>
      <w:bookmarkStart w:id="25" w:name="_Toc32274"/>
      <w:r>
        <w:rPr>
          <w:rFonts w:hint="eastAsia"/>
          <w:lang w:eastAsia="zh-CN"/>
        </w:rPr>
        <w:t>流程衡量指标</w:t>
      </w:r>
      <w:bookmarkEnd w:id="25"/>
    </w:p>
    <w:tbl>
      <w:tblPr>
        <w:tblStyle w:val="25"/>
        <w:tblW w:w="8515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1453"/>
        <w:gridCol w:w="1453"/>
      </w:tblGrid>
      <w:tr w14:paraId="6F8BD1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64004CAD">
            <w:pPr>
              <w:widowControl w:val="0"/>
              <w:spacing w:before="205" w:line="221" w:lineRule="auto"/>
              <w:ind w:left="195"/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6AB91ACA">
            <w:pPr>
              <w:widowControl w:val="0"/>
              <w:spacing w:before="205" w:line="221" w:lineRule="auto"/>
              <w:ind w:left="195"/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5CC1DBC9">
            <w:pPr>
              <w:widowControl w:val="0"/>
              <w:spacing w:before="205" w:line="221" w:lineRule="auto"/>
              <w:ind w:left="195"/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45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6D279B3C">
            <w:pPr>
              <w:widowControl w:val="0"/>
              <w:spacing w:before="205" w:line="221" w:lineRule="auto"/>
              <w:ind w:left="195"/>
              <w:rPr>
                <w:rFonts w:ascii="宋体" w:hAnsi="宋体" w:cs="宋体"/>
                <w:b/>
                <w:bCs/>
                <w:spacing w:val="-7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eastAsia="zh-CN"/>
              </w:rPr>
              <w:t>考核频次</w:t>
            </w:r>
          </w:p>
        </w:tc>
        <w:tc>
          <w:tcPr>
            <w:tcW w:w="145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0ED01982">
            <w:pPr>
              <w:widowControl w:val="0"/>
              <w:spacing w:before="205" w:line="221" w:lineRule="auto"/>
              <w:ind w:left="195"/>
              <w:rPr>
                <w:rFonts w:ascii="宋体" w:hAnsi="宋体" w:cs="宋体"/>
                <w:b/>
                <w:bCs/>
                <w:spacing w:val="-7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eastAsia="zh-CN"/>
              </w:rPr>
              <w:t>目标值</w:t>
            </w:r>
          </w:p>
        </w:tc>
      </w:tr>
      <w:tr w14:paraId="4C104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55A5F4A8">
            <w:pPr>
              <w:widowControl w:val="0"/>
              <w:spacing w:before="194" w:line="219" w:lineRule="auto"/>
              <w:ind w:left="123"/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337" w:type="dxa"/>
            <w:tcBorders>
              <w:top w:val="single" w:color="000000" w:sz="6" w:space="0"/>
            </w:tcBorders>
          </w:tcPr>
          <w:p w14:paraId="35C29FA3">
            <w:pPr>
              <w:widowControl w:val="0"/>
              <w:spacing w:before="194" w:line="219" w:lineRule="auto"/>
              <w:ind w:left="123"/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次数</w:t>
            </w:r>
          </w:p>
        </w:tc>
        <w:tc>
          <w:tcPr>
            <w:tcW w:w="3545" w:type="dxa"/>
            <w:tcBorders>
              <w:top w:val="single" w:color="000000" w:sz="6" w:space="0"/>
              <w:right w:val="single" w:color="000000" w:sz="6" w:space="0"/>
            </w:tcBorders>
          </w:tcPr>
          <w:p w14:paraId="27390311">
            <w:pPr>
              <w:widowControl w:val="0"/>
              <w:spacing w:before="194" w:line="219" w:lineRule="auto"/>
              <w:ind w:left="123"/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数量：内部评审的次数</w:t>
            </w:r>
          </w:p>
        </w:tc>
        <w:tc>
          <w:tcPr>
            <w:tcW w:w="1453" w:type="dxa"/>
            <w:tcBorders>
              <w:top w:val="single" w:color="000000" w:sz="6" w:space="0"/>
              <w:right w:val="single" w:color="000000" w:sz="6" w:space="0"/>
            </w:tcBorders>
          </w:tcPr>
          <w:p w14:paraId="61E3AD3E">
            <w:pPr>
              <w:widowControl w:val="0"/>
              <w:spacing w:before="194" w:line="219" w:lineRule="auto"/>
              <w:ind w:left="123"/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按年</w:t>
            </w:r>
          </w:p>
        </w:tc>
        <w:tc>
          <w:tcPr>
            <w:tcW w:w="1453" w:type="dxa"/>
            <w:tcBorders>
              <w:top w:val="single" w:color="000000" w:sz="6" w:space="0"/>
              <w:right w:val="single" w:color="000000" w:sz="6" w:space="0"/>
            </w:tcBorders>
          </w:tcPr>
          <w:p w14:paraId="05D33892">
            <w:pPr>
              <w:widowControl w:val="0"/>
              <w:spacing w:before="194" w:line="219" w:lineRule="auto"/>
              <w:ind w:left="123"/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≥1次</w:t>
            </w:r>
          </w:p>
        </w:tc>
      </w:tr>
    </w:tbl>
    <w:p w14:paraId="17E11CC0">
      <w:pPr>
        <w:pStyle w:val="27"/>
        <w:keepNext w:val="0"/>
        <w:keepLines w:val="0"/>
        <w:widowControl w:val="0"/>
      </w:pPr>
      <w:bookmarkStart w:id="26" w:name="_Toc8367"/>
      <w:r>
        <w:t>内审记录</w:t>
      </w:r>
      <w:bookmarkEnd w:id="26"/>
    </w:p>
    <w:p w14:paraId="30E9B3A5">
      <w:pPr>
        <w:pStyle w:val="28"/>
        <w:ind w:firstLine="480"/>
      </w:pPr>
      <w:r>
        <w:t>质量部负责保存内审的档案，包括：</w:t>
      </w:r>
    </w:p>
    <w:p w14:paraId="5C25708B">
      <w:pPr>
        <w:pStyle w:val="28"/>
        <w:numPr>
          <w:ilvl w:val="0"/>
          <w:numId w:val="11"/>
        </w:numPr>
        <w:ind w:firstLineChars="0"/>
      </w:pPr>
      <w:r>
        <w:t>《内审计划》</w:t>
      </w:r>
    </w:p>
    <w:p w14:paraId="7E933935">
      <w:pPr>
        <w:pStyle w:val="28"/>
        <w:numPr>
          <w:ilvl w:val="0"/>
          <w:numId w:val="11"/>
        </w:numPr>
        <w:ind w:firstLineChars="0"/>
      </w:pPr>
      <w:r>
        <w:t>《内审检查表》</w:t>
      </w:r>
    </w:p>
    <w:p w14:paraId="16FB66C7">
      <w:pPr>
        <w:pStyle w:val="28"/>
        <w:numPr>
          <w:ilvl w:val="0"/>
          <w:numId w:val="11"/>
        </w:numPr>
        <w:ind w:firstLineChars="0"/>
      </w:pPr>
      <w:r>
        <w:t>《内审报告》</w:t>
      </w:r>
    </w:p>
    <w:p w14:paraId="634BFF7A">
      <w:pPr>
        <w:pStyle w:val="28"/>
        <w:numPr>
          <w:ilvl w:val="0"/>
          <w:numId w:val="11"/>
        </w:numPr>
        <w:ind w:firstLineChars="0"/>
      </w:pPr>
      <w:r>
        <w:t>《不符合项报告》</w:t>
      </w:r>
    </w:p>
    <w:sectPr>
      <w:headerReference r:id="rId7" w:type="default"/>
      <w:footerReference r:id="rId8" w:type="default"/>
      <w:pgSz w:w="11907" w:h="16840"/>
      <w:pgMar w:top="1162" w:right="1768" w:bottom="1359" w:left="1768" w:header="830" w:footer="11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6472D">
    <w:pPr>
      <w:spacing w:line="174" w:lineRule="auto"/>
      <w:ind w:left="416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9473D">
    <w:pPr>
      <w:spacing w:line="174" w:lineRule="auto"/>
      <w:ind w:left="414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42EA9">
    <w:pPr>
      <w:spacing w:before="47" w:line="220" w:lineRule="auto"/>
      <w:ind w:right="25"/>
      <w:jc w:val="right"/>
      <w:rPr>
        <w:rFonts w:ascii="宋体" w:hAnsi="宋体" w:cs="宋体"/>
        <w:sz w:val="18"/>
        <w:szCs w:val="18"/>
      </w:rPr>
    </w:pPr>
    <w:r>
      <w:pict>
        <v:shape id="_x0000_s4097" o:spid="_x0000_s4097" style="position:absolute;left:0pt;margin-left:88.4pt;margin-top:55.2pt;height:0.5pt;width:418.55pt;mso-position-horizontal-relative:page;mso-position-vertical-relative:page;z-index:251659264;mso-width-relative:page;mso-height-relative:page;" filled="f" coordsize="8370,10" o:allowincell="f" path="m0,5l8370,5e">
          <v:fill on="f" focussize="0,0"/>
          <v:stroke joinstyle="miter"/>
          <v:imagedata o:title=""/>
          <o:lock v:ext="edit"/>
        </v:shape>
      </w:pict>
    </w:r>
    <w:r>
      <w:rPr>
        <w:rFonts w:ascii="宋体" w:hAnsi="宋体" w:cs="宋体"/>
        <w:spacing w:val="-4"/>
        <w:sz w:val="18"/>
        <w:szCs w:val="18"/>
      </w:rPr>
      <w:t>内部审核管理制度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623F7">
    <w:pPr>
      <w:spacing w:before="47" w:line="220" w:lineRule="auto"/>
      <w:ind w:right="25"/>
      <w:jc w:val="right"/>
      <w:rPr>
        <w:rFonts w:ascii="宋体" w:hAnsi="宋体" w:cs="宋体"/>
        <w:sz w:val="18"/>
        <w:szCs w:val="18"/>
      </w:rPr>
    </w:pPr>
    <w:r>
      <w:pict>
        <v:shape id="_x0000_s4098" o:spid="_x0000_s4098" style="position:absolute;left:0pt;margin-left:88.4pt;margin-top:55.2pt;height:0.5pt;width:418.55pt;mso-position-horizontal-relative:page;mso-position-vertical-relative:page;z-index:251660288;mso-width-relative:page;mso-height-relative:page;" filled="f" coordsize="8370,10" o:allowincell="f" path="m0,5l8370,5e">
          <v:fill on="f" focussize="0,0"/>
          <v:stroke joinstyle="miter"/>
          <v:imagedata o:title=""/>
          <o:lock v:ext="edit"/>
        </v:shape>
      </w:pict>
    </w:r>
    <w:r>
      <w:rPr>
        <w:rFonts w:ascii="宋体" w:hAnsi="宋体" w:cs="宋体"/>
        <w:spacing w:val="-4"/>
        <w:sz w:val="18"/>
        <w:szCs w:val="18"/>
      </w:rPr>
      <w:t>内部审核管理制度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E13A4"/>
    <w:multiLevelType w:val="singleLevel"/>
    <w:tmpl w:val="8D6E13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C3B8FDD"/>
    <w:multiLevelType w:val="singleLevel"/>
    <w:tmpl w:val="AC3B8F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E79AE4C"/>
    <w:multiLevelType w:val="singleLevel"/>
    <w:tmpl w:val="BE79AE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BAB79"/>
    <w:multiLevelType w:val="singleLevel"/>
    <w:tmpl w:val="BE8BAB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F48E4F4"/>
    <w:multiLevelType w:val="singleLevel"/>
    <w:tmpl w:val="CF48E4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25C43C5"/>
    <w:multiLevelType w:val="singleLevel"/>
    <w:tmpl w:val="D25C43C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DB1CC0C6"/>
    <w:multiLevelType w:val="singleLevel"/>
    <w:tmpl w:val="DB1CC0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1DB900F"/>
    <w:multiLevelType w:val="singleLevel"/>
    <w:tmpl w:val="11DB900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4972AE3A"/>
    <w:multiLevelType w:val="singleLevel"/>
    <w:tmpl w:val="4972AE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EAC7345"/>
    <w:multiLevelType w:val="singleLevel"/>
    <w:tmpl w:val="7EAC73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0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2"/>
  </w:compat>
  <w:rsids>
    <w:rsidRoot w:val="00CD26C4"/>
    <w:rsid w:val="00171349"/>
    <w:rsid w:val="00CD26C4"/>
    <w:rsid w:val="102313C5"/>
    <w:rsid w:val="1DF4614E"/>
    <w:rsid w:val="393C6591"/>
    <w:rsid w:val="47CB7671"/>
    <w:rsid w:val="50D069AD"/>
    <w:rsid w:val="70172CD7"/>
    <w:rsid w:val="71B66B18"/>
    <w:rsid w:val="7ED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3"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批注框文本 Char"/>
    <w:basedOn w:val="23"/>
    <w:link w:val="14"/>
    <w:uiPriority w:val="0"/>
    <w:rPr>
      <w:rFonts w:eastAsia="宋体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2305</Words>
  <Characters>2440</Characters>
  <Lines>27</Lines>
  <Paragraphs>7</Paragraphs>
  <TotalTime>2</TotalTime>
  <ScaleCrop>false</ScaleCrop>
  <LinksUpToDate>false</LinksUpToDate>
  <CharactersWithSpaces>2560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2025-08-18T17:51:00Z</dcterms:created>
  <dc:creator>Administrator</dc:creator>
  <cp:lastModifiedBy>郝宇</cp:lastModifiedBy>
  <dcterms:modified xsi:type="dcterms:W3CDTF">2026-04-15T17:14:01Z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2025-08-20T23:31:54Z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008734E4083E4562837FA60E5DA0888E_12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