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89780">
      <w:pPr>
        <w:pStyle w:val="32"/>
        <w:spacing w:after="1440"/>
        <w:rPr>
          <w:rFonts w:hint="default"/>
        </w:rPr>
      </w:pPr>
    </w:p>
    <w:p w14:paraId="58829B0E">
      <w:pPr>
        <w:pStyle w:val="32"/>
        <w:spacing w:after="1440"/>
        <w:rPr>
          <w:rFonts w:hint="default"/>
        </w:rPr>
      </w:pPr>
    </w:p>
    <w:p w14:paraId="2EE411C1">
      <w:pPr>
        <w:pStyle w:val="32"/>
        <w:spacing w:after="1440"/>
        <w:rPr>
          <w:rFonts w:hint="default"/>
        </w:rPr>
      </w:pPr>
      <w:bookmarkStart w:id="0" w:name="_Toc31851"/>
      <w:r>
        <w:rPr>
          <w:rFonts w:hint="eastAsia"/>
          <w:lang w:val="en-US" w:eastAsia="zh-CN"/>
        </w:rPr>
        <w:t>2025年度</w:t>
      </w:r>
      <w:r>
        <w:t>管理评审报告</w:t>
      </w:r>
      <w:bookmarkEnd w:id="0"/>
    </w:p>
    <w:p w14:paraId="36A376DF">
      <w:pPr>
        <w:pStyle w:val="33"/>
        <w:spacing w:after="2160"/>
      </w:pPr>
      <w:bookmarkStart w:id="1" w:name="_Toc12553"/>
      <w:r>
        <w:t>江苏云储智能科技有限公司</w:t>
      </w:r>
      <w:bookmarkEnd w:id="1"/>
    </w:p>
    <w:p w14:paraId="643507DD">
      <w:pPr>
        <w:spacing w:before="117" w:line="219" w:lineRule="auto"/>
        <w:jc w:val="center"/>
        <w:rPr>
          <w:rFonts w:ascii="宋体" w:hAnsi="宋体" w:cs="宋体"/>
          <w:spacing w:val="-1"/>
          <w:sz w:val="36"/>
          <w:szCs w:val="36"/>
          <w:lang w:eastAsia="zh-CN"/>
        </w:rPr>
      </w:pPr>
      <w:r>
        <w:rPr>
          <w:rFonts w:hint="eastAsia" w:ascii="宋体" w:hAnsi="宋体" w:cs="宋体"/>
          <w:spacing w:val="-1"/>
          <w:sz w:val="36"/>
          <w:szCs w:val="36"/>
          <w:lang w:eastAsia="zh-CN"/>
        </w:rPr>
        <w:t>2025年12月20日</w:t>
      </w:r>
    </w:p>
    <w:p w14:paraId="3E55BE12">
      <w:pPr>
        <w:spacing w:line="219" w:lineRule="auto"/>
        <w:rPr>
          <w:rFonts w:ascii="宋体" w:hAnsi="宋体" w:cs="宋体"/>
          <w:sz w:val="36"/>
          <w:szCs w:val="36"/>
        </w:rPr>
        <w:sectPr>
          <w:headerReference r:id="rId5" w:type="default"/>
          <w:footerReference r:id="rId6" w:type="default"/>
          <w:pgSz w:w="11906" w:h="16839"/>
          <w:pgMar w:top="1105" w:right="1151" w:bottom="1360" w:left="1672" w:header="1090" w:footer="1344" w:gutter="0"/>
          <w:cols w:space="720" w:num="1"/>
        </w:sectPr>
      </w:pPr>
    </w:p>
    <w:p w14:paraId="048DD295">
      <w:pPr>
        <w:spacing w:before="91" w:line="220" w:lineRule="auto"/>
        <w:ind w:left="3811"/>
        <w:outlineLvl w:val="0"/>
        <w:rPr>
          <w:rFonts w:ascii="宋体" w:hAnsi="宋体" w:cs="宋体"/>
          <w:sz w:val="28"/>
          <w:szCs w:val="28"/>
        </w:rPr>
      </w:pPr>
      <w:bookmarkStart w:id="2" w:name="_Toc8540"/>
      <w:r>
        <w:rPr>
          <w:rFonts w:ascii="宋体" w:hAnsi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5"/>
        <w:tblW w:w="91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1697"/>
        <w:gridCol w:w="2342"/>
        <w:gridCol w:w="1983"/>
        <w:gridCol w:w="1564"/>
      </w:tblGrid>
      <w:tr w14:paraId="45587F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  <w:jc w:val="center"/>
        </w:trPr>
        <w:tc>
          <w:tcPr>
            <w:tcW w:w="1564" w:type="dxa"/>
            <w:vAlign w:val="center"/>
          </w:tcPr>
          <w:p w14:paraId="4D7F87AA">
            <w:pPr>
              <w:pStyle w:val="26"/>
              <w:spacing w:before="125" w:line="325" w:lineRule="auto"/>
              <w:ind w:right="251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586" w:type="dxa"/>
            <w:gridSpan w:val="4"/>
            <w:vAlign w:val="center"/>
          </w:tcPr>
          <w:p w14:paraId="1F37F8A4">
            <w:pPr>
              <w:pStyle w:val="26"/>
              <w:spacing w:before="78" w:line="218" w:lineRule="auto"/>
              <w:ind w:left="115"/>
            </w:pPr>
            <w:r>
              <w:rPr>
                <w:spacing w:val="-1"/>
              </w:rPr>
              <w:t>管理评审报告（JSYC-ITSS-GLPSBG）</w:t>
            </w:r>
          </w:p>
        </w:tc>
      </w:tr>
      <w:tr w14:paraId="2B176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4" w:type="dxa"/>
            <w:vAlign w:val="center"/>
          </w:tcPr>
          <w:p w14:paraId="0520317A">
            <w:pPr>
              <w:pStyle w:val="26"/>
              <w:spacing w:before="182" w:line="220" w:lineRule="auto"/>
              <w:ind w:left="114"/>
            </w:pPr>
            <w:r>
              <w:rPr>
                <w:spacing w:val="-3"/>
              </w:rPr>
              <w:t>编制单位</w:t>
            </w:r>
          </w:p>
        </w:tc>
        <w:tc>
          <w:tcPr>
            <w:tcW w:w="7586" w:type="dxa"/>
            <w:gridSpan w:val="4"/>
            <w:vAlign w:val="center"/>
          </w:tcPr>
          <w:p w14:paraId="6282A68C">
            <w:pPr>
              <w:pStyle w:val="26"/>
              <w:spacing w:before="182" w:line="219" w:lineRule="auto"/>
              <w:ind w:left="109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46DB3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4" w:type="dxa"/>
            <w:vAlign w:val="center"/>
          </w:tcPr>
          <w:p w14:paraId="5691612B">
            <w:pPr>
              <w:pStyle w:val="26"/>
              <w:spacing w:before="184" w:line="220" w:lineRule="auto"/>
              <w:ind w:left="114"/>
            </w:pPr>
            <w:r>
              <w:rPr>
                <w:spacing w:val="-3"/>
              </w:rPr>
              <w:t>文档密级</w:t>
            </w:r>
          </w:p>
        </w:tc>
        <w:tc>
          <w:tcPr>
            <w:tcW w:w="7586" w:type="dxa"/>
            <w:gridSpan w:val="4"/>
            <w:vAlign w:val="center"/>
          </w:tcPr>
          <w:p w14:paraId="4D23D94E">
            <w:pPr>
              <w:pStyle w:val="26"/>
              <w:spacing w:before="184" w:line="220" w:lineRule="auto"/>
              <w:ind w:left="108"/>
            </w:pPr>
            <w:r>
              <w:rPr>
                <w:spacing w:val="-3"/>
              </w:rPr>
              <w:t>秘密</w:t>
            </w:r>
          </w:p>
        </w:tc>
      </w:tr>
      <w:tr w14:paraId="611A96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4" w:type="dxa"/>
            <w:vAlign w:val="center"/>
          </w:tcPr>
          <w:p w14:paraId="59813AC4">
            <w:pPr>
              <w:pStyle w:val="26"/>
              <w:spacing w:before="186" w:line="219" w:lineRule="auto"/>
              <w:ind w:left="306"/>
            </w:pPr>
            <w:r>
              <w:rPr>
                <w:spacing w:val="-3"/>
              </w:rPr>
              <w:t>文档版本</w:t>
            </w:r>
          </w:p>
        </w:tc>
        <w:tc>
          <w:tcPr>
            <w:tcW w:w="1697" w:type="dxa"/>
            <w:vAlign w:val="center"/>
          </w:tcPr>
          <w:p w14:paraId="4DB43AD9">
            <w:pPr>
              <w:pStyle w:val="26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2" w:type="dxa"/>
            <w:vAlign w:val="center"/>
          </w:tcPr>
          <w:p w14:paraId="09D9E6C2">
            <w:pPr>
              <w:pStyle w:val="26"/>
              <w:spacing w:before="186" w:line="219" w:lineRule="auto"/>
              <w:ind w:left="696"/>
            </w:pPr>
            <w:r>
              <w:rPr>
                <w:spacing w:val="-2"/>
              </w:rPr>
              <w:t>版本说明</w:t>
            </w:r>
          </w:p>
        </w:tc>
        <w:tc>
          <w:tcPr>
            <w:tcW w:w="1983" w:type="dxa"/>
            <w:vAlign w:val="center"/>
          </w:tcPr>
          <w:p w14:paraId="4CDB4A6F">
            <w:pPr>
              <w:pStyle w:val="26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4" w:type="dxa"/>
            <w:vAlign w:val="center"/>
          </w:tcPr>
          <w:p w14:paraId="4C0A6E09">
            <w:pPr>
              <w:pStyle w:val="26"/>
              <w:spacing w:before="187" w:line="220" w:lineRule="auto"/>
              <w:ind w:left="560"/>
            </w:pPr>
            <w:r>
              <w:rPr>
                <w:spacing w:val="-6"/>
              </w:rPr>
              <w:t>审核</w:t>
            </w:r>
          </w:p>
        </w:tc>
      </w:tr>
      <w:tr w14:paraId="597D5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1564" w:type="dxa"/>
            <w:vAlign w:val="center"/>
          </w:tcPr>
          <w:p w14:paraId="76DBD375">
            <w:pPr>
              <w:pStyle w:val="26"/>
              <w:spacing w:before="162" w:line="239" w:lineRule="auto"/>
              <w:ind w:left="539"/>
            </w:pPr>
            <w:r>
              <w:rPr>
                <w:spacing w:val="-1"/>
              </w:rPr>
              <w:t>V1.0</w:t>
            </w:r>
          </w:p>
        </w:tc>
        <w:tc>
          <w:tcPr>
            <w:tcW w:w="1697" w:type="dxa"/>
            <w:vAlign w:val="center"/>
          </w:tcPr>
          <w:p w14:paraId="2D8E3652">
            <w:pPr>
              <w:pStyle w:val="26"/>
              <w:spacing w:before="162"/>
              <w:ind w:left="313"/>
              <w:rPr>
                <w:lang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20</w:t>
            </w:r>
          </w:p>
        </w:tc>
        <w:tc>
          <w:tcPr>
            <w:tcW w:w="2342" w:type="dxa"/>
            <w:vAlign w:val="center"/>
          </w:tcPr>
          <w:p w14:paraId="0BF5CB81">
            <w:pPr>
              <w:pStyle w:val="26"/>
              <w:spacing w:before="128" w:line="219" w:lineRule="auto"/>
              <w:ind w:left="699"/>
            </w:pPr>
            <w:r>
              <w:rPr>
                <w:spacing w:val="-3"/>
              </w:rPr>
              <w:t>发布版本</w:t>
            </w:r>
          </w:p>
        </w:tc>
        <w:tc>
          <w:tcPr>
            <w:tcW w:w="1983" w:type="dxa"/>
            <w:vAlign w:val="center"/>
          </w:tcPr>
          <w:p w14:paraId="1E18647D">
            <w:pPr>
              <w:pStyle w:val="26"/>
              <w:spacing w:before="128" w:line="220" w:lineRule="auto"/>
              <w:ind w:left="63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  <w:tc>
          <w:tcPr>
            <w:tcW w:w="1564" w:type="dxa"/>
            <w:vAlign w:val="center"/>
          </w:tcPr>
          <w:p w14:paraId="46423469">
            <w:pPr>
              <w:pStyle w:val="26"/>
              <w:spacing w:before="128" w:line="220" w:lineRule="auto"/>
              <w:ind w:left="433"/>
            </w:pPr>
            <w:r>
              <w:rPr>
                <w:spacing w:val="-4"/>
              </w:rPr>
              <w:t>史晓玲</w:t>
            </w:r>
          </w:p>
        </w:tc>
      </w:tr>
      <w:tr w14:paraId="464A3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564" w:type="dxa"/>
          </w:tcPr>
          <w:p w14:paraId="40D52782"/>
        </w:tc>
        <w:tc>
          <w:tcPr>
            <w:tcW w:w="1697" w:type="dxa"/>
          </w:tcPr>
          <w:p w14:paraId="6E92797C"/>
        </w:tc>
        <w:tc>
          <w:tcPr>
            <w:tcW w:w="2342" w:type="dxa"/>
          </w:tcPr>
          <w:p w14:paraId="4D8EE91E"/>
        </w:tc>
        <w:tc>
          <w:tcPr>
            <w:tcW w:w="1983" w:type="dxa"/>
          </w:tcPr>
          <w:p w14:paraId="4A3C67EB"/>
        </w:tc>
        <w:tc>
          <w:tcPr>
            <w:tcW w:w="1564" w:type="dxa"/>
          </w:tcPr>
          <w:p w14:paraId="3470AF6E"/>
        </w:tc>
      </w:tr>
      <w:tr w14:paraId="52327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564" w:type="dxa"/>
          </w:tcPr>
          <w:p w14:paraId="601BEB76"/>
        </w:tc>
        <w:tc>
          <w:tcPr>
            <w:tcW w:w="1697" w:type="dxa"/>
          </w:tcPr>
          <w:p w14:paraId="195114DD"/>
        </w:tc>
        <w:tc>
          <w:tcPr>
            <w:tcW w:w="2342" w:type="dxa"/>
          </w:tcPr>
          <w:p w14:paraId="6CFA2E25"/>
        </w:tc>
        <w:tc>
          <w:tcPr>
            <w:tcW w:w="1983" w:type="dxa"/>
          </w:tcPr>
          <w:p w14:paraId="2AAB01F8"/>
        </w:tc>
        <w:tc>
          <w:tcPr>
            <w:tcW w:w="1564" w:type="dxa"/>
          </w:tcPr>
          <w:p w14:paraId="1A32E534"/>
        </w:tc>
      </w:tr>
    </w:tbl>
    <w:p w14:paraId="51A3711D">
      <w:pPr>
        <w:pStyle w:val="12"/>
      </w:pPr>
    </w:p>
    <w:p w14:paraId="289420C6">
      <w:pPr>
        <w:sectPr>
          <w:headerReference r:id="rId7" w:type="default"/>
          <w:footerReference r:id="rId8" w:type="default"/>
          <w:pgSz w:w="11906" w:h="16839"/>
          <w:pgMar w:top="400" w:right="1150" w:bottom="1233" w:left="1595" w:header="0" w:footer="1070" w:gutter="0"/>
          <w:cols w:space="720" w:num="1"/>
        </w:sectPr>
      </w:pPr>
    </w:p>
    <w:sdt>
      <w:sdtPr>
        <w:rPr>
          <w:rFonts w:ascii="宋体" w:hAnsi="宋体"/>
        </w:rPr>
        <w:id w:val="14745889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z w:val="24"/>
          <w:szCs w:val="24"/>
        </w:rPr>
      </w:sdtEndPr>
      <w:sdtContent>
        <w:p w14:paraId="2F8BF7C3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7EDF38AC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cs="Microsoft JhengHei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cs="Microsoft JhengHei"/>
              <w:szCs w:val="24"/>
            </w:rPr>
            <w:fldChar w:fldCharType="separate"/>
          </w:r>
          <w:r>
            <w:rPr>
              <w:rFonts w:hint="eastAsia" w:ascii="Microsoft JhengHei" w:hAnsi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cs="Microsoft JhengHei"/>
              <w:szCs w:val="24"/>
            </w:rPr>
            <w:instrText xml:space="preserve"> HYPERLINK \l _Toc31851 </w:instrText>
          </w:r>
          <w:r>
            <w:rPr>
              <w:rFonts w:hint="eastAsia" w:ascii="Microsoft JhengHei" w:hAnsi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</w:t>
          </w:r>
          <w:r>
            <w:t>管理评审报告</w:t>
          </w:r>
          <w:r>
            <w:tab/>
          </w:r>
          <w:r>
            <w:fldChar w:fldCharType="begin"/>
          </w:r>
          <w:r>
            <w:instrText xml:space="preserve"> PAGEREF _Toc31851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cs="Microsoft JhengHei"/>
              <w:szCs w:val="24"/>
            </w:rPr>
            <w:fldChar w:fldCharType="end"/>
          </w:r>
        </w:p>
        <w:p w14:paraId="62831990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_Toc12553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_Toc12553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97BC64B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_Toc8540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_Toc8540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D668CCC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_Toc11980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审核目的</w:t>
          </w:r>
          <w:r>
            <w:tab/>
          </w:r>
          <w:r>
            <w:fldChar w:fldCharType="begin"/>
          </w:r>
          <w:r>
            <w:instrText xml:space="preserve"> PAGEREF _Toc11980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B739372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_Toc4213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审核依据</w:t>
          </w:r>
          <w:r>
            <w:tab/>
          </w:r>
          <w:r>
            <w:fldChar w:fldCharType="begin"/>
          </w:r>
          <w:r>
            <w:instrText xml:space="preserve"> PAGEREF _Toc4213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C78502B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_Toc7678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参会人员</w:t>
          </w:r>
          <w:r>
            <w:tab/>
          </w:r>
          <w:r>
            <w:fldChar w:fldCharType="begin"/>
          </w:r>
          <w:r>
            <w:instrText xml:space="preserve"> PAGEREF _Toc7678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3AD5F49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_Toc11400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评审主要步骤</w:t>
          </w:r>
          <w:r>
            <w:tab/>
          </w:r>
          <w:r>
            <w:fldChar w:fldCharType="begin"/>
          </w:r>
          <w:r>
            <w:instrText xml:space="preserve"> PAGEREF _Toc11400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746DA7C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_Toc12140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评审内容</w:t>
          </w:r>
          <w:r>
            <w:tab/>
          </w:r>
          <w:r>
            <w:fldChar w:fldCharType="begin"/>
          </w:r>
          <w:r>
            <w:instrText xml:space="preserve"> PAGEREF _Toc12140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00114C0">
          <w:pPr>
            <w:pStyle w:val="17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_Toc24421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评审结论</w:t>
          </w:r>
          <w:r>
            <w:tab/>
          </w:r>
          <w:r>
            <w:fldChar w:fldCharType="begin"/>
          </w:r>
          <w:r>
            <w:instrText xml:space="preserve"> PAGEREF _Toc24421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49689FE">
          <w:pPr>
            <w:pStyle w:val="18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_Toc6392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运维能力体系运行的适宜性、有效性评审</w:t>
          </w:r>
          <w:r>
            <w:tab/>
          </w:r>
          <w:r>
            <w:fldChar w:fldCharType="begin"/>
          </w:r>
          <w:r>
            <w:instrText xml:space="preserve"> PAGEREF _Toc6392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AE4F711">
          <w:pPr>
            <w:pStyle w:val="18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_Toc30071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2025年质量内部审核评审</w:t>
          </w:r>
          <w:r>
            <w:tab/>
          </w:r>
          <w:r>
            <w:fldChar w:fldCharType="begin"/>
          </w:r>
          <w:r>
            <w:instrText xml:space="preserve"> PAGEREF _Toc30071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B25B32D">
          <w:pPr>
            <w:pStyle w:val="18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_Toc21316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满意度调查评审</w:t>
          </w:r>
          <w:r>
            <w:tab/>
          </w:r>
          <w:r>
            <w:fldChar w:fldCharType="begin"/>
          </w:r>
          <w:r>
            <w:instrText xml:space="preserve"> PAGEREF _Toc21316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8300BF6">
          <w:pPr>
            <w:pStyle w:val="18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_Toc29484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客户投诉情况评审</w:t>
          </w:r>
          <w:r>
            <w:tab/>
          </w:r>
          <w:r>
            <w:fldChar w:fldCharType="begin"/>
          </w:r>
          <w:r>
            <w:instrText xml:space="preserve"> PAGEREF _Toc29484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38BEDA3">
          <w:pPr>
            <w:pStyle w:val="18"/>
            <w:tabs>
              <w:tab w:val="right" w:leader="dot" w:pos="848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_Toc28152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_Toc28152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6945ADB">
          <w:pPr>
            <w:spacing w:line="220" w:lineRule="auto"/>
            <w:rPr>
              <w:rFonts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797FC615">
      <w:pPr>
        <w:spacing w:line="220" w:lineRule="auto"/>
        <w:rPr>
          <w:rFonts w:ascii="Microsoft JhengHei" w:hAnsi="Microsoft JhengHei" w:eastAsia="Microsoft JhengHei" w:cs="Microsoft JhengHei"/>
          <w:sz w:val="24"/>
          <w:szCs w:val="24"/>
        </w:rPr>
        <w:sectPr>
          <w:footerReference r:id="rId9" w:type="default"/>
          <w:pgSz w:w="11906" w:h="16839"/>
          <w:pgMar w:top="1040" w:right="1710" w:bottom="1234" w:left="1709" w:header="0" w:footer="1070" w:gutter="0"/>
          <w:cols w:space="720" w:num="1"/>
        </w:sectPr>
      </w:pPr>
    </w:p>
    <w:p w14:paraId="1B268451">
      <w:pPr>
        <w:pStyle w:val="27"/>
      </w:pPr>
      <w:bookmarkStart w:id="3" w:name="_Toc11980"/>
      <w:r>
        <w:t>审核目的</w:t>
      </w:r>
      <w:bookmarkEnd w:id="3"/>
    </w:p>
    <w:p w14:paraId="245810C2">
      <w:pPr>
        <w:ind w:firstLine="472" w:firstLineChars="200"/>
        <w:rPr>
          <w:rFonts w:ascii="宋体" w:hAnsi="宋体" w:cs="宋体"/>
          <w:spacing w:val="-2"/>
          <w:sz w:val="24"/>
          <w:szCs w:val="24"/>
        </w:rPr>
      </w:pPr>
      <w:r>
        <w:rPr>
          <w:rFonts w:ascii="宋体" w:hAnsi="宋体" w:cs="宋体"/>
          <w:spacing w:val="-2"/>
          <w:sz w:val="24"/>
          <w:szCs w:val="24"/>
        </w:rPr>
        <w:t>对公司运维能力体系运行现状进行评审，评价其持续的适宜性和有效性。</w:t>
      </w:r>
    </w:p>
    <w:p w14:paraId="0181EDE6">
      <w:pPr>
        <w:pStyle w:val="27"/>
      </w:pPr>
      <w:bookmarkStart w:id="4" w:name="_Toc4213"/>
      <w:r>
        <w:t>审核依据</w:t>
      </w:r>
      <w:bookmarkEnd w:id="4"/>
    </w:p>
    <w:p w14:paraId="3BF8204D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</w:rPr>
        <w:t>T/CESA 1299—2023《信息技术服务 运行维护服务能力成熟度模型》</w:t>
      </w:r>
    </w:p>
    <w:p w14:paraId="4C805330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</w:rPr>
        <w:t>GB/ T 28827.1-20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2</w:t>
      </w:r>
      <w:r>
        <w:rPr>
          <w:rFonts w:hint="eastAsia" w:ascii="宋体" w:hAnsi="宋体" w:cs="宋体"/>
          <w:spacing w:val="-1"/>
          <w:sz w:val="24"/>
          <w:szCs w:val="24"/>
        </w:rPr>
        <w:t>2《信息技术服务 运行维护 第 1 部分：通用要求》</w:t>
      </w:r>
    </w:p>
    <w:p w14:paraId="2F708EE8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</w:rPr>
        <w:t>GB/ T 29264-2012 《信息技术服务 分类与代码》</w:t>
      </w:r>
    </w:p>
    <w:p w14:paraId="6B306365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</w:rPr>
        <w:t>GB/ T 28827.2-2012 《信息技术服务 运行维护 第 2 部分:交付规范》</w:t>
      </w:r>
    </w:p>
    <w:p w14:paraId="41152BF1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</w:rPr>
        <w:t>GB/  T 28827.3-2012 《信息技术服务 运行维护 第 3 部分:应急响应规范》</w:t>
      </w:r>
    </w:p>
    <w:p w14:paraId="22212017">
      <w:pPr>
        <w:numPr>
          <w:ilvl w:val="0"/>
          <w:numId w:val="2"/>
        </w:numPr>
        <w:rPr>
          <w:rFonts w:ascii="宋体" w:hAnsi="宋体" w:cs="宋体"/>
          <w:spacing w:val="-1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</w:rPr>
        <w:t>国家有关法律、法规及行业标准</w:t>
      </w:r>
    </w:p>
    <w:p w14:paraId="5EFBAB30">
      <w:pPr>
        <w:pStyle w:val="27"/>
      </w:pPr>
      <w:bookmarkStart w:id="5" w:name="_Toc7678"/>
      <w:r>
        <w:t>参会人员</w:t>
      </w:r>
      <w:bookmarkEnd w:id="5"/>
    </w:p>
    <w:p w14:paraId="178E723C">
      <w:pPr>
        <w:ind w:left="478" w:hanging="476" w:hangingChars="200"/>
        <w:rPr>
          <w:rFonts w:ascii="宋体" w:hAnsi="宋体" w:cs="宋体"/>
          <w:spacing w:val="-1"/>
          <w:sz w:val="24"/>
          <w:szCs w:val="24"/>
          <w:lang w:eastAsia="zh-CN"/>
        </w:rPr>
      </w:pPr>
      <w:r>
        <w:rPr>
          <w:rFonts w:hint="eastAsia" w:ascii="宋体" w:hAnsi="宋体" w:cs="宋体"/>
          <w:spacing w:val="-1"/>
          <w:sz w:val="24"/>
          <w:szCs w:val="24"/>
        </w:rPr>
        <w:t>组长：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郑云</w:t>
      </w:r>
    </w:p>
    <w:p w14:paraId="3C427BC2">
      <w:pPr>
        <w:ind w:left="478" w:hanging="476" w:hangingChars="200"/>
        <w:rPr>
          <w:rFonts w:ascii="宋体" w:hAnsi="宋体" w:cs="宋体"/>
          <w:spacing w:val="-1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</w:rPr>
        <w:t>组员：孙凯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、王朋、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张扬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、唐雪珊</w:t>
      </w:r>
    </w:p>
    <w:p w14:paraId="51CED4C4">
      <w:pPr>
        <w:pStyle w:val="27"/>
      </w:pPr>
      <w:bookmarkStart w:id="6" w:name="_Toc11400"/>
      <w:r>
        <w:t>评审主要步骤</w:t>
      </w:r>
      <w:bookmarkEnd w:id="6"/>
    </w:p>
    <w:p w14:paraId="7264EBA3">
      <w:pPr>
        <w:numPr>
          <w:ilvl w:val="0"/>
          <w:numId w:val="3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>质量部汇总公司IT运维服务管理指标、管理能力情况、体系实施情况、客户满意度调查结果、内审报告、不符合项报告及其关闭材料等；</w:t>
      </w:r>
    </w:p>
    <w:p w14:paraId="6514A616">
      <w:pPr>
        <w:numPr>
          <w:ilvl w:val="0"/>
          <w:numId w:val="3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>公司管理层对管理评审材料进行审核并签署评审意见；</w:t>
      </w:r>
    </w:p>
    <w:p w14:paraId="053E57E2">
      <w:pPr>
        <w:numPr>
          <w:ilvl w:val="0"/>
          <w:numId w:val="3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>质量部负责协助管理者代表纠正各部门发现的问题，并跟踪验证纠正预防措施的执行情况；</w:t>
      </w:r>
    </w:p>
    <w:p w14:paraId="302C45BC">
      <w:pPr>
        <w:numPr>
          <w:ilvl w:val="0"/>
          <w:numId w:val="3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>总经理对管理评审报告进行审批。</w:t>
      </w:r>
    </w:p>
    <w:p w14:paraId="6FD6D06F">
      <w:pPr>
        <w:pStyle w:val="27"/>
      </w:pPr>
      <w:bookmarkStart w:id="7" w:name="_Toc12140"/>
      <w:r>
        <w:t>评审内容</w:t>
      </w:r>
      <w:bookmarkEnd w:id="7"/>
    </w:p>
    <w:p w14:paraId="43816950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  <w:lang w:eastAsia="zh-CN"/>
        </w:rPr>
      </w:pP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2025年内部审核报告</w:t>
      </w:r>
    </w:p>
    <w:p w14:paraId="28A92F9F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>各部门指标完成情况</w:t>
      </w:r>
    </w:p>
    <w:p w14:paraId="152B18FC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 xml:space="preserve"> 客户满意度调查和客户投诉情况</w:t>
      </w:r>
    </w:p>
    <w:p w14:paraId="7F9F7D27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>公司的组织结构、职责分配、资源配备的适宜性</w:t>
      </w:r>
    </w:p>
    <w:p w14:paraId="42A90C52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>体系要素及文件的适宜性</w:t>
      </w:r>
    </w:p>
    <w:p w14:paraId="0693389A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>客户及员工对运维服务能力体系的合理化建议</w:t>
      </w:r>
    </w:p>
    <w:p w14:paraId="2913D453">
      <w:pPr>
        <w:numPr>
          <w:ilvl w:val="0"/>
          <w:numId w:val="4"/>
        </w:numPr>
        <w:spacing w:before="267" w:line="301" w:lineRule="auto"/>
        <w:ind w:right="36"/>
        <w:rPr>
          <w:rFonts w:ascii="宋体" w:hAnsi="宋体" w:cs="宋体"/>
          <w:spacing w:val="-3"/>
          <w:sz w:val="24"/>
          <w:szCs w:val="24"/>
        </w:rPr>
      </w:pPr>
      <w:r>
        <w:rPr>
          <w:rFonts w:ascii="宋体" w:hAnsi="宋体" w:cs="宋体"/>
          <w:spacing w:val="-3"/>
          <w:sz w:val="24"/>
          <w:szCs w:val="24"/>
        </w:rPr>
        <w:t>其他</w:t>
      </w:r>
    </w:p>
    <w:p w14:paraId="07BCA63F">
      <w:pPr>
        <w:pStyle w:val="27"/>
      </w:pPr>
      <w:bookmarkStart w:id="8" w:name="_Toc24421"/>
      <w:r>
        <w:t>评审结论</w:t>
      </w:r>
      <w:bookmarkEnd w:id="8"/>
    </w:p>
    <w:p w14:paraId="041FE9ED">
      <w:pPr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根据各部门所提交的项目实施和部门总结资料，评审组成员经过认真的审核和讨论，就下面几项内容达成共识：</w:t>
      </w:r>
    </w:p>
    <w:p w14:paraId="6C55D26A">
      <w:pPr>
        <w:pStyle w:val="29"/>
      </w:pPr>
      <w:bookmarkStart w:id="9" w:name="_Toc6392"/>
      <w:r>
        <w:t>运维能力体系运行的适宜性、有效性评审</w:t>
      </w:r>
      <w:bookmarkEnd w:id="9"/>
    </w:p>
    <w:p w14:paraId="4796E988">
      <w:pPr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我公司运维能力体系自建设和运行以来，公司的运维服务能力和项目服务质量有了明显的提高。由于在管理和服务过程中明确了相关标准，整合了公司的组织架构，搭建了相关体系，完善了过程的可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追溯</w:t>
      </w:r>
      <w:r>
        <w:rPr>
          <w:rFonts w:ascii="宋体" w:hAnsi="宋体" w:cs="宋体"/>
          <w:sz w:val="24"/>
          <w:szCs w:val="24"/>
        </w:rPr>
        <w:t>性，明确了各部门及各岗位的职责，使得公司的职责权限更加合理分明，业务流程更加顺畅。</w:t>
      </w:r>
    </w:p>
    <w:p w14:paraId="0EA5418E">
      <w:pPr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公司在2025年对全体员工加大了运维能力体系方面的培训力度，能力体系得到全体员工的理解和支持。评审认为：我公司运维能力体系提高了公司的管理水平，增强了公司的实力和竞争力，它是适宜的、充分的和有效的。</w:t>
      </w:r>
    </w:p>
    <w:p w14:paraId="7541B0A6">
      <w:pPr>
        <w:pStyle w:val="29"/>
      </w:pPr>
      <w:bookmarkStart w:id="10" w:name="_Toc30071"/>
      <w:r>
        <w:t>2025年质量内部审核评审</w:t>
      </w:r>
      <w:bookmarkEnd w:id="10"/>
    </w:p>
    <w:p w14:paraId="33F86C0C">
      <w:pPr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2025年我公司于</w:t>
      </w:r>
      <w:r>
        <w:rPr>
          <w:rFonts w:hint="eastAsia" w:ascii="宋体" w:hAnsi="宋体" w:cs="宋体"/>
          <w:sz w:val="24"/>
          <w:szCs w:val="24"/>
          <w:lang w:eastAsia="zh-CN"/>
        </w:rPr>
        <w:t>12</w:t>
      </w:r>
      <w:r>
        <w:rPr>
          <w:rFonts w:ascii="宋体" w:hAnsi="宋体" w:cs="宋体"/>
          <w:sz w:val="24"/>
          <w:szCs w:val="24"/>
        </w:rPr>
        <w:t>月组织了1次内部审核，共开出1份不符合项报告下发到相关部门，相关责任部门认真进行了原因分析，制定了相应的纠正措施。质量部在规定期限内做了实际验证，现已全部纠正完毕，全部达到运维管理体系的要求。</w:t>
      </w:r>
    </w:p>
    <w:p w14:paraId="72936EA5">
      <w:pPr>
        <w:ind w:firstLine="480" w:firstLineChars="200"/>
      </w:pPr>
      <w:r>
        <w:rPr>
          <w:rFonts w:ascii="宋体" w:hAnsi="宋体" w:cs="宋体"/>
          <w:sz w:val="24"/>
          <w:szCs w:val="24"/>
        </w:rPr>
        <w:t>通过本次审核，对我公司的运维能力体系运行情况进行了一次全面的了解及检查，发现问题并及时解决，完善了公司管理体制，提高了公司的管理水平，保证了公司的正常运作及持续发展。</w:t>
      </w:r>
    </w:p>
    <w:p w14:paraId="518066CA">
      <w:pPr>
        <w:pStyle w:val="29"/>
      </w:pPr>
      <w:bookmarkStart w:id="11" w:name="_Toc21316"/>
      <w:r>
        <w:t>满意度调查评审</w:t>
      </w:r>
      <w:bookmarkEnd w:id="11"/>
    </w:p>
    <w:p w14:paraId="67643A86">
      <w:pPr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通过项目满意度调查统计分析，公司客户满意度平均分为96分，达到了公司满意度指标要求，客户对我公司服务质量持认可态度。评审认为</w:t>
      </w:r>
      <w:bookmarkStart w:id="14" w:name="_GoBack"/>
      <w:bookmarkEnd w:id="14"/>
      <w:r>
        <w:rPr>
          <w:rFonts w:ascii="宋体" w:hAnsi="宋体" w:cs="宋体"/>
          <w:sz w:val="24"/>
          <w:szCs w:val="24"/>
        </w:rPr>
        <w:t>我公司当前项目运行情况是正常的，达到了2025年年度规划的要求。希望各部门再接再厉，不断的改进我们的工作。</w:t>
      </w:r>
    </w:p>
    <w:p w14:paraId="5426055E">
      <w:pPr>
        <w:pStyle w:val="29"/>
      </w:pPr>
      <w:bookmarkStart w:id="12" w:name="_Toc29484"/>
      <w:r>
        <w:t>客户投诉情况评审</w:t>
      </w:r>
      <w:bookmarkEnd w:id="12"/>
    </w:p>
    <w:p w14:paraId="17C2ED32">
      <w:pPr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暂无接受到任何有效投诉事件。</w:t>
      </w:r>
    </w:p>
    <w:p w14:paraId="32F3F035">
      <w:pPr>
        <w:pStyle w:val="29"/>
      </w:pPr>
      <w:bookmarkStart w:id="13" w:name="_Toc28152"/>
      <w:r>
        <w:t>结论</w:t>
      </w:r>
      <w:bookmarkEnd w:id="13"/>
    </w:p>
    <w:p w14:paraId="5C522F0C">
      <w:pPr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2025年度公司管理评审在公司各部门的积极配合下圆满地结束了，对本次管理评审公司各相关部门做了周密的安排，参加会议的各部门人员也做了充分的准备，对公司的运维管理目标进行了认真的评议，全面的总结了公司运维能力体系的运行情况，肯定了2025年质量管理体系运行的适宜性、有效性。通过这次管理评审，总结了经验，将更有力的推动公司持续发展。</w:t>
      </w:r>
    </w:p>
    <w:p w14:paraId="40CFEB97">
      <w:pPr>
        <w:ind w:firstLine="480" w:firstLineChars="200"/>
        <w:rPr>
          <w:rFonts w:ascii="宋体" w:hAnsi="宋体" w:cs="宋体"/>
          <w:sz w:val="24"/>
          <w:szCs w:val="24"/>
        </w:rPr>
      </w:pPr>
    </w:p>
    <w:p w14:paraId="3AF63F0E">
      <w:pPr>
        <w:spacing w:before="64" w:line="220" w:lineRule="auto"/>
        <w:ind w:left="22"/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评审人：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郑云</w:t>
      </w:r>
      <w:r>
        <w:rPr>
          <w:rFonts w:ascii="宋体" w:hAnsi="宋体" w:cs="宋体"/>
          <w:spacing w:val="-1"/>
          <w:sz w:val="24"/>
          <w:szCs w:val="24"/>
        </w:rPr>
        <w:t xml:space="preserve">                                审核人：史晓玲</w:t>
      </w:r>
    </w:p>
    <w:p w14:paraId="0A5EAEDA">
      <w:pPr>
        <w:spacing w:before="64" w:line="220" w:lineRule="auto"/>
        <w:ind w:left="22"/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时间： 2025年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12</w:t>
      </w:r>
      <w:r>
        <w:rPr>
          <w:rFonts w:ascii="宋体" w:hAnsi="宋体" w:cs="宋体"/>
          <w:spacing w:val="-1"/>
          <w:sz w:val="24"/>
          <w:szCs w:val="24"/>
        </w:rPr>
        <w:t>月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20</w:t>
      </w:r>
      <w:r>
        <w:rPr>
          <w:rFonts w:ascii="宋体" w:hAnsi="宋体" w:cs="宋体"/>
          <w:spacing w:val="-1"/>
          <w:sz w:val="24"/>
          <w:szCs w:val="24"/>
        </w:rPr>
        <w:t xml:space="preserve">日             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 xml:space="preserve">          </w:t>
      </w:r>
      <w:r>
        <w:rPr>
          <w:rFonts w:ascii="宋体" w:hAnsi="宋体" w:cs="宋体"/>
          <w:spacing w:val="-1"/>
          <w:sz w:val="24"/>
          <w:szCs w:val="24"/>
        </w:rPr>
        <w:t>时间： 2025年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12</w:t>
      </w:r>
      <w:r>
        <w:rPr>
          <w:rFonts w:ascii="宋体" w:hAnsi="宋体" w:cs="宋体"/>
          <w:spacing w:val="-1"/>
          <w:sz w:val="24"/>
          <w:szCs w:val="24"/>
        </w:rPr>
        <w:t>月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20</w:t>
      </w:r>
      <w:r>
        <w:rPr>
          <w:rFonts w:ascii="宋体" w:hAnsi="宋体" w:cs="宋体"/>
          <w:spacing w:val="-1"/>
          <w:sz w:val="24"/>
          <w:szCs w:val="24"/>
        </w:rPr>
        <w:t>日</w:t>
      </w:r>
    </w:p>
    <w:sectPr>
      <w:footerReference r:id="rId10" w:type="default"/>
      <w:pgSz w:w="11906" w:h="16839"/>
      <w:pgMar w:top="1040" w:right="1785" w:bottom="686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0FBAA">
    <w:pPr>
      <w:pStyle w:val="12"/>
      <w:spacing w:line="63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8992C">
    <w:pPr>
      <w:spacing w:line="166" w:lineRule="auto"/>
      <w:ind w:left="43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53F34">
    <w:pPr>
      <w:spacing w:line="167" w:lineRule="auto"/>
      <w:ind w:left="4208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A119E">
    <w:pPr>
      <w:pStyle w:val="1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AA841">
    <w:pPr>
      <w:pStyle w:val="12"/>
      <w:spacing w:line="52" w:lineRule="auto"/>
      <w:rPr>
        <w:sz w:val="2"/>
      </w:rPr>
    </w:pPr>
    <w:r>
      <w:pict>
        <v:shape id="_x0000_s4097" o:spid="_x0000_s4097" style="position:absolute;left:0pt;margin-left:83.6pt;margin-top:54.5pt;height:0.75pt;width:428.15pt;mso-position-horizontal-relative:page;mso-position-vertical-relative:page;z-index:251659264;mso-width-relative:page;mso-height-relative:page;" filled="f" coordsize="8562,15" o:allowincell="f" path="m0,7l8562,7e">
          <v:fill on="f" focussize="0,0"/>
          <v:stroke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BAB88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A5017F"/>
    <w:multiLevelType w:val="singleLevel"/>
    <w:tmpl w:val="A4A5017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AD539FE"/>
    <w:multiLevelType w:val="singleLevel"/>
    <w:tmpl w:val="1AD539FE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3">
    <w:nsid w:val="7993E6FD"/>
    <w:multiLevelType w:val="singleLevel"/>
    <w:tmpl w:val="7993E6F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characterSpacingControl w:val="doNotCompress"/>
  <w:hdrShapeDefaults>
    <o:shapelayout v:ext="edit">
      <o:idmap v:ext="edit" data="1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2"/>
  </w:compat>
  <w:rsids>
    <w:rsidRoot w:val="00517D06"/>
    <w:rsid w:val="00083584"/>
    <w:rsid w:val="004C7ADC"/>
    <w:rsid w:val="004D6CAA"/>
    <w:rsid w:val="00517D06"/>
    <w:rsid w:val="00887E49"/>
    <w:rsid w:val="009659FF"/>
    <w:rsid w:val="00F42755"/>
    <w:rsid w:val="0370464D"/>
    <w:rsid w:val="06A116ED"/>
    <w:rsid w:val="0E682AF0"/>
    <w:rsid w:val="0FE20680"/>
    <w:rsid w:val="14F81BC4"/>
    <w:rsid w:val="198509FA"/>
    <w:rsid w:val="20D90C0A"/>
    <w:rsid w:val="2F452CAE"/>
    <w:rsid w:val="330C42B3"/>
    <w:rsid w:val="37144D14"/>
    <w:rsid w:val="372F1814"/>
    <w:rsid w:val="3F071B85"/>
    <w:rsid w:val="41EA3241"/>
    <w:rsid w:val="425D3883"/>
    <w:rsid w:val="52B753C1"/>
    <w:rsid w:val="6BDA065F"/>
    <w:rsid w:val="700600F8"/>
    <w:rsid w:val="7860158C"/>
    <w:rsid w:val="7A54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Balloon Text"/>
    <w:basedOn w:val="1"/>
    <w:link w:val="43"/>
    <w:qFormat/>
    <w:uiPriority w:val="0"/>
    <w:pPr>
      <w:spacing w:line="240" w:lineRule="auto"/>
    </w:pPr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4">
    <w:name w:val="Strong"/>
    <w:basedOn w:val="23"/>
    <w:qFormat/>
    <w:uiPriority w:val="0"/>
    <w:rPr>
      <w:b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28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2">
    <w:name w:val="柴_公司名"/>
    <w:basedOn w:val="20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33">
    <w:name w:val="柴_文档名"/>
    <w:basedOn w:val="20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批注框文本 Char"/>
    <w:basedOn w:val="23"/>
    <w:link w:val="14"/>
    <w:qFormat/>
    <w:uiPriority w:val="0"/>
    <w:rPr>
      <w:rFonts w:eastAsia="宋体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1471</Words>
  <Characters>1628</Characters>
  <Lines>18</Lines>
  <Paragraphs>5</Paragraphs>
  <TotalTime>0</TotalTime>
  <ScaleCrop>false</ScaleCrop>
  <LinksUpToDate>false</LinksUpToDate>
  <CharactersWithSpaces>1767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2025-08-17T00:51:00Z</dcterms:created>
  <dc:creator>谢永刚</dc:creator>
  <cp:lastModifiedBy>郝宇</cp:lastModifiedBy>
  <dcterms:modified xsi:type="dcterms:W3CDTF">2026-04-15T17:54:57Z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2025-08-21T01:03:30Z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6AE8547ADC404C168D85BE2DE8C41801_12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