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A0548">
      <w:pPr>
        <w:pStyle w:val="32"/>
        <w:widowControl w:val="0"/>
        <w:spacing w:after="1440"/>
        <w:rPr>
          <w:rFonts w:hint="default"/>
        </w:rPr>
      </w:pPr>
    </w:p>
    <w:p w14:paraId="6671E89D">
      <w:pPr>
        <w:pStyle w:val="32"/>
        <w:widowControl w:val="0"/>
        <w:spacing w:after="1440"/>
        <w:rPr>
          <w:rFonts w:hint="default"/>
        </w:rPr>
      </w:pPr>
      <w:bookmarkStart w:id="0" w:name="_Toc27996"/>
      <w:r>
        <w:t>2025年</w:t>
      </w:r>
      <w:r>
        <w:rPr>
          <w:rFonts w:hint="eastAsia"/>
          <w:lang w:val="en-US" w:eastAsia="zh-CN"/>
        </w:rPr>
        <w:t>度</w:t>
      </w:r>
      <w:bookmarkStart w:id="14" w:name="_GoBack"/>
      <w:bookmarkEnd w:id="14"/>
      <w:r>
        <w:t>运维服务质量管理计划</w:t>
      </w:r>
      <w:bookmarkEnd w:id="0"/>
    </w:p>
    <w:p w14:paraId="207BF733">
      <w:pPr>
        <w:pStyle w:val="12"/>
        <w:widowControl w:val="0"/>
        <w:spacing w:line="251" w:lineRule="auto"/>
      </w:pPr>
    </w:p>
    <w:p w14:paraId="4F421042">
      <w:pPr>
        <w:pStyle w:val="33"/>
        <w:widowControl w:val="0"/>
        <w:spacing w:after="2160"/>
      </w:pPr>
      <w:bookmarkStart w:id="1" w:name="_Toc16884"/>
      <w:r>
        <w:t>江苏云储智能科技有限公司</w:t>
      </w:r>
      <w:bookmarkEnd w:id="1"/>
    </w:p>
    <w:p w14:paraId="197CEBBE">
      <w:pPr>
        <w:widowControl w:val="0"/>
        <w:spacing w:before="224" w:line="220" w:lineRule="auto"/>
        <w:ind w:left="2925"/>
        <w:rPr>
          <w:rFonts w:ascii="宋体" w:hAnsi="宋体" w:cs="宋体"/>
          <w:sz w:val="36"/>
          <w:szCs w:val="36"/>
        </w:rPr>
      </w:pPr>
      <w:r>
        <w:rPr>
          <w:rFonts w:ascii="宋体" w:hAnsi="宋体" w:cs="宋体"/>
          <w:spacing w:val="-12"/>
          <w:sz w:val="36"/>
          <w:szCs w:val="36"/>
        </w:rPr>
        <w:t>2025年1月</w:t>
      </w:r>
      <w:r>
        <w:rPr>
          <w:rFonts w:hint="eastAsia" w:ascii="宋体" w:hAnsi="宋体" w:cs="宋体"/>
          <w:spacing w:val="-12"/>
          <w:sz w:val="36"/>
          <w:szCs w:val="36"/>
          <w:lang w:eastAsia="zh-CN"/>
        </w:rPr>
        <w:t>5</w:t>
      </w:r>
      <w:r>
        <w:rPr>
          <w:rFonts w:ascii="宋体" w:hAnsi="宋体" w:cs="宋体"/>
          <w:spacing w:val="-12"/>
          <w:sz w:val="36"/>
          <w:szCs w:val="36"/>
        </w:rPr>
        <w:t>日</w:t>
      </w:r>
    </w:p>
    <w:p w14:paraId="2B6F65EE">
      <w:pPr>
        <w:widowControl w:val="0"/>
        <w:spacing w:line="220" w:lineRule="auto"/>
        <w:rPr>
          <w:rFonts w:ascii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0BA12CDD">
      <w:pPr>
        <w:pStyle w:val="12"/>
        <w:widowControl w:val="0"/>
        <w:spacing w:line="363" w:lineRule="auto"/>
      </w:pPr>
    </w:p>
    <w:p w14:paraId="6BAC35F8">
      <w:pPr>
        <w:widowControl w:val="0"/>
        <w:spacing w:before="91" w:line="220" w:lineRule="auto"/>
        <w:ind w:left="3620"/>
        <w:outlineLvl w:val="0"/>
        <w:rPr>
          <w:rFonts w:ascii="宋体" w:hAnsi="宋体" w:cs="宋体"/>
          <w:sz w:val="28"/>
          <w:szCs w:val="28"/>
        </w:rPr>
      </w:pPr>
      <w:bookmarkStart w:id="2" w:name="_Toc7144"/>
      <w:r>
        <w:rPr>
          <w:rFonts w:ascii="宋体" w:hAnsi="宋体" w:cs="宋体"/>
          <w:spacing w:val="-3"/>
          <w:sz w:val="28"/>
          <w:szCs w:val="28"/>
        </w:rPr>
        <w:t>文档信息</w:t>
      </w:r>
      <w:bookmarkEnd w:id="2"/>
    </w:p>
    <w:p w14:paraId="11F612F4">
      <w:pPr>
        <w:widowControl w:val="0"/>
        <w:spacing w:line="131" w:lineRule="exact"/>
      </w:pPr>
    </w:p>
    <w:tbl>
      <w:tblPr>
        <w:tblStyle w:val="25"/>
        <w:tblW w:w="9071" w:type="dxa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44"/>
        <w:gridCol w:w="2271"/>
        <w:gridCol w:w="1557"/>
        <w:gridCol w:w="1953"/>
      </w:tblGrid>
      <w:tr w14:paraId="00D1B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11" w:hRule="atLeast"/>
        </w:trPr>
        <w:tc>
          <w:tcPr>
            <w:tcW w:w="1846" w:type="dxa"/>
          </w:tcPr>
          <w:p w14:paraId="05BAFF5F">
            <w:pPr>
              <w:pStyle w:val="26"/>
              <w:widowControl w:val="0"/>
              <w:spacing w:before="185" w:line="220" w:lineRule="auto"/>
              <w:ind w:left="207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7C7F4AEF">
            <w:pPr>
              <w:pStyle w:val="26"/>
              <w:widowControl w:val="0"/>
              <w:spacing w:before="185" w:line="218" w:lineRule="auto"/>
              <w:ind w:left="112"/>
            </w:pPr>
            <w:r>
              <w:t>2025年运维服务质量管理计划（JSYC-IT</w:t>
            </w:r>
            <w:r>
              <w:rPr>
                <w:spacing w:val="-1"/>
              </w:rPr>
              <w:t>SS-YWFWZLGLJH）</w:t>
            </w:r>
          </w:p>
        </w:tc>
      </w:tr>
      <w:tr w14:paraId="78FEC1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68529F45">
            <w:pPr>
              <w:pStyle w:val="26"/>
              <w:widowControl w:val="0"/>
              <w:spacing w:before="182" w:line="220" w:lineRule="auto"/>
              <w:ind w:left="447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708194BE">
            <w:pPr>
              <w:pStyle w:val="26"/>
              <w:widowControl w:val="0"/>
              <w:spacing w:before="182" w:line="219" w:lineRule="auto"/>
              <w:ind w:left="109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0F6B2B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34CAEA98">
            <w:pPr>
              <w:pStyle w:val="26"/>
              <w:widowControl w:val="0"/>
              <w:spacing w:before="184" w:line="219" w:lineRule="auto"/>
              <w:ind w:left="447"/>
            </w:pPr>
            <w:r>
              <w:rPr>
                <w:spacing w:val="-3"/>
              </w:rPr>
              <w:t>文档版本</w:t>
            </w:r>
          </w:p>
        </w:tc>
        <w:tc>
          <w:tcPr>
            <w:tcW w:w="1444" w:type="dxa"/>
          </w:tcPr>
          <w:p w14:paraId="7B406000">
            <w:pPr>
              <w:pStyle w:val="26"/>
              <w:widowControl w:val="0"/>
              <w:spacing w:before="184" w:line="219" w:lineRule="auto"/>
              <w:ind w:left="245"/>
            </w:pPr>
            <w:r>
              <w:rPr>
                <w:spacing w:val="-2"/>
              </w:rPr>
              <w:t>版本日期</w:t>
            </w:r>
          </w:p>
        </w:tc>
        <w:tc>
          <w:tcPr>
            <w:tcW w:w="2271" w:type="dxa"/>
          </w:tcPr>
          <w:p w14:paraId="7BFB6B4E">
            <w:pPr>
              <w:pStyle w:val="26"/>
              <w:widowControl w:val="0"/>
              <w:spacing w:before="184" w:line="219" w:lineRule="auto"/>
              <w:ind w:left="661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7FD1D234">
            <w:pPr>
              <w:pStyle w:val="26"/>
              <w:widowControl w:val="0"/>
              <w:spacing w:before="185" w:line="220" w:lineRule="auto"/>
              <w:ind w:left="546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21B00F35">
            <w:pPr>
              <w:pStyle w:val="26"/>
              <w:widowControl w:val="0"/>
              <w:spacing w:before="185" w:line="220" w:lineRule="auto"/>
              <w:ind w:left="755"/>
            </w:pPr>
            <w:r>
              <w:rPr>
                <w:spacing w:val="-6"/>
              </w:rPr>
              <w:t>审核</w:t>
            </w:r>
          </w:p>
        </w:tc>
      </w:tr>
      <w:tr w14:paraId="7406E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094D7332">
            <w:pPr>
              <w:pStyle w:val="26"/>
              <w:widowControl w:val="0"/>
              <w:spacing w:before="154" w:line="238" w:lineRule="auto"/>
              <w:ind w:left="680"/>
            </w:pPr>
            <w:r>
              <w:rPr>
                <w:spacing w:val="-1"/>
              </w:rPr>
              <w:t>V1.0</w:t>
            </w:r>
          </w:p>
        </w:tc>
        <w:tc>
          <w:tcPr>
            <w:tcW w:w="1444" w:type="dxa"/>
          </w:tcPr>
          <w:p w14:paraId="39B22A73">
            <w:pPr>
              <w:pStyle w:val="26"/>
              <w:widowControl w:val="0"/>
              <w:spacing w:before="154" w:line="238" w:lineRule="auto"/>
              <w:ind w:left="247"/>
              <w:rPr>
                <w:lang w:eastAsia="zh-CN"/>
              </w:rPr>
            </w:pPr>
            <w:r>
              <w:rPr>
                <w:spacing w:val="-2"/>
              </w:rPr>
              <w:t>2025-1-</w:t>
            </w:r>
            <w:r>
              <w:rPr>
                <w:rFonts w:hint="eastAsia"/>
                <w:spacing w:val="-2"/>
                <w:lang w:eastAsia="zh-CN"/>
              </w:rPr>
              <w:t>5</w:t>
            </w:r>
          </w:p>
        </w:tc>
        <w:tc>
          <w:tcPr>
            <w:tcW w:w="2271" w:type="dxa"/>
          </w:tcPr>
          <w:p w14:paraId="10208951">
            <w:pPr>
              <w:pStyle w:val="26"/>
              <w:widowControl w:val="0"/>
              <w:spacing w:before="119" w:line="219" w:lineRule="auto"/>
              <w:ind w:left="664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24984773">
            <w:pPr>
              <w:pStyle w:val="26"/>
              <w:widowControl w:val="0"/>
              <w:spacing w:before="119" w:line="220" w:lineRule="auto"/>
              <w:ind w:left="427"/>
              <w:rPr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郑云</w:t>
            </w:r>
          </w:p>
        </w:tc>
        <w:tc>
          <w:tcPr>
            <w:tcW w:w="1953" w:type="dxa"/>
          </w:tcPr>
          <w:p w14:paraId="5E7C1430">
            <w:pPr>
              <w:pStyle w:val="26"/>
              <w:widowControl w:val="0"/>
              <w:spacing w:before="120" w:line="221" w:lineRule="auto"/>
              <w:ind w:left="625"/>
              <w:rPr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史晓玲</w:t>
            </w:r>
          </w:p>
        </w:tc>
      </w:tr>
      <w:tr w14:paraId="6DCF0F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26702B16">
            <w:pPr>
              <w:widowControl w:val="0"/>
            </w:pPr>
          </w:p>
        </w:tc>
        <w:tc>
          <w:tcPr>
            <w:tcW w:w="1444" w:type="dxa"/>
          </w:tcPr>
          <w:p w14:paraId="1D34E379">
            <w:pPr>
              <w:widowControl w:val="0"/>
            </w:pPr>
          </w:p>
        </w:tc>
        <w:tc>
          <w:tcPr>
            <w:tcW w:w="2271" w:type="dxa"/>
          </w:tcPr>
          <w:p w14:paraId="6CEBBCC0">
            <w:pPr>
              <w:widowControl w:val="0"/>
            </w:pPr>
          </w:p>
        </w:tc>
        <w:tc>
          <w:tcPr>
            <w:tcW w:w="1557" w:type="dxa"/>
          </w:tcPr>
          <w:p w14:paraId="4AEE2052">
            <w:pPr>
              <w:widowControl w:val="0"/>
            </w:pPr>
          </w:p>
        </w:tc>
        <w:tc>
          <w:tcPr>
            <w:tcW w:w="1953" w:type="dxa"/>
          </w:tcPr>
          <w:p w14:paraId="2AB8937D">
            <w:pPr>
              <w:widowControl w:val="0"/>
            </w:pPr>
          </w:p>
        </w:tc>
      </w:tr>
      <w:tr w14:paraId="1CC17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846" w:type="dxa"/>
          </w:tcPr>
          <w:p w14:paraId="7A0A1BAB">
            <w:pPr>
              <w:widowControl w:val="0"/>
            </w:pPr>
          </w:p>
        </w:tc>
        <w:tc>
          <w:tcPr>
            <w:tcW w:w="1444" w:type="dxa"/>
          </w:tcPr>
          <w:p w14:paraId="4D426CEB">
            <w:pPr>
              <w:widowControl w:val="0"/>
            </w:pPr>
          </w:p>
        </w:tc>
        <w:tc>
          <w:tcPr>
            <w:tcW w:w="2271" w:type="dxa"/>
          </w:tcPr>
          <w:p w14:paraId="7D32DF94">
            <w:pPr>
              <w:widowControl w:val="0"/>
            </w:pPr>
          </w:p>
        </w:tc>
        <w:tc>
          <w:tcPr>
            <w:tcW w:w="1557" w:type="dxa"/>
          </w:tcPr>
          <w:p w14:paraId="4DE33C95">
            <w:pPr>
              <w:widowControl w:val="0"/>
            </w:pPr>
          </w:p>
        </w:tc>
        <w:tc>
          <w:tcPr>
            <w:tcW w:w="1953" w:type="dxa"/>
          </w:tcPr>
          <w:p w14:paraId="4F70B717">
            <w:pPr>
              <w:widowControl w:val="0"/>
            </w:pPr>
          </w:p>
        </w:tc>
      </w:tr>
    </w:tbl>
    <w:p w14:paraId="3A9B4571">
      <w:pPr>
        <w:pStyle w:val="12"/>
        <w:widowControl w:val="0"/>
      </w:pPr>
    </w:p>
    <w:p w14:paraId="0DFCB0BE">
      <w:pPr>
        <w:widowControl w:val="0"/>
        <w:sectPr>
          <w:pgSz w:w="11906" w:h="16839"/>
          <w:pgMar w:top="1431" w:right="1015" w:bottom="0" w:left="1785" w:header="0" w:footer="0" w:gutter="0"/>
          <w:cols w:space="720" w:num="1"/>
        </w:sectPr>
      </w:pPr>
    </w:p>
    <w:sdt>
      <w:sdtPr>
        <w:rPr>
          <w:rFonts w:ascii="宋体" w:hAnsi="宋体"/>
        </w:rPr>
        <w:id w:val="14745415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Cs w:val="24"/>
        </w:rPr>
      </w:sdtEndPr>
      <w:sdtContent>
        <w:p w14:paraId="165335DD">
          <w:pPr>
            <w:widowControl w:val="0"/>
            <w:spacing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19BA8A83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TOC \o "1-3" \h \u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_Toc27996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t>2025年运维服务质量管理计划</w:t>
          </w:r>
          <w:r>
            <w:tab/>
          </w:r>
          <w:r>
            <w:fldChar w:fldCharType="begin"/>
          </w:r>
          <w:r>
            <w:instrText xml:space="preserve"> PAGEREF _Toc27996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18A6EA43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_Toc16884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_Toc16884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020A0ADE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_Toc7144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ascii="宋体" w:hAnsi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_Toc7144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0A8A9B5F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_Toc11718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_Toc11718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3F0B9316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_Toc25648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_Toc25648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3F883522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_Toc23378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_Toc23378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1B87247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_Toc19320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_Toc19320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4A75A354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_Toc19540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_Toc19540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48513EB">
          <w:pPr>
            <w:pStyle w:val="17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_Toc8200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服务质量管理活动</w:t>
          </w:r>
          <w:r>
            <w:tab/>
          </w:r>
          <w:r>
            <w:fldChar w:fldCharType="begin"/>
          </w:r>
          <w:r>
            <w:instrText xml:space="preserve"> PAGEREF _Toc8200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3DD16C0E">
          <w:pPr>
            <w:pStyle w:val="18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_Toc895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运维服务能力</w:t>
          </w:r>
          <w:r>
            <w:rPr>
              <w:rFonts w:hint="eastAsia"/>
              <w:lang w:eastAsia="zh-CN"/>
            </w:rPr>
            <w:t>内部评审</w:t>
          </w:r>
          <w:r>
            <w:tab/>
          </w:r>
          <w:r>
            <w:fldChar w:fldCharType="begin"/>
          </w:r>
          <w:r>
            <w:instrText xml:space="preserve"> PAGEREF _Toc895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A23E67B">
          <w:pPr>
            <w:pStyle w:val="18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_Toc22803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运维服务能力管理评审</w:t>
          </w:r>
          <w:r>
            <w:tab/>
          </w:r>
          <w:r>
            <w:fldChar w:fldCharType="begin"/>
          </w:r>
          <w:r>
            <w:instrText xml:space="preserve"> PAGEREF _Toc22803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9B43F9D">
          <w:pPr>
            <w:pStyle w:val="18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_Toc17763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客户满意度调查</w:t>
          </w:r>
          <w:r>
            <w:rPr>
              <w:rFonts w:hint="eastAsia"/>
              <w:lang w:eastAsia="zh-CN"/>
            </w:rPr>
            <w:t>与分析</w:t>
          </w:r>
          <w:r>
            <w:tab/>
          </w:r>
          <w:r>
            <w:fldChar w:fldCharType="begin"/>
          </w:r>
          <w:r>
            <w:instrText xml:space="preserve"> PAGEREF _Toc17763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58B38A1D">
          <w:pPr>
            <w:pStyle w:val="18"/>
            <w:tabs>
              <w:tab w:val="right" w:leader="dot" w:pos="8492"/>
            </w:tabs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szCs w:val="24"/>
            </w:rPr>
            <w:instrText xml:space="preserve"> HYPERLINK \l _Toc12923 </w:instrText>
          </w:r>
          <w:r>
            <w:rPr>
              <w:rFonts w:ascii="Times New Roman" w:hAnsi="Times New Roman" w:eastAsia="Times New Roman" w:cs="Times New Roman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6.4. </w:t>
          </w:r>
          <w:r>
            <w:rPr>
              <w:rFonts w:hint="eastAsia"/>
              <w:lang w:eastAsia="zh-CN"/>
            </w:rPr>
            <w:t>运维服务质量总结、改进</w:t>
          </w:r>
          <w:r>
            <w:tab/>
          </w:r>
          <w:r>
            <w:fldChar w:fldCharType="begin"/>
          </w:r>
          <w:r>
            <w:instrText xml:space="preserve"> PAGEREF _Toc12923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  <w:p w14:paraId="25BDD052">
          <w:pPr>
            <w:widowControl w:val="0"/>
            <w:spacing w:line="221" w:lineRule="auto"/>
            <w:rPr>
              <w:rFonts w:ascii="Times New Roman" w:hAnsi="Times New Roman" w:eastAsia="Times New Roman" w:cs="Times New Roman"/>
              <w:szCs w:val="24"/>
            </w:rPr>
          </w:pPr>
          <w:r>
            <w:rPr>
              <w:rFonts w:ascii="Times New Roman" w:hAnsi="Times New Roman" w:eastAsia="Times New Roman" w:cs="Times New Roman"/>
              <w:szCs w:val="24"/>
            </w:rPr>
            <w:fldChar w:fldCharType="end"/>
          </w:r>
        </w:p>
      </w:sdtContent>
    </w:sdt>
    <w:p w14:paraId="4F8FD7C9">
      <w:pPr>
        <w:widowControl w:val="0"/>
        <w:spacing w:line="221" w:lineRule="auto"/>
        <w:rPr>
          <w:rFonts w:ascii="Times New Roman" w:hAnsi="Times New Roman" w:eastAsia="Times New Roman" w:cs="Times New Roman"/>
          <w:szCs w:val="24"/>
        </w:rPr>
        <w:sectPr>
          <w:pgSz w:w="11906" w:h="16839"/>
          <w:pgMar w:top="1431" w:right="1710" w:bottom="0" w:left="1704" w:header="0" w:footer="0" w:gutter="0"/>
          <w:cols w:space="720" w:num="1"/>
        </w:sectPr>
      </w:pPr>
    </w:p>
    <w:p w14:paraId="6FB90F38">
      <w:pPr>
        <w:pStyle w:val="27"/>
        <w:keepNext w:val="0"/>
        <w:keepLines w:val="0"/>
        <w:widowControl w:val="0"/>
      </w:pPr>
      <w:bookmarkStart w:id="3" w:name="_Toc11718"/>
      <w:r>
        <w:t>目的</w:t>
      </w:r>
      <w:bookmarkEnd w:id="3"/>
    </w:p>
    <w:p w14:paraId="329D485D">
      <w:pPr>
        <w:widowControl w:val="0"/>
        <w:ind w:firstLine="476" w:firstLineChars="20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依据我公司运维服务业务定位和能力，策划运行维护服务对象的服务</w:t>
      </w:r>
      <w:r>
        <w:rPr>
          <w:rFonts w:ascii="宋体" w:hAnsi="宋体" w:cs="宋体"/>
          <w:spacing w:val="-4"/>
          <w:sz w:val="24"/>
          <w:szCs w:val="24"/>
        </w:rPr>
        <w:t>内容和要求，提高服务质量特制定</w:t>
      </w:r>
      <w:r>
        <w:rPr>
          <w:rFonts w:hint="eastAsia" w:ascii="宋体" w:hAnsi="宋体" w:cs="宋体"/>
          <w:spacing w:val="-4"/>
          <w:sz w:val="24"/>
          <w:szCs w:val="24"/>
          <w:lang w:val="en-US" w:eastAsia="zh-CN"/>
        </w:rPr>
        <w:t>此计划</w:t>
      </w:r>
      <w:r>
        <w:rPr>
          <w:rFonts w:ascii="宋体" w:hAnsi="宋体" w:cs="宋体"/>
          <w:spacing w:val="-4"/>
          <w:sz w:val="24"/>
          <w:szCs w:val="24"/>
        </w:rPr>
        <w:t>。</w:t>
      </w:r>
    </w:p>
    <w:p w14:paraId="237451F8">
      <w:pPr>
        <w:pStyle w:val="27"/>
        <w:keepNext w:val="0"/>
        <w:keepLines w:val="0"/>
        <w:widowControl w:val="0"/>
      </w:pPr>
      <w:bookmarkStart w:id="4" w:name="_Toc25648"/>
      <w:r>
        <w:t>适用范围</w:t>
      </w:r>
      <w:bookmarkEnd w:id="4"/>
    </w:p>
    <w:p w14:paraId="0D34DC4C">
      <w:pPr>
        <w:widowControl w:val="0"/>
        <w:ind w:firstLine="464" w:firstLineChars="200"/>
        <w:rPr>
          <w:rFonts w:ascii="宋体" w:hAnsi="宋体" w:cs="宋体"/>
          <w:spacing w:val="-4"/>
          <w:sz w:val="24"/>
          <w:szCs w:val="24"/>
        </w:rPr>
      </w:pPr>
      <w:r>
        <w:rPr>
          <w:rFonts w:ascii="宋体" w:hAnsi="宋体" w:cs="宋体"/>
          <w:spacing w:val="-4"/>
          <w:sz w:val="24"/>
          <w:szCs w:val="24"/>
        </w:rPr>
        <w:t>本手册适用于本公司参与运维服务业务的部门和人员</w:t>
      </w:r>
    </w:p>
    <w:p w14:paraId="27A9B571">
      <w:pPr>
        <w:pStyle w:val="27"/>
        <w:keepNext w:val="0"/>
        <w:keepLines w:val="0"/>
        <w:widowControl w:val="0"/>
      </w:pPr>
      <w:bookmarkStart w:id="5" w:name="_Toc23378"/>
      <w:r>
        <w:t>引用文件</w:t>
      </w:r>
      <w:bookmarkEnd w:id="5"/>
    </w:p>
    <w:p w14:paraId="53527CE9">
      <w:pPr>
        <w:pStyle w:val="12"/>
        <w:widowControl w:val="0"/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position w:val="1"/>
          <w:sz w:val="24"/>
          <w:szCs w:val="24"/>
        </w:rPr>
        <w:t>T/CESA 1299—2023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 运行维护服务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能力成熟度模型》</w:t>
      </w:r>
    </w:p>
    <w:p w14:paraId="0BFA1B47">
      <w:pPr>
        <w:pStyle w:val="12"/>
        <w:widowControl w:val="0"/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>GB/T 28827.1-2</w:t>
      </w:r>
      <w:r>
        <w:rPr>
          <w:spacing w:val="-1"/>
          <w:position w:val="1"/>
          <w:sz w:val="24"/>
          <w:szCs w:val="24"/>
        </w:rPr>
        <w:t>0</w:t>
      </w:r>
      <w:r>
        <w:rPr>
          <w:rFonts w:hint="eastAsia" w:eastAsia="宋体"/>
          <w:spacing w:val="-1"/>
          <w:position w:val="1"/>
          <w:sz w:val="24"/>
          <w:szCs w:val="24"/>
          <w:lang w:eastAsia="zh-CN"/>
        </w:rPr>
        <w:t>2</w:t>
      </w:r>
      <w:r>
        <w:rPr>
          <w:spacing w:val="-1"/>
          <w:position w:val="1"/>
          <w:sz w:val="24"/>
          <w:szCs w:val="24"/>
        </w:rPr>
        <w:t xml:space="preserve">2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34"/>
          <w:position w:val="1"/>
          <w:sz w:val="24"/>
          <w:szCs w:val="24"/>
        </w:rPr>
        <w:t xml:space="preserve"> </w:t>
      </w:r>
      <w:r>
        <w:rPr>
          <w:spacing w:val="-1"/>
          <w:position w:val="1"/>
          <w:sz w:val="24"/>
          <w:szCs w:val="24"/>
        </w:rPr>
        <w:t>1</w:t>
      </w:r>
      <w:r>
        <w:rPr>
          <w:spacing w:val="6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部分：通用要求》</w:t>
      </w:r>
    </w:p>
    <w:p w14:paraId="342161BB">
      <w:pPr>
        <w:pStyle w:val="12"/>
        <w:widowControl w:val="0"/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 xml:space="preserve">GB/T 29264-2012 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</w:t>
      </w:r>
      <w:r>
        <w:rPr>
          <w:rFonts w:ascii="宋体" w:hAnsi="宋体" w:eastAsia="宋体" w:cs="宋体"/>
          <w:spacing w:val="12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分类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与代码》</w:t>
      </w:r>
    </w:p>
    <w:p w14:paraId="4704DCEE">
      <w:pPr>
        <w:pStyle w:val="12"/>
        <w:widowControl w:val="0"/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position w:val="1"/>
          <w:sz w:val="24"/>
          <w:szCs w:val="24"/>
        </w:rPr>
        <w:t xml:space="preserve">GB/T 28827.2-2012 </w:t>
      </w:r>
      <w:r>
        <w:rPr>
          <w:rFonts w:ascii="宋体" w:hAnsi="宋体" w:eastAsia="宋体" w:cs="宋体"/>
          <w:position w:val="1"/>
          <w:sz w:val="24"/>
          <w:szCs w:val="24"/>
        </w:rPr>
        <w:t>《信息技术服务 运行维护 第</w:t>
      </w:r>
      <w:r>
        <w:rPr>
          <w:rFonts w:ascii="宋体" w:hAnsi="宋体" w:eastAsia="宋体" w:cs="宋体"/>
          <w:spacing w:val="-53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2</w:t>
      </w:r>
      <w:r>
        <w:rPr>
          <w:spacing w:val="5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部分</w:t>
      </w:r>
      <w:r>
        <w:rPr>
          <w:position w:val="1"/>
          <w:sz w:val="24"/>
          <w:szCs w:val="24"/>
        </w:rPr>
        <w:t>:</w:t>
      </w:r>
      <w:r>
        <w:rPr>
          <w:rFonts w:ascii="宋体" w:hAnsi="宋体" w:eastAsia="宋体" w:cs="宋体"/>
          <w:position w:val="1"/>
          <w:sz w:val="24"/>
          <w:szCs w:val="24"/>
        </w:rPr>
        <w:t>交</w:t>
      </w:r>
      <w:r>
        <w:rPr>
          <w:rFonts w:ascii="宋体" w:hAnsi="宋体" w:eastAsia="宋体" w:cs="宋体"/>
          <w:spacing w:val="-1"/>
          <w:position w:val="1"/>
          <w:sz w:val="24"/>
          <w:szCs w:val="24"/>
        </w:rPr>
        <w:t>付规范》</w:t>
      </w:r>
    </w:p>
    <w:p w14:paraId="1171788E">
      <w:pPr>
        <w:pStyle w:val="12"/>
        <w:widowControl w:val="0"/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spacing w:val="-1"/>
          <w:sz w:val="24"/>
          <w:szCs w:val="24"/>
        </w:rPr>
        <w:t>GB/T</w:t>
      </w:r>
      <w:r>
        <w:rPr>
          <w:spacing w:val="4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28827.3-2012</w:t>
      </w:r>
      <w:r>
        <w:rPr>
          <w:spacing w:val="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《信息技术服务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运行维护</w:t>
      </w:r>
      <w:r>
        <w:rPr>
          <w:rFonts w:ascii="宋体" w:hAnsi="宋体" w:eastAsia="宋体" w:cs="宋体"/>
          <w:spacing w:val="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第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3 </w:t>
      </w:r>
      <w:r>
        <w:rPr>
          <w:rFonts w:ascii="宋体" w:hAnsi="宋体" w:eastAsia="宋体" w:cs="宋体"/>
          <w:spacing w:val="-1"/>
          <w:sz w:val="24"/>
          <w:szCs w:val="24"/>
        </w:rPr>
        <w:t>部分</w:t>
      </w:r>
      <w:r>
        <w:rPr>
          <w:spacing w:val="-1"/>
          <w:sz w:val="24"/>
          <w:szCs w:val="24"/>
        </w:rPr>
        <w:t>:</w:t>
      </w:r>
      <w:r>
        <w:rPr>
          <w:rFonts w:ascii="宋体" w:hAnsi="宋体" w:eastAsia="宋体" w:cs="宋体"/>
          <w:spacing w:val="-1"/>
          <w:sz w:val="24"/>
          <w:szCs w:val="24"/>
        </w:rPr>
        <w:t>应急响应规</w:t>
      </w:r>
      <w:r>
        <w:rPr>
          <w:rFonts w:ascii="宋体" w:hAnsi="宋体" w:eastAsia="宋体" w:cs="宋体"/>
          <w:spacing w:val="-8"/>
          <w:sz w:val="24"/>
          <w:szCs w:val="24"/>
        </w:rPr>
        <w:t>范》</w:t>
      </w:r>
    </w:p>
    <w:p w14:paraId="721754DB">
      <w:pPr>
        <w:pStyle w:val="12"/>
        <w:widowControl w:val="0"/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position w:val="1"/>
          <w:sz w:val="24"/>
          <w:szCs w:val="24"/>
        </w:rPr>
        <w:t>国家有关法律、法规及行业标准</w:t>
      </w:r>
    </w:p>
    <w:p w14:paraId="6547273C">
      <w:pPr>
        <w:pStyle w:val="27"/>
        <w:keepNext w:val="0"/>
        <w:keepLines w:val="0"/>
        <w:widowControl w:val="0"/>
      </w:pPr>
      <w:bookmarkStart w:id="6" w:name="_Toc19320"/>
      <w:r>
        <w:t>术语与定义</w:t>
      </w:r>
      <w:bookmarkEnd w:id="6"/>
    </w:p>
    <w:p w14:paraId="05C49B46">
      <w:pPr>
        <w:widowControl w:val="0"/>
        <w:spacing w:before="115" w:line="220" w:lineRule="auto"/>
        <w:ind w:left="450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无</w:t>
      </w:r>
    </w:p>
    <w:p w14:paraId="0C2B584E">
      <w:pPr>
        <w:pStyle w:val="27"/>
        <w:keepNext w:val="0"/>
        <w:keepLines w:val="0"/>
        <w:widowControl w:val="0"/>
      </w:pPr>
      <w:bookmarkStart w:id="7" w:name="_Toc19540"/>
      <w:r>
        <w:t>角色与职责</w:t>
      </w:r>
      <w:bookmarkEnd w:id="7"/>
    </w:p>
    <w:p w14:paraId="6CD3D2A7">
      <w:pPr>
        <w:widowControl w:val="0"/>
        <w:spacing w:before="157"/>
      </w:pPr>
    </w:p>
    <w:tbl>
      <w:tblPr>
        <w:tblStyle w:val="25"/>
        <w:tblW w:w="8364" w:type="dxa"/>
        <w:tblInd w:w="4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5"/>
        <w:gridCol w:w="6849"/>
      </w:tblGrid>
      <w:tr w14:paraId="741BA5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515" w:type="dxa"/>
            <w:shd w:val="clear" w:color="auto" w:fill="F2F2F2"/>
          </w:tcPr>
          <w:p w14:paraId="65ACF4FA">
            <w:pPr>
              <w:pStyle w:val="26"/>
              <w:widowControl w:val="0"/>
              <w:spacing w:before="125" w:line="219" w:lineRule="auto"/>
              <w:ind w:left="524"/>
            </w:pPr>
            <w:r>
              <w:rPr>
                <w:b/>
                <w:bCs/>
                <w:spacing w:val="-6"/>
              </w:rPr>
              <w:t>角色</w:t>
            </w:r>
          </w:p>
        </w:tc>
        <w:tc>
          <w:tcPr>
            <w:tcW w:w="6849" w:type="dxa"/>
            <w:shd w:val="clear" w:color="auto" w:fill="F2F2F2"/>
          </w:tcPr>
          <w:p w14:paraId="4FA21288">
            <w:pPr>
              <w:pStyle w:val="26"/>
              <w:widowControl w:val="0"/>
              <w:spacing w:before="126" w:line="221" w:lineRule="auto"/>
              <w:ind w:left="3188"/>
            </w:pPr>
            <w:r>
              <w:rPr>
                <w:b/>
                <w:bCs/>
                <w:spacing w:val="-6"/>
              </w:rPr>
              <w:t>职责</w:t>
            </w:r>
          </w:p>
        </w:tc>
      </w:tr>
      <w:tr w14:paraId="19D39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1515" w:type="dxa"/>
          </w:tcPr>
          <w:p w14:paraId="572280BA">
            <w:pPr>
              <w:widowControl w:val="0"/>
              <w:spacing w:line="265" w:lineRule="auto"/>
            </w:pPr>
          </w:p>
          <w:p w14:paraId="24C4DB1C">
            <w:pPr>
              <w:widowControl w:val="0"/>
              <w:spacing w:line="266" w:lineRule="auto"/>
            </w:pPr>
          </w:p>
          <w:p w14:paraId="61D8D202">
            <w:pPr>
              <w:pStyle w:val="26"/>
              <w:widowControl w:val="0"/>
              <w:spacing w:before="78" w:line="220" w:lineRule="auto"/>
              <w:ind w:left="118"/>
            </w:pPr>
            <w:r>
              <w:rPr>
                <w:spacing w:val="-4"/>
              </w:rPr>
              <w:t>管理层</w:t>
            </w:r>
          </w:p>
        </w:tc>
        <w:tc>
          <w:tcPr>
            <w:tcW w:w="6849" w:type="dxa"/>
          </w:tcPr>
          <w:p w14:paraId="2E9D8E84">
            <w:pPr>
              <w:pStyle w:val="26"/>
              <w:widowControl w:val="0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  <w:lang w:eastAsia="zh-CN"/>
              </w:rPr>
              <w:drawing>
                <wp:inline distT="0" distB="0" distL="0" distR="0">
                  <wp:extent cx="107950" cy="16891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负责审批年度服务能力管理计划。</w:t>
            </w:r>
          </w:p>
          <w:p w14:paraId="199631C1">
            <w:pPr>
              <w:pStyle w:val="26"/>
              <w:widowControl w:val="0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  <w:lang w:eastAsia="zh-CN"/>
              </w:rPr>
              <w:drawing>
                <wp:inline distT="0" distB="0" distL="0" distR="0">
                  <wp:extent cx="107950" cy="16891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定期对服务实施过程和服务实施过程的改进进行监控管理。</w:t>
            </w:r>
          </w:p>
          <w:p w14:paraId="541F73A3">
            <w:pPr>
              <w:pStyle w:val="26"/>
              <w:widowControl w:val="0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  <w:lang w:eastAsia="zh-CN"/>
              </w:rPr>
              <w:drawing>
                <wp:inline distT="0" distB="0" distL="0" distR="0">
                  <wp:extent cx="107950" cy="168910"/>
                  <wp:effectExtent l="0" t="0" r="0" b="0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"/>
              </w:rPr>
              <w:t xml:space="preserve">  负责公司运维服务体系的管理评审，以确保运维服务能力适</w:t>
            </w:r>
          </w:p>
          <w:p w14:paraId="06042359">
            <w:pPr>
              <w:pStyle w:val="26"/>
              <w:widowControl w:val="0"/>
              <w:spacing w:before="202" w:line="220" w:lineRule="auto"/>
              <w:ind w:left="155"/>
              <w:rPr>
                <w:spacing w:val="-2"/>
              </w:rPr>
            </w:pPr>
            <w:r>
              <w:rPr>
                <w:spacing w:val="-2"/>
              </w:rPr>
              <w:t>应性和有效性。</w:t>
            </w:r>
          </w:p>
        </w:tc>
      </w:tr>
      <w:tr w14:paraId="05813C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1515" w:type="dxa"/>
            <w:shd w:val="clear" w:color="auto" w:fill="auto"/>
          </w:tcPr>
          <w:p w14:paraId="48353C3B">
            <w:pPr>
              <w:widowControl w:val="0"/>
              <w:spacing w:line="247" w:lineRule="auto"/>
            </w:pPr>
          </w:p>
          <w:p w14:paraId="5249C9AE">
            <w:pPr>
              <w:widowControl w:val="0"/>
              <w:spacing w:line="247" w:lineRule="auto"/>
            </w:pPr>
          </w:p>
          <w:p w14:paraId="5FF01103">
            <w:pPr>
              <w:widowControl w:val="0"/>
              <w:spacing w:line="247" w:lineRule="auto"/>
            </w:pPr>
          </w:p>
          <w:p w14:paraId="25974FA1">
            <w:pPr>
              <w:widowControl w:val="0"/>
              <w:spacing w:line="247" w:lineRule="auto"/>
            </w:pPr>
          </w:p>
          <w:p w14:paraId="32FDDEE7">
            <w:pPr>
              <w:widowControl w:val="0"/>
              <w:spacing w:line="247" w:lineRule="auto"/>
            </w:pPr>
          </w:p>
          <w:p w14:paraId="520BAAC6">
            <w:pPr>
              <w:widowControl w:val="0"/>
              <w:spacing w:line="247" w:lineRule="auto"/>
            </w:pPr>
          </w:p>
          <w:p w14:paraId="20011169">
            <w:pPr>
              <w:widowControl w:val="0"/>
              <w:spacing w:line="248" w:lineRule="auto"/>
            </w:pPr>
          </w:p>
          <w:p w14:paraId="1270844A">
            <w:pPr>
              <w:widowControl w:val="0"/>
              <w:spacing w:line="248" w:lineRule="auto"/>
            </w:pPr>
          </w:p>
          <w:p w14:paraId="107BF2A8">
            <w:pPr>
              <w:widowControl w:val="0"/>
              <w:spacing w:line="248" w:lineRule="auto"/>
            </w:pPr>
          </w:p>
          <w:p w14:paraId="2A538EF5">
            <w:pPr>
              <w:widowControl w:val="0"/>
              <w:spacing w:line="248" w:lineRule="auto"/>
            </w:pPr>
          </w:p>
          <w:p w14:paraId="688BC00C">
            <w:pPr>
              <w:pStyle w:val="26"/>
              <w:widowControl w:val="0"/>
              <w:spacing w:before="78" w:line="220" w:lineRule="auto"/>
              <w:ind w:left="113"/>
            </w:pPr>
            <w:r>
              <w:rPr>
                <w:spacing w:val="-2"/>
              </w:rPr>
              <w:t>质量部</w:t>
            </w:r>
          </w:p>
        </w:tc>
        <w:tc>
          <w:tcPr>
            <w:tcW w:w="6849" w:type="dxa"/>
            <w:shd w:val="clear" w:color="auto" w:fill="auto"/>
          </w:tcPr>
          <w:p w14:paraId="2108596A">
            <w:pPr>
              <w:pStyle w:val="26"/>
              <w:widowControl w:val="0"/>
              <w:spacing w:before="113" w:line="302" w:lineRule="auto"/>
              <w:ind w:left="572" w:right="279" w:hanging="417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41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负责运维服务的公司级质量保证，制定总体的服务质量管</w:t>
            </w:r>
            <w:r>
              <w:rPr>
                <w:spacing w:val="-9"/>
              </w:rPr>
              <w:t>理计划。</w:t>
            </w:r>
          </w:p>
          <w:p w14:paraId="4AB8382D">
            <w:pPr>
              <w:pStyle w:val="26"/>
              <w:widowControl w:val="0"/>
              <w:spacing w:before="191" w:line="301" w:lineRule="auto"/>
              <w:ind w:left="570" w:right="103" w:hanging="415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43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监控运维服务质量,</w:t>
            </w:r>
            <w:r>
              <w:rPr>
                <w:spacing w:val="36"/>
              </w:rPr>
              <w:t xml:space="preserve">  </w:t>
            </w:r>
            <w:r>
              <w:rPr>
                <w:spacing w:val="-1"/>
              </w:rPr>
              <w:t>定期组织质量分析会议，对运维</w:t>
            </w:r>
            <w:r>
              <w:rPr>
                <w:spacing w:val="-2"/>
              </w:rPr>
              <w:t>业务</w:t>
            </w:r>
            <w:r>
              <w:rPr>
                <w:spacing w:val="-5"/>
              </w:rPr>
              <w:t>开展情况进行评估。</w:t>
            </w:r>
          </w:p>
          <w:p w14:paraId="1F56F091">
            <w:pPr>
              <w:pStyle w:val="26"/>
              <w:widowControl w:val="0"/>
              <w:spacing w:before="196" w:line="220" w:lineRule="auto"/>
              <w:ind w:left="155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45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3"/>
              </w:rPr>
              <w:t>对公司运维服务业务的质量进行监控。</w:t>
            </w:r>
          </w:p>
          <w:p w14:paraId="6A691371">
            <w:pPr>
              <w:pStyle w:val="26"/>
              <w:widowControl w:val="0"/>
              <w:spacing w:before="202" w:line="302" w:lineRule="auto"/>
              <w:ind w:left="573" w:right="279" w:hanging="418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47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负责公司运维服务体系的定期内部评审，对内审中不符合</w:t>
            </w:r>
            <w:r>
              <w:rPr>
                <w:spacing w:val="-4"/>
              </w:rPr>
              <w:t>项的处理进行跟踪记录。</w:t>
            </w:r>
          </w:p>
          <w:p w14:paraId="3103E75B">
            <w:pPr>
              <w:pStyle w:val="26"/>
              <w:widowControl w:val="0"/>
              <w:spacing w:before="193" w:line="220" w:lineRule="auto"/>
              <w:ind w:left="155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49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4"/>
              </w:rPr>
              <w:t>负责改进措施的监督及检查。</w:t>
            </w:r>
          </w:p>
          <w:p w14:paraId="4AE1B566">
            <w:pPr>
              <w:pStyle w:val="26"/>
              <w:widowControl w:val="0"/>
              <w:spacing w:before="202" w:line="220" w:lineRule="auto"/>
              <w:ind w:left="155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5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3"/>
              </w:rPr>
              <w:t>对重大投诉进行原因分析、处理和回访。</w:t>
            </w:r>
          </w:p>
          <w:p w14:paraId="71618B19">
            <w:pPr>
              <w:pStyle w:val="26"/>
              <w:widowControl w:val="0"/>
              <w:spacing w:before="203" w:line="220" w:lineRule="auto"/>
              <w:ind w:left="155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51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对每年运维服务报告进行审查。</w:t>
            </w:r>
          </w:p>
          <w:p w14:paraId="6ACB2BEA">
            <w:pPr>
              <w:pStyle w:val="26"/>
              <w:widowControl w:val="0"/>
              <w:spacing w:before="203" w:line="220" w:lineRule="auto"/>
              <w:ind w:left="155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52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负责客户满意度调查。</w:t>
            </w:r>
          </w:p>
        </w:tc>
      </w:tr>
      <w:tr w14:paraId="2B91B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1515" w:type="dxa"/>
            <w:shd w:val="clear" w:color="auto" w:fill="auto"/>
          </w:tcPr>
          <w:p w14:paraId="1F03721D">
            <w:pPr>
              <w:widowControl w:val="0"/>
              <w:spacing w:line="247" w:lineRule="auto"/>
            </w:pPr>
          </w:p>
          <w:p w14:paraId="7A6D7F12">
            <w:pPr>
              <w:widowControl w:val="0"/>
              <w:spacing w:line="247" w:lineRule="auto"/>
            </w:pPr>
          </w:p>
          <w:p w14:paraId="61F048A4">
            <w:pPr>
              <w:widowControl w:val="0"/>
              <w:spacing w:line="247" w:lineRule="auto"/>
            </w:pPr>
          </w:p>
          <w:p w14:paraId="2B45AB21">
            <w:pPr>
              <w:widowControl w:val="0"/>
              <w:spacing w:line="247" w:lineRule="auto"/>
            </w:pPr>
          </w:p>
          <w:p w14:paraId="2F154D85">
            <w:pPr>
              <w:widowControl w:val="0"/>
              <w:spacing w:line="247" w:lineRule="auto"/>
            </w:pPr>
          </w:p>
          <w:p w14:paraId="71034ED8">
            <w:pPr>
              <w:widowControl w:val="0"/>
              <w:spacing w:line="247" w:lineRule="auto"/>
            </w:pPr>
          </w:p>
          <w:p w14:paraId="3A02A191">
            <w:pPr>
              <w:widowControl w:val="0"/>
              <w:spacing w:line="247" w:lineRule="auto"/>
            </w:pPr>
          </w:p>
          <w:p w14:paraId="5FB775DC">
            <w:pPr>
              <w:widowControl w:val="0"/>
              <w:spacing w:line="247" w:lineRule="auto"/>
            </w:pPr>
          </w:p>
          <w:p w14:paraId="2242834B">
            <w:pPr>
              <w:widowControl w:val="0"/>
              <w:spacing w:line="248" w:lineRule="auto"/>
            </w:pPr>
          </w:p>
          <w:p w14:paraId="7649CC8A">
            <w:pPr>
              <w:widowControl w:val="0"/>
              <w:spacing w:line="248" w:lineRule="auto"/>
            </w:pPr>
          </w:p>
          <w:p w14:paraId="57B7B922">
            <w:pPr>
              <w:widowControl w:val="0"/>
              <w:spacing w:line="248" w:lineRule="auto"/>
            </w:pPr>
          </w:p>
          <w:p w14:paraId="45012007">
            <w:pPr>
              <w:pStyle w:val="26"/>
              <w:widowControl w:val="0"/>
              <w:spacing w:before="78" w:line="220" w:lineRule="auto"/>
              <w:ind w:left="112"/>
            </w:pPr>
            <w:r>
              <w:rPr>
                <w:spacing w:val="-2"/>
              </w:rPr>
              <w:t>运维部</w:t>
            </w:r>
          </w:p>
        </w:tc>
        <w:tc>
          <w:tcPr>
            <w:tcW w:w="6849" w:type="dxa"/>
            <w:shd w:val="clear" w:color="auto" w:fill="auto"/>
          </w:tcPr>
          <w:p w14:paraId="518BE74A">
            <w:pPr>
              <w:pStyle w:val="26"/>
              <w:widowControl w:val="0"/>
              <w:spacing w:before="117" w:line="301" w:lineRule="auto"/>
              <w:ind w:left="571" w:right="159" w:hanging="416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53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负责对所运维业务进行质量控制,对质量部和服务台提供的</w:t>
            </w:r>
            <w:r>
              <w:rPr>
                <w:spacing w:val="-3"/>
              </w:rPr>
              <w:t>客户服务质量调查结果进行分析和处理。</w:t>
            </w:r>
          </w:p>
          <w:p w14:paraId="2E1270D9">
            <w:pPr>
              <w:pStyle w:val="26"/>
              <w:widowControl w:val="0"/>
              <w:spacing w:before="194" w:line="220" w:lineRule="auto"/>
              <w:ind w:left="155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54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定期组织召开质量分析会。</w:t>
            </w:r>
          </w:p>
          <w:p w14:paraId="1E63F353">
            <w:pPr>
              <w:pStyle w:val="26"/>
              <w:widowControl w:val="0"/>
              <w:spacing w:before="203" w:line="220" w:lineRule="auto"/>
              <w:ind w:left="155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55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4"/>
              </w:rPr>
              <w:t>跟踪客户投诉的处理过程。</w:t>
            </w:r>
          </w:p>
          <w:p w14:paraId="07040D77">
            <w:pPr>
              <w:pStyle w:val="26"/>
              <w:widowControl w:val="0"/>
              <w:spacing w:before="202" w:line="220" w:lineRule="auto"/>
              <w:ind w:left="155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56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定期编写总结报告，持续改进完善维护服务能力和质量。</w:t>
            </w:r>
          </w:p>
          <w:p w14:paraId="184C4B22">
            <w:pPr>
              <w:pStyle w:val="26"/>
              <w:widowControl w:val="0"/>
              <w:spacing w:before="203" w:line="220" w:lineRule="auto"/>
              <w:ind w:left="155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57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 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</w:t>
            </w:r>
            <w:r>
              <w:rPr>
                <w:spacing w:val="-5"/>
              </w:rPr>
              <w:t>负责监控服务的处理过程。</w:t>
            </w:r>
          </w:p>
          <w:p w14:paraId="38670C6F">
            <w:pPr>
              <w:pStyle w:val="26"/>
              <w:widowControl w:val="0"/>
              <w:spacing w:before="203" w:line="220" w:lineRule="auto"/>
              <w:ind w:left="155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58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对每个处理事件进行客户回访。</w:t>
            </w:r>
          </w:p>
          <w:p w14:paraId="57F19880">
            <w:pPr>
              <w:pStyle w:val="26"/>
              <w:widowControl w:val="0"/>
              <w:spacing w:before="204" w:line="301" w:lineRule="auto"/>
              <w:ind w:left="573" w:right="279" w:hanging="418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59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接收和处理客户投诉，重要的客户投诉信息及时反馈给相</w:t>
            </w:r>
            <w:r>
              <w:rPr>
                <w:spacing w:val="-7"/>
              </w:rPr>
              <w:t>关部门处理。</w:t>
            </w:r>
          </w:p>
          <w:p w14:paraId="0D92D877">
            <w:pPr>
              <w:pStyle w:val="26"/>
              <w:widowControl w:val="0"/>
              <w:spacing w:before="195" w:line="326" w:lineRule="auto"/>
              <w:ind w:left="571" w:right="279" w:hanging="416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6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包括运维项目经理、技术支持工程师、网络工程师等相关人员，按照运维岗位职责的要求、工作流程及质量要求，</w:t>
            </w:r>
            <w:r>
              <w:rPr>
                <w:spacing w:val="-3"/>
              </w:rPr>
              <w:t>实施具体运维服务任务，并将过程形成记录。</w:t>
            </w:r>
          </w:p>
        </w:tc>
      </w:tr>
      <w:tr w14:paraId="3C1FB6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9" w:hRule="atLeast"/>
        </w:trPr>
        <w:tc>
          <w:tcPr>
            <w:tcW w:w="1515" w:type="dxa"/>
            <w:shd w:val="clear" w:color="auto" w:fill="auto"/>
          </w:tcPr>
          <w:p w14:paraId="093011E3">
            <w:pPr>
              <w:widowControl w:val="0"/>
              <w:spacing w:line="269" w:lineRule="auto"/>
            </w:pPr>
          </w:p>
          <w:p w14:paraId="3EC1BEEB">
            <w:pPr>
              <w:widowControl w:val="0"/>
              <w:spacing w:line="269" w:lineRule="auto"/>
            </w:pPr>
          </w:p>
          <w:p w14:paraId="2C38E488">
            <w:pPr>
              <w:pStyle w:val="26"/>
              <w:widowControl w:val="0"/>
              <w:spacing w:before="78" w:line="220" w:lineRule="auto"/>
              <w:ind w:left="113"/>
            </w:pPr>
            <w:r>
              <w:rPr>
                <w:spacing w:val="-2"/>
              </w:rPr>
              <w:t>其他部门</w:t>
            </w:r>
          </w:p>
        </w:tc>
        <w:tc>
          <w:tcPr>
            <w:tcW w:w="6849" w:type="dxa"/>
            <w:shd w:val="clear" w:color="auto" w:fill="auto"/>
          </w:tcPr>
          <w:p w14:paraId="5B677E7E">
            <w:pPr>
              <w:pStyle w:val="26"/>
              <w:widowControl w:val="0"/>
              <w:spacing w:before="121" w:line="220" w:lineRule="auto"/>
              <w:ind w:left="155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61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 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"/>
              </w:rPr>
              <w:t xml:space="preserve">  </w:t>
            </w:r>
            <w:r>
              <w:rPr>
                <w:spacing w:val="-6"/>
              </w:rPr>
              <w:t>参与能力管理计划的制定；</w:t>
            </w:r>
          </w:p>
          <w:p w14:paraId="56256330">
            <w:pPr>
              <w:pStyle w:val="26"/>
              <w:widowControl w:val="0"/>
              <w:spacing w:before="202" w:line="220" w:lineRule="auto"/>
              <w:ind w:left="155"/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62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-6"/>
              </w:rPr>
              <w:t>按照能力管理计划实施；</w:t>
            </w:r>
          </w:p>
          <w:p w14:paraId="251F6B2E">
            <w:pPr>
              <w:pStyle w:val="26"/>
              <w:widowControl w:val="0"/>
              <w:spacing w:before="202" w:line="220" w:lineRule="auto"/>
              <w:ind w:left="155"/>
              <w:rPr>
                <w:spacing w:val="-3"/>
              </w:rPr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63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 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</w:t>
            </w:r>
            <w:r>
              <w:rPr>
                <w:spacing w:val="-3"/>
              </w:rPr>
              <w:t>接受质量部的监督和检查，并定期汇报计划的实施情况；</w:t>
            </w:r>
          </w:p>
          <w:p w14:paraId="3B9E47B1">
            <w:pPr>
              <w:pStyle w:val="26"/>
              <w:widowControl w:val="0"/>
              <w:spacing w:before="202" w:line="220" w:lineRule="auto"/>
              <w:ind w:left="155"/>
              <w:rPr>
                <w:spacing w:val="-3"/>
              </w:rPr>
            </w:pPr>
            <w:r>
              <w:rPr>
                <w:position w:val="-5"/>
                <w:lang w:eastAsia="zh-CN"/>
              </w:rPr>
              <w:drawing>
                <wp:inline distT="0" distB="0" distL="0" distR="0">
                  <wp:extent cx="107950" cy="168910"/>
                  <wp:effectExtent l="0" t="0" r="13970" b="13970"/>
                  <wp:docPr id="64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" cy="16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</w:rPr>
              <w:t>针对实施过程中发现的问题采取有效的改进措施。</w:t>
            </w:r>
          </w:p>
        </w:tc>
      </w:tr>
    </w:tbl>
    <w:p w14:paraId="6418224B">
      <w:pPr>
        <w:widowControl w:val="0"/>
        <w:spacing w:line="91" w:lineRule="auto"/>
        <w:rPr>
          <w:sz w:val="2"/>
        </w:rPr>
      </w:pPr>
    </w:p>
    <w:p w14:paraId="6982E2B0">
      <w:pPr>
        <w:widowControl w:val="0"/>
        <w:spacing w:line="91" w:lineRule="auto"/>
        <w:rPr>
          <w:sz w:val="2"/>
        </w:rPr>
      </w:pPr>
    </w:p>
    <w:p w14:paraId="2833BCAA">
      <w:pPr>
        <w:pStyle w:val="27"/>
        <w:keepNext w:val="0"/>
        <w:keepLines w:val="0"/>
        <w:widowControl w:val="0"/>
      </w:pPr>
      <w:bookmarkStart w:id="8" w:name="bookmark1"/>
      <w:bookmarkEnd w:id="8"/>
      <w:bookmarkStart w:id="9" w:name="_Toc8200"/>
      <w:r>
        <w:t>服务质量管理活动</w:t>
      </w:r>
      <w:bookmarkEnd w:id="9"/>
    </w:p>
    <w:p w14:paraId="75482D33">
      <w:pPr>
        <w:widowControl w:val="0"/>
        <w:ind w:firstLine="464" w:firstLineChars="200"/>
        <w:rPr>
          <w:rFonts w:ascii="宋体" w:hAnsi="宋体" w:cs="宋体"/>
          <w:spacing w:val="-4"/>
          <w:sz w:val="24"/>
          <w:szCs w:val="24"/>
        </w:rPr>
      </w:pPr>
      <w:r>
        <w:rPr>
          <w:rFonts w:ascii="宋体" w:hAnsi="宋体" w:cs="宋体"/>
          <w:spacing w:val="-4"/>
          <w:sz w:val="24"/>
          <w:szCs w:val="24"/>
        </w:rPr>
        <w:t>为达成服务质量目标，检查运维体系的实施情况，2025年度计划执行的服务质量管理活动，具体目标如下：</w:t>
      </w:r>
    </w:p>
    <w:p w14:paraId="2BBBB798">
      <w:pPr>
        <w:pStyle w:val="29"/>
        <w:bidi w:val="0"/>
      </w:pPr>
      <w:bookmarkStart w:id="10" w:name="_Toc895"/>
      <w:r>
        <w:t>运维服务能力</w:t>
      </w:r>
      <w:r>
        <w:rPr>
          <w:rFonts w:hint="eastAsia"/>
          <w:lang w:eastAsia="zh-CN"/>
        </w:rPr>
        <w:t>内部评审</w:t>
      </w:r>
      <w:bookmarkEnd w:id="10"/>
    </w:p>
    <w:p w14:paraId="1E6E0517">
      <w:pPr>
        <w:widowControl w:val="0"/>
        <w:ind w:firstLine="476" w:firstLineChars="200"/>
        <w:rPr>
          <w:rFonts w:ascii="宋体" w:hAnsi="宋体" w:cs="宋体"/>
          <w:spacing w:val="-1"/>
          <w:sz w:val="24"/>
          <w:szCs w:val="24"/>
        </w:rPr>
      </w:pPr>
      <w:r>
        <w:rPr>
          <w:rFonts w:hint="eastAsia" w:ascii="宋体" w:hAnsi="宋体" w:cs="宋体"/>
          <w:spacing w:val="-1"/>
          <w:sz w:val="24"/>
          <w:szCs w:val="24"/>
        </w:rPr>
        <w:t>计划在2025年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12</w:t>
      </w:r>
      <w:r>
        <w:rPr>
          <w:rFonts w:hint="eastAsia" w:ascii="宋体" w:hAnsi="宋体" w:cs="宋体"/>
          <w:spacing w:val="-1"/>
          <w:sz w:val="24"/>
          <w:szCs w:val="24"/>
        </w:rPr>
        <w:t>月进行</w:t>
      </w:r>
      <w:r>
        <w:rPr>
          <w:rFonts w:hint="eastAsia" w:ascii="宋体" w:hAnsi="宋体" w:cs="宋体"/>
          <w:sz w:val="24"/>
          <w:szCs w:val="24"/>
          <w:lang w:eastAsia="zh-CN"/>
        </w:rPr>
        <w:t>运维服务能力体系内部评审</w:t>
      </w:r>
      <w:r>
        <w:rPr>
          <w:rFonts w:hint="eastAsia" w:ascii="宋体" w:hAnsi="宋体" w:cs="宋体"/>
          <w:spacing w:val="-1"/>
          <w:sz w:val="24"/>
          <w:szCs w:val="24"/>
        </w:rPr>
        <w:t>，由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质量部</w:t>
      </w:r>
      <w:r>
        <w:rPr>
          <w:rFonts w:hint="eastAsia" w:ascii="宋体" w:hAnsi="宋体" w:cs="宋体"/>
          <w:spacing w:val="-1"/>
          <w:sz w:val="24"/>
          <w:szCs w:val="24"/>
        </w:rPr>
        <w:t>牵头组织，主要参与部门包括运维部、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综合部</w:t>
      </w:r>
      <w:r>
        <w:rPr>
          <w:rFonts w:hint="eastAsia" w:ascii="宋体" w:hAnsi="宋体" w:cs="宋体"/>
          <w:spacing w:val="-1"/>
          <w:sz w:val="24"/>
          <w:szCs w:val="24"/>
        </w:rPr>
        <w:t>、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研发部、采购部，</w:t>
      </w:r>
      <w:r>
        <w:rPr>
          <w:rFonts w:hint="eastAsia" w:ascii="宋体" w:hAnsi="宋体" w:cs="宋体"/>
          <w:spacing w:val="-1"/>
          <w:sz w:val="24"/>
          <w:szCs w:val="24"/>
        </w:rPr>
        <w:t>对引进ITSS运维服务能力管理体系的运行情况进行评审。通过对具体工作的过程记录的检查、具体人员的访谈，确定运维服务活动是否符合调整后的运维体系要求，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从而</w:t>
      </w:r>
      <w:r>
        <w:rPr>
          <w:rFonts w:hint="eastAsia" w:ascii="宋体" w:hAnsi="宋体" w:cs="宋体"/>
          <w:spacing w:val="-1"/>
          <w:sz w:val="24"/>
          <w:szCs w:val="24"/>
        </w:rPr>
        <w:t>确定新的运维管理体系是否适合公司的实际工作情况。</w:t>
      </w:r>
    </w:p>
    <w:p w14:paraId="59BFF7E7">
      <w:pPr>
        <w:pStyle w:val="29"/>
        <w:keepNext w:val="0"/>
        <w:keepLines w:val="0"/>
        <w:widowControl w:val="0"/>
      </w:pPr>
      <w:bookmarkStart w:id="11" w:name="_Toc22803"/>
      <w:r>
        <w:t>运维服务能力管理评审</w:t>
      </w:r>
      <w:bookmarkEnd w:id="11"/>
    </w:p>
    <w:p w14:paraId="63723EA7">
      <w:pPr>
        <w:widowControl w:val="0"/>
        <w:ind w:firstLine="476" w:firstLineChars="200"/>
        <w:rPr>
          <w:rFonts w:ascii="宋体" w:hAnsi="宋体" w:cs="宋体"/>
          <w:spacing w:val="-1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管理评审目的是对公司运维服务管理体系进行系统评审，识别并确定各种改进的机会和需要，确保运维服务管理体系持续的适宜性、充分性和有效性。运维服务能力管理评审由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质量部</w:t>
      </w:r>
      <w:r>
        <w:rPr>
          <w:rFonts w:ascii="宋体" w:hAnsi="宋体" w:cs="宋体"/>
          <w:spacing w:val="-1"/>
          <w:sz w:val="24"/>
          <w:szCs w:val="24"/>
        </w:rPr>
        <w:t>负责组织实施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。</w:t>
      </w:r>
    </w:p>
    <w:p w14:paraId="14C6F832">
      <w:pPr>
        <w:pStyle w:val="29"/>
        <w:keepNext w:val="0"/>
        <w:keepLines w:val="0"/>
        <w:widowControl w:val="0"/>
      </w:pPr>
      <w:bookmarkStart w:id="12" w:name="_Toc17763"/>
      <w:r>
        <w:t>客户满意度调查</w:t>
      </w:r>
      <w:r>
        <w:rPr>
          <w:rFonts w:hint="eastAsia"/>
          <w:lang w:eastAsia="zh-CN"/>
        </w:rPr>
        <w:t>与分析</w:t>
      </w:r>
      <w:bookmarkEnd w:id="12"/>
    </w:p>
    <w:p w14:paraId="202722A5">
      <w:pPr>
        <w:widowControl w:val="0"/>
        <w:ind w:firstLine="476" w:firstLineChars="200"/>
        <w:rPr>
          <w:rFonts w:ascii="宋体" w:hAnsi="宋体" w:cs="宋体"/>
          <w:spacing w:val="-1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客户满意度调查工作由服务台和质量部组织完成，其中，服务台负责项目级客户满意度调查，质量部负责公司级客户满意度调查。客户满意度调查可采取邮件、问卷、电话、面谈等多种方式。2025年至少进行一次公司级客户满意度调查，并进行汇总分析。</w:t>
      </w:r>
    </w:p>
    <w:p w14:paraId="1639DC3B">
      <w:pPr>
        <w:widowControl w:val="0"/>
        <w:ind w:firstLine="476" w:firstLineChars="200"/>
        <w:rPr>
          <w:rFonts w:ascii="宋体" w:hAnsi="宋体" w:cs="宋体"/>
          <w:spacing w:val="-1"/>
          <w:sz w:val="24"/>
          <w:szCs w:val="24"/>
        </w:rPr>
      </w:pPr>
      <w:r>
        <w:rPr>
          <w:rFonts w:ascii="宋体" w:hAnsi="宋体" w:cs="宋体"/>
          <w:spacing w:val="-1"/>
          <w:sz w:val="24"/>
          <w:szCs w:val="24"/>
        </w:rPr>
        <w:t>项目级的客户满意度调查是对每个已解决的事件或问题在24小时内进行电话回访，确认工程师是否成功解决问题，了解客户对处理结果的满意度。</w:t>
      </w:r>
    </w:p>
    <w:p w14:paraId="64C6F650">
      <w:pPr>
        <w:pStyle w:val="29"/>
        <w:keepNext w:val="0"/>
        <w:keepLines w:val="0"/>
        <w:widowControl w:val="0"/>
        <w:rPr>
          <w:lang w:eastAsia="zh-CN"/>
        </w:rPr>
      </w:pPr>
      <w:bookmarkStart w:id="13" w:name="_Toc12923"/>
      <w:r>
        <w:rPr>
          <w:rFonts w:hint="eastAsia"/>
          <w:lang w:eastAsia="zh-CN"/>
        </w:rPr>
        <w:t>运维服务质量总结、改进</w:t>
      </w:r>
      <w:bookmarkEnd w:id="13"/>
    </w:p>
    <w:p w14:paraId="39FA89A8">
      <w:pPr>
        <w:widowControl w:val="0"/>
        <w:ind w:firstLine="476" w:firstLineChars="200"/>
        <w:rPr>
          <w:rFonts w:ascii="宋体" w:hAnsi="宋体" w:cs="宋体"/>
          <w:spacing w:val="-1"/>
          <w:sz w:val="24"/>
          <w:szCs w:val="24"/>
          <w:lang w:eastAsia="zh-CN"/>
        </w:rPr>
      </w:pPr>
      <w:r>
        <w:rPr>
          <w:rFonts w:ascii="宋体" w:hAnsi="宋体" w:cs="宋体"/>
          <w:spacing w:val="-1"/>
          <w:sz w:val="24"/>
          <w:szCs w:val="24"/>
        </w:rPr>
        <w:t>通过实施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内部审核</w:t>
      </w:r>
      <w:r>
        <w:rPr>
          <w:rFonts w:ascii="宋体" w:hAnsi="宋体" w:cs="宋体"/>
          <w:spacing w:val="-1"/>
          <w:sz w:val="24"/>
          <w:szCs w:val="24"/>
        </w:rPr>
        <w:t>、管理评审和客户满意度调查进行系统考核，综合分析发现的问题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并</w:t>
      </w:r>
      <w:r>
        <w:rPr>
          <w:rFonts w:ascii="宋体" w:hAnsi="宋体" w:cs="宋体"/>
          <w:spacing w:val="-1"/>
          <w:sz w:val="24"/>
          <w:szCs w:val="24"/>
        </w:rPr>
        <w:t>反馈，以此驱动运维服务流程的持续优化与服务质量的有效改进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，提高客户满意度</w:t>
      </w:r>
      <w:r>
        <w:rPr>
          <w:rFonts w:ascii="宋体" w:hAnsi="宋体" w:cs="宋体"/>
          <w:spacing w:val="-1"/>
          <w:sz w:val="24"/>
          <w:szCs w:val="24"/>
        </w:rPr>
        <w:t>。</w:t>
      </w:r>
    </w:p>
    <w:sectPr>
      <w:footerReference r:id="rId5" w:type="default"/>
      <w:pgSz w:w="11906" w:h="16839"/>
      <w:pgMar w:top="1431" w:right="634" w:bottom="1375" w:left="1417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03445">
    <w:pPr>
      <w:spacing w:line="167" w:lineRule="auto"/>
      <w:ind w:left="5282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DFBCE76"/>
    <w:multiLevelType w:val="singleLevel"/>
    <w:tmpl w:val="FDFBCE7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DA7343"/>
    <w:rsid w:val="00AD6D32"/>
    <w:rsid w:val="00DA7343"/>
    <w:rsid w:val="00DD5790"/>
    <w:rsid w:val="08A059D4"/>
    <w:rsid w:val="1B603868"/>
    <w:rsid w:val="2B2F6A18"/>
    <w:rsid w:val="463D6035"/>
    <w:rsid w:val="46ED1809"/>
    <w:rsid w:val="56434A2F"/>
    <w:rsid w:val="5A6563B3"/>
    <w:rsid w:val="5FE315A4"/>
    <w:rsid w:val="69E03194"/>
    <w:rsid w:val="6BFF2027"/>
    <w:rsid w:val="6EF2535F"/>
    <w:rsid w:val="6F52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Balloon Text"/>
    <w:basedOn w:val="1"/>
    <w:link w:val="43"/>
    <w:qFormat/>
    <w:uiPriority w:val="0"/>
    <w:pPr>
      <w:spacing w:line="240" w:lineRule="auto"/>
    </w:pPr>
    <w:rPr>
      <w:sz w:val="18"/>
      <w:szCs w:val="18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jc w:val="center"/>
      <w:outlineLvl w:val="0"/>
    </w:pPr>
    <w:rPr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4">
    <w:name w:val="Strong"/>
    <w:basedOn w:val="23"/>
    <w:qFormat/>
    <w:uiPriority w:val="0"/>
    <w:rPr>
      <w:b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7">
    <w:name w:val="柴_标题1"/>
    <w:basedOn w:val="2"/>
    <w:next w:val="28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28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29">
    <w:name w:val="柴_标题2"/>
    <w:basedOn w:val="3"/>
    <w:next w:val="28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4"/>
    <w:next w:val="28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1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2">
    <w:name w:val="柴_公司名"/>
    <w:basedOn w:val="20"/>
    <w:qFormat/>
    <w:uiPriority w:val="0"/>
    <w:pPr>
      <w:spacing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33">
    <w:name w:val="柴_文档名"/>
    <w:basedOn w:val="20"/>
    <w:qFormat/>
    <w:uiPriority w:val="0"/>
    <w:pPr>
      <w:spacing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7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8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批注框文本 Char"/>
    <w:basedOn w:val="23"/>
    <w:link w:val="14"/>
    <w:qFormat/>
    <w:uiPriority w:val="0"/>
    <w:rPr>
      <w:rFonts w:ascii="Arial" w:hAnsi="Arial" w:cs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1572</Words>
  <Characters>1712</Characters>
  <Lines>18</Lines>
  <Paragraphs>5</Paragraphs>
  <TotalTime>0</TotalTime>
  <ScaleCrop>false</ScaleCrop>
  <LinksUpToDate>false</LinksUpToDate>
  <CharactersWithSpaces>1832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2025-08-16T01:17:00Z</dcterms:created>
  <dc:creator>谢永刚</dc:creator>
  <cp:lastModifiedBy>郝宇</cp:lastModifiedBy>
  <dcterms:modified xsi:type="dcterms:W3CDTF">2026-04-16T18:49:22Z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2025-08-21T01:08:30Z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44EA6E5388B84B6188DC21AEC5BCE972_12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