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0307E">
      <w:pPr>
        <w:pStyle w:val="32"/>
        <w:widowControl w:val="0"/>
        <w:spacing w:after="1440"/>
        <w:rPr>
          <w:rFonts w:hint="default"/>
        </w:rPr>
      </w:pPr>
    </w:p>
    <w:p w14:paraId="4B17CD88">
      <w:pPr>
        <w:pStyle w:val="32"/>
        <w:widowControl w:val="0"/>
        <w:spacing w:after="1440"/>
        <w:rPr>
          <w:rFonts w:hint="eastAsia" w:eastAsia="宋体"/>
          <w:lang w:val="en-US" w:eastAsia="zh-CN"/>
        </w:rPr>
      </w:pPr>
      <w:bookmarkStart w:id="0" w:name="_Toc16981"/>
      <w:r>
        <w:rPr>
          <w:rFonts w:hint="eastAsia"/>
          <w:lang w:val="en-US" w:eastAsia="zh-CN"/>
        </w:rPr>
        <w:t>2026年</w:t>
      </w:r>
      <w:r>
        <w:t>运维服务质量管理报告</w:t>
      </w:r>
      <w:bookmarkEnd w:id="0"/>
      <w:r>
        <w:br w:type="textWrapping"/>
      </w:r>
      <w:r>
        <w:rPr>
          <w:rFonts w:hint="eastAsia"/>
          <w:lang w:eastAsia="zh-CN"/>
        </w:rPr>
        <w:t>（</w:t>
      </w:r>
      <w:r>
        <w:rPr>
          <w:rFonts w:hint="eastAsia"/>
          <w:lang w:val="en-US" w:eastAsia="zh-CN"/>
        </w:rPr>
        <w:t>第一季度</w:t>
      </w:r>
      <w:bookmarkStart w:id="19" w:name="_GoBack"/>
      <w:bookmarkEnd w:id="19"/>
      <w:r>
        <w:rPr>
          <w:rFonts w:hint="eastAsia"/>
          <w:lang w:eastAsia="zh-CN"/>
        </w:rPr>
        <w:t>）</w:t>
      </w:r>
    </w:p>
    <w:p w14:paraId="719E562A">
      <w:pPr>
        <w:pStyle w:val="33"/>
        <w:widowControl w:val="0"/>
        <w:spacing w:after="2160"/>
      </w:pPr>
      <w:bookmarkStart w:id="1" w:name="_Toc1864"/>
      <w:r>
        <w:t>江苏云储智能科技有限公司</w:t>
      </w:r>
      <w:bookmarkEnd w:id="1"/>
    </w:p>
    <w:p w14:paraId="020110C3">
      <w:pPr>
        <w:widowControl w:val="0"/>
        <w:spacing w:before="295" w:line="220" w:lineRule="auto"/>
        <w:ind w:left="3019"/>
        <w:rPr>
          <w:rFonts w:ascii="宋体" w:hAnsi="宋体" w:cs="宋体"/>
          <w:sz w:val="30"/>
          <w:szCs w:val="30"/>
        </w:rPr>
      </w:pPr>
      <w:r>
        <w:rPr>
          <w:rFonts w:ascii="宋体" w:hAnsi="宋体" w:cs="宋体"/>
          <w:spacing w:val="-9"/>
          <w:sz w:val="30"/>
          <w:szCs w:val="30"/>
        </w:rPr>
        <w:t>2025年</w:t>
      </w:r>
      <w:r>
        <w:rPr>
          <w:rFonts w:hint="eastAsia" w:ascii="宋体" w:hAnsi="宋体" w:cs="宋体"/>
          <w:spacing w:val="-9"/>
          <w:sz w:val="30"/>
          <w:szCs w:val="30"/>
          <w:lang w:eastAsia="zh-CN"/>
        </w:rPr>
        <w:t>12</w:t>
      </w:r>
      <w:r>
        <w:rPr>
          <w:rFonts w:ascii="宋体" w:hAnsi="宋体" w:cs="宋体"/>
          <w:spacing w:val="-9"/>
          <w:sz w:val="30"/>
          <w:szCs w:val="30"/>
        </w:rPr>
        <w:t>月</w:t>
      </w:r>
      <w:r>
        <w:rPr>
          <w:rFonts w:hint="eastAsia" w:ascii="宋体" w:hAnsi="宋体" w:cs="宋体"/>
          <w:spacing w:val="-9"/>
          <w:sz w:val="30"/>
          <w:szCs w:val="30"/>
          <w:lang w:eastAsia="zh-CN"/>
        </w:rPr>
        <w:t>28</w:t>
      </w:r>
      <w:r>
        <w:rPr>
          <w:rFonts w:ascii="宋体" w:hAnsi="宋体" w:cs="宋体"/>
          <w:spacing w:val="-9"/>
          <w:sz w:val="30"/>
          <w:szCs w:val="30"/>
        </w:rPr>
        <w:t>日</w:t>
      </w:r>
    </w:p>
    <w:p w14:paraId="3ECA3314">
      <w:pPr>
        <w:widowControl w:val="0"/>
        <w:spacing w:line="220" w:lineRule="auto"/>
        <w:rPr>
          <w:rFonts w:ascii="宋体" w:hAnsi="宋体" w:cs="宋体"/>
          <w:sz w:val="30"/>
          <w:szCs w:val="30"/>
        </w:rPr>
        <w:sectPr>
          <w:pgSz w:w="11906" w:h="16839"/>
          <w:pgMar w:top="1431" w:right="1785" w:bottom="0" w:left="1785" w:header="0" w:footer="0" w:gutter="0"/>
          <w:cols w:space="720" w:num="1"/>
        </w:sectPr>
      </w:pPr>
    </w:p>
    <w:p w14:paraId="4B9A99D5">
      <w:pPr>
        <w:widowControl w:val="0"/>
        <w:spacing w:before="91" w:line="220" w:lineRule="auto"/>
        <w:ind w:left="3710"/>
        <w:outlineLvl w:val="0"/>
        <w:rPr>
          <w:rFonts w:ascii="宋体" w:hAnsi="宋体" w:cs="宋体"/>
          <w:sz w:val="28"/>
          <w:szCs w:val="28"/>
        </w:rPr>
      </w:pPr>
      <w:bookmarkStart w:id="2" w:name="_Toc30330"/>
      <w:r>
        <w:rPr>
          <w:rFonts w:ascii="宋体" w:hAnsi="宋体" w:cs="宋体"/>
          <w:spacing w:val="-3"/>
          <w:sz w:val="28"/>
          <w:szCs w:val="28"/>
        </w:rPr>
        <w:t>文档信息</w:t>
      </w:r>
      <w:bookmarkEnd w:id="2"/>
    </w:p>
    <w:tbl>
      <w:tblPr>
        <w:tblStyle w:val="25"/>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3"/>
        <w:gridCol w:w="1557"/>
        <w:gridCol w:w="1953"/>
      </w:tblGrid>
      <w:tr w14:paraId="71F81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775B3809">
            <w:pPr>
              <w:pStyle w:val="26"/>
              <w:widowControl w:val="0"/>
              <w:spacing w:before="185" w:line="220" w:lineRule="auto"/>
              <w:ind w:left="207"/>
            </w:pPr>
            <w:r>
              <w:rPr>
                <w:spacing w:val="-2"/>
              </w:rPr>
              <w:t>文档名称编号</w:t>
            </w:r>
          </w:p>
        </w:tc>
        <w:tc>
          <w:tcPr>
            <w:tcW w:w="7226" w:type="dxa"/>
            <w:gridSpan w:val="4"/>
          </w:tcPr>
          <w:p w14:paraId="27E49C3C">
            <w:pPr>
              <w:pStyle w:val="26"/>
              <w:widowControl w:val="0"/>
              <w:spacing w:before="185" w:line="218" w:lineRule="auto"/>
              <w:ind w:left="112"/>
            </w:pPr>
            <w:r>
              <w:rPr>
                <w:spacing w:val="-1"/>
              </w:rPr>
              <w:t>运维服务质量管理报告（JSYC</w:t>
            </w:r>
            <w:r>
              <w:rPr>
                <w:spacing w:val="-2"/>
              </w:rPr>
              <w:t>-ITSS-ZLGLBG）</w:t>
            </w:r>
          </w:p>
        </w:tc>
      </w:tr>
      <w:tr w14:paraId="0F4E7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4A7BB622">
            <w:pPr>
              <w:pStyle w:val="26"/>
              <w:widowControl w:val="0"/>
              <w:spacing w:before="182" w:line="220" w:lineRule="auto"/>
              <w:ind w:left="447"/>
            </w:pPr>
            <w:r>
              <w:rPr>
                <w:spacing w:val="-3"/>
              </w:rPr>
              <w:t>编制单位</w:t>
            </w:r>
          </w:p>
        </w:tc>
        <w:tc>
          <w:tcPr>
            <w:tcW w:w="7226" w:type="dxa"/>
            <w:gridSpan w:val="4"/>
          </w:tcPr>
          <w:p w14:paraId="43771CBE">
            <w:pPr>
              <w:pStyle w:val="26"/>
              <w:widowControl w:val="0"/>
              <w:spacing w:before="182" w:line="219" w:lineRule="auto"/>
              <w:ind w:left="109"/>
            </w:pPr>
            <w:r>
              <w:rPr>
                <w:spacing w:val="-1"/>
              </w:rPr>
              <w:t>江苏云储智能科技有限公司</w:t>
            </w:r>
          </w:p>
        </w:tc>
      </w:tr>
      <w:tr w14:paraId="7CB79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36D18457">
            <w:pPr>
              <w:pStyle w:val="26"/>
              <w:widowControl w:val="0"/>
              <w:spacing w:before="184" w:line="219" w:lineRule="auto"/>
              <w:ind w:left="447"/>
            </w:pPr>
            <w:r>
              <w:rPr>
                <w:spacing w:val="-3"/>
              </w:rPr>
              <w:t>文档版本</w:t>
            </w:r>
          </w:p>
        </w:tc>
        <w:tc>
          <w:tcPr>
            <w:tcW w:w="1413" w:type="dxa"/>
          </w:tcPr>
          <w:p w14:paraId="64A1075C">
            <w:pPr>
              <w:pStyle w:val="26"/>
              <w:widowControl w:val="0"/>
              <w:spacing w:before="184" w:line="219" w:lineRule="auto"/>
              <w:ind w:left="229"/>
            </w:pPr>
            <w:r>
              <w:rPr>
                <w:spacing w:val="-2"/>
              </w:rPr>
              <w:t>版本日期</w:t>
            </w:r>
          </w:p>
        </w:tc>
        <w:tc>
          <w:tcPr>
            <w:tcW w:w="2303" w:type="dxa"/>
          </w:tcPr>
          <w:p w14:paraId="3832FF6F">
            <w:pPr>
              <w:pStyle w:val="26"/>
              <w:widowControl w:val="0"/>
              <w:spacing w:before="184" w:line="219" w:lineRule="auto"/>
              <w:ind w:left="676"/>
            </w:pPr>
            <w:r>
              <w:rPr>
                <w:spacing w:val="-2"/>
              </w:rPr>
              <w:t>版本说明</w:t>
            </w:r>
          </w:p>
        </w:tc>
        <w:tc>
          <w:tcPr>
            <w:tcW w:w="1557" w:type="dxa"/>
          </w:tcPr>
          <w:p w14:paraId="551002EA">
            <w:pPr>
              <w:pStyle w:val="26"/>
              <w:widowControl w:val="0"/>
              <w:spacing w:before="185" w:line="220" w:lineRule="auto"/>
              <w:ind w:left="545"/>
            </w:pPr>
            <w:r>
              <w:rPr>
                <w:spacing w:val="-3"/>
              </w:rPr>
              <w:t>作者</w:t>
            </w:r>
          </w:p>
        </w:tc>
        <w:tc>
          <w:tcPr>
            <w:tcW w:w="1953" w:type="dxa"/>
          </w:tcPr>
          <w:p w14:paraId="211BE010">
            <w:pPr>
              <w:pStyle w:val="26"/>
              <w:widowControl w:val="0"/>
              <w:spacing w:before="185" w:line="220" w:lineRule="auto"/>
              <w:ind w:left="754"/>
            </w:pPr>
            <w:r>
              <w:rPr>
                <w:spacing w:val="-6"/>
              </w:rPr>
              <w:t>审核</w:t>
            </w:r>
          </w:p>
        </w:tc>
      </w:tr>
      <w:tr w14:paraId="1FFA2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6141CA62">
            <w:pPr>
              <w:pStyle w:val="26"/>
              <w:widowControl w:val="0"/>
              <w:spacing w:before="154" w:line="238" w:lineRule="auto"/>
              <w:ind w:left="680"/>
            </w:pPr>
            <w:r>
              <w:rPr>
                <w:spacing w:val="-1"/>
              </w:rPr>
              <w:t>V1.0</w:t>
            </w:r>
          </w:p>
        </w:tc>
        <w:tc>
          <w:tcPr>
            <w:tcW w:w="1413" w:type="dxa"/>
          </w:tcPr>
          <w:p w14:paraId="72A01699">
            <w:pPr>
              <w:pStyle w:val="26"/>
              <w:widowControl w:val="0"/>
              <w:spacing w:before="154" w:line="238" w:lineRule="auto"/>
              <w:ind w:left="231"/>
              <w:rPr>
                <w:lang w:eastAsia="zh-CN"/>
              </w:rPr>
            </w:pPr>
            <w:r>
              <w:rPr>
                <w:spacing w:val="-2"/>
              </w:rPr>
              <w:t>2025-</w:t>
            </w:r>
            <w:r>
              <w:rPr>
                <w:rFonts w:hint="eastAsia"/>
                <w:spacing w:val="-2"/>
                <w:lang w:eastAsia="zh-CN"/>
              </w:rPr>
              <w:t>12</w:t>
            </w:r>
            <w:r>
              <w:rPr>
                <w:spacing w:val="-2"/>
              </w:rPr>
              <w:t>-2</w:t>
            </w:r>
            <w:r>
              <w:rPr>
                <w:rFonts w:hint="eastAsia"/>
                <w:spacing w:val="-2"/>
                <w:lang w:eastAsia="zh-CN"/>
              </w:rPr>
              <w:t>8</w:t>
            </w:r>
          </w:p>
        </w:tc>
        <w:tc>
          <w:tcPr>
            <w:tcW w:w="2303" w:type="dxa"/>
          </w:tcPr>
          <w:p w14:paraId="6E13B7EC">
            <w:pPr>
              <w:pStyle w:val="26"/>
              <w:widowControl w:val="0"/>
              <w:spacing w:before="119" w:line="219" w:lineRule="auto"/>
              <w:ind w:left="679"/>
            </w:pPr>
            <w:r>
              <w:rPr>
                <w:spacing w:val="-3"/>
              </w:rPr>
              <w:t>发布版本</w:t>
            </w:r>
          </w:p>
        </w:tc>
        <w:tc>
          <w:tcPr>
            <w:tcW w:w="1557" w:type="dxa"/>
          </w:tcPr>
          <w:p w14:paraId="558C87DC">
            <w:pPr>
              <w:pStyle w:val="26"/>
              <w:widowControl w:val="0"/>
              <w:spacing w:before="119" w:line="220" w:lineRule="auto"/>
              <w:ind w:left="426"/>
              <w:rPr>
                <w:lang w:eastAsia="zh-CN"/>
              </w:rPr>
            </w:pPr>
            <w:r>
              <w:rPr>
                <w:rFonts w:hint="eastAsia"/>
                <w:lang w:eastAsia="zh-CN"/>
              </w:rPr>
              <w:t>郑云</w:t>
            </w:r>
          </w:p>
        </w:tc>
        <w:tc>
          <w:tcPr>
            <w:tcW w:w="1953" w:type="dxa"/>
          </w:tcPr>
          <w:p w14:paraId="5E761BE2">
            <w:pPr>
              <w:pStyle w:val="26"/>
              <w:widowControl w:val="0"/>
              <w:spacing w:before="119" w:line="220" w:lineRule="auto"/>
              <w:ind w:left="628"/>
            </w:pPr>
            <w:r>
              <w:rPr>
                <w:spacing w:val="-4"/>
              </w:rPr>
              <w:t>史晓玲</w:t>
            </w:r>
          </w:p>
        </w:tc>
      </w:tr>
      <w:tr w14:paraId="31A76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50C7E68">
            <w:pPr>
              <w:widowControl w:val="0"/>
            </w:pPr>
          </w:p>
        </w:tc>
        <w:tc>
          <w:tcPr>
            <w:tcW w:w="1413" w:type="dxa"/>
          </w:tcPr>
          <w:p w14:paraId="0BD65731">
            <w:pPr>
              <w:widowControl w:val="0"/>
            </w:pPr>
          </w:p>
        </w:tc>
        <w:tc>
          <w:tcPr>
            <w:tcW w:w="2303" w:type="dxa"/>
          </w:tcPr>
          <w:p w14:paraId="240DBDDA">
            <w:pPr>
              <w:widowControl w:val="0"/>
            </w:pPr>
          </w:p>
        </w:tc>
        <w:tc>
          <w:tcPr>
            <w:tcW w:w="1557" w:type="dxa"/>
          </w:tcPr>
          <w:p w14:paraId="6994CBDF">
            <w:pPr>
              <w:widowControl w:val="0"/>
            </w:pPr>
          </w:p>
        </w:tc>
        <w:tc>
          <w:tcPr>
            <w:tcW w:w="1953" w:type="dxa"/>
          </w:tcPr>
          <w:p w14:paraId="44C27899">
            <w:pPr>
              <w:widowControl w:val="0"/>
            </w:pPr>
          </w:p>
        </w:tc>
      </w:tr>
      <w:tr w14:paraId="26E05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1846" w:type="dxa"/>
          </w:tcPr>
          <w:p w14:paraId="53CB6787">
            <w:pPr>
              <w:widowControl w:val="0"/>
            </w:pPr>
          </w:p>
        </w:tc>
        <w:tc>
          <w:tcPr>
            <w:tcW w:w="1413" w:type="dxa"/>
          </w:tcPr>
          <w:p w14:paraId="3ECD4B07">
            <w:pPr>
              <w:widowControl w:val="0"/>
            </w:pPr>
          </w:p>
        </w:tc>
        <w:tc>
          <w:tcPr>
            <w:tcW w:w="2303" w:type="dxa"/>
          </w:tcPr>
          <w:p w14:paraId="43353E09">
            <w:pPr>
              <w:widowControl w:val="0"/>
            </w:pPr>
          </w:p>
        </w:tc>
        <w:tc>
          <w:tcPr>
            <w:tcW w:w="1557" w:type="dxa"/>
          </w:tcPr>
          <w:p w14:paraId="08DF4B19">
            <w:pPr>
              <w:widowControl w:val="0"/>
            </w:pPr>
          </w:p>
        </w:tc>
        <w:tc>
          <w:tcPr>
            <w:tcW w:w="1953" w:type="dxa"/>
          </w:tcPr>
          <w:p w14:paraId="04198A1C">
            <w:pPr>
              <w:widowControl w:val="0"/>
            </w:pPr>
          </w:p>
        </w:tc>
      </w:tr>
    </w:tbl>
    <w:p w14:paraId="69E133D0">
      <w:pPr>
        <w:pStyle w:val="12"/>
        <w:widowControl w:val="0"/>
      </w:pPr>
    </w:p>
    <w:p w14:paraId="6A14C2A4">
      <w:pPr>
        <w:widowControl w:val="0"/>
        <w:sectPr>
          <w:pgSz w:w="11906" w:h="16839"/>
          <w:pgMar w:top="1431" w:right="1127" w:bottom="0" w:left="1696" w:header="0" w:footer="0" w:gutter="0"/>
          <w:cols w:space="720" w:num="1"/>
        </w:sectPr>
      </w:pPr>
    </w:p>
    <w:sdt>
      <w:sdtPr>
        <w:rPr>
          <w:rFonts w:ascii="宋体" w:hAnsi="宋体"/>
        </w:rPr>
        <w:id w:val="147456429"/>
        <w:docPartObj>
          <w:docPartGallery w:val="Table of Contents"/>
          <w:docPartUnique/>
        </w:docPartObj>
      </w:sdtPr>
      <w:sdtEndPr>
        <w:rPr>
          <w:rFonts w:hint="eastAsia" w:ascii="Microsoft JhengHei" w:hAnsi="Microsoft JhengHei" w:eastAsia="Microsoft JhengHei" w:cs="Microsoft JhengHei"/>
          <w:sz w:val="24"/>
          <w:szCs w:val="24"/>
        </w:rPr>
      </w:sdtEndPr>
      <w:sdtContent>
        <w:p w14:paraId="65BA25CF">
          <w:pPr>
            <w:widowControl w:val="0"/>
            <w:spacing w:line="240" w:lineRule="auto"/>
            <w:jc w:val="center"/>
          </w:pPr>
          <w:r>
            <w:rPr>
              <w:rFonts w:ascii="宋体" w:hAnsi="宋体"/>
            </w:rPr>
            <w:t>目录</w:t>
          </w:r>
        </w:p>
        <w:p w14:paraId="59FBCBE2">
          <w:pPr>
            <w:pStyle w:val="17"/>
            <w:tabs>
              <w:tab w:val="right" w:leader="dot" w:pos="8497"/>
            </w:tabs>
          </w:pPr>
          <w:r>
            <w:rPr>
              <w:rFonts w:hint="eastAsia" w:ascii="Microsoft JhengHei" w:hAnsi="Microsoft JhengHei" w:cs="Microsoft JhengHei"/>
              <w:szCs w:val="24"/>
            </w:rPr>
            <w:fldChar w:fldCharType="begin"/>
          </w:r>
          <w:r>
            <w:rPr>
              <w:rFonts w:hint="eastAsia" w:ascii="Microsoft JhengHei" w:hAnsi="Microsoft JhengHei" w:cs="Microsoft JhengHei"/>
              <w:szCs w:val="24"/>
            </w:rPr>
            <w:instrText xml:space="preserve">TOC \o "1-3" \h \u </w:instrText>
          </w:r>
          <w:r>
            <w:rPr>
              <w:rFonts w:hint="eastAsia" w:ascii="Microsoft JhengHei" w:hAnsi="Microsoft JhengHei" w:cs="Microsoft JhengHei"/>
              <w:szCs w:val="24"/>
            </w:rPr>
            <w:fldChar w:fldCharType="separate"/>
          </w:r>
          <w:r>
            <w:rPr>
              <w:rFonts w:hint="eastAsia" w:ascii="Microsoft JhengHei" w:hAnsi="Microsoft JhengHei" w:cs="Microsoft JhengHei"/>
              <w:szCs w:val="24"/>
            </w:rPr>
            <w:fldChar w:fldCharType="begin"/>
          </w:r>
          <w:r>
            <w:rPr>
              <w:rFonts w:hint="eastAsia" w:ascii="Microsoft JhengHei" w:hAnsi="Microsoft JhengHei" w:cs="Microsoft JhengHei"/>
              <w:szCs w:val="24"/>
            </w:rPr>
            <w:instrText xml:space="preserve"> HYPERLINK \l _Toc16981 </w:instrText>
          </w:r>
          <w:r>
            <w:rPr>
              <w:rFonts w:hint="eastAsia" w:ascii="Microsoft JhengHei" w:hAnsi="Microsoft JhengHei" w:cs="Microsoft JhengHei"/>
              <w:szCs w:val="24"/>
            </w:rPr>
            <w:fldChar w:fldCharType="separate"/>
          </w:r>
          <w:r>
            <w:t>运维服务质量管理报告</w:t>
          </w:r>
          <w:r>
            <w:tab/>
          </w:r>
          <w:r>
            <w:fldChar w:fldCharType="begin"/>
          </w:r>
          <w:r>
            <w:instrText xml:space="preserve"> PAGEREF _Toc16981 \h </w:instrText>
          </w:r>
          <w:r>
            <w:fldChar w:fldCharType="separate"/>
          </w:r>
          <w:r>
            <w:t>1</w:t>
          </w:r>
          <w:r>
            <w:fldChar w:fldCharType="end"/>
          </w:r>
          <w:r>
            <w:rPr>
              <w:rFonts w:hint="eastAsia" w:ascii="Microsoft JhengHei" w:hAnsi="Microsoft JhengHei" w:cs="Microsoft JhengHei"/>
              <w:szCs w:val="24"/>
            </w:rPr>
            <w:fldChar w:fldCharType="end"/>
          </w:r>
        </w:p>
        <w:p w14:paraId="0A7647DE">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_Toc4697 </w:instrText>
          </w:r>
          <w:r>
            <w:rPr>
              <w:rFonts w:hint="eastAsia" w:ascii="Microsoft JhengHei" w:hAnsi="Microsoft JhengHei" w:eastAsia="Microsoft JhengHei" w:cs="Microsoft JhengHei"/>
              <w:szCs w:val="24"/>
            </w:rPr>
            <w:fldChar w:fldCharType="separate"/>
          </w:r>
          <w:r>
            <w:rPr>
              <w:rFonts w:hint="eastAsia"/>
            </w:rPr>
            <w:t>(截止2025年12月)</w:t>
          </w:r>
          <w:r>
            <w:tab/>
          </w:r>
          <w:r>
            <w:fldChar w:fldCharType="begin"/>
          </w:r>
          <w:r>
            <w:instrText xml:space="preserve"> PAGEREF _Toc4697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42D549BE">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_Toc1864 </w:instrText>
          </w:r>
          <w:r>
            <w:rPr>
              <w:rFonts w:hint="eastAsia" w:ascii="Microsoft JhengHei" w:hAnsi="Microsoft JhengHei" w:eastAsia="Microsoft JhengHei" w:cs="Microsoft JhengHei"/>
              <w:szCs w:val="24"/>
            </w:rPr>
            <w:fldChar w:fldCharType="separate"/>
          </w:r>
          <w:r>
            <w:t>江苏云储智能科技有限公司</w:t>
          </w:r>
          <w:r>
            <w:tab/>
          </w:r>
          <w:r>
            <w:fldChar w:fldCharType="begin"/>
          </w:r>
          <w:r>
            <w:instrText xml:space="preserve"> PAGEREF _Toc1864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12088EE2">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_Toc30330 </w:instrText>
          </w:r>
          <w:r>
            <w:rPr>
              <w:rFonts w:hint="eastAsia" w:ascii="Microsoft JhengHei" w:hAnsi="Microsoft JhengHei" w:eastAsia="Microsoft JhengHei" w:cs="Microsoft JhengHei"/>
              <w:szCs w:val="24"/>
            </w:rPr>
            <w:fldChar w:fldCharType="separate"/>
          </w:r>
          <w:r>
            <w:rPr>
              <w:rFonts w:ascii="宋体" w:hAnsi="宋体" w:cs="宋体"/>
              <w:spacing w:val="-3"/>
              <w:szCs w:val="28"/>
            </w:rPr>
            <w:t>文档信息</w:t>
          </w:r>
          <w:r>
            <w:tab/>
          </w:r>
          <w:r>
            <w:fldChar w:fldCharType="begin"/>
          </w:r>
          <w:r>
            <w:instrText xml:space="preserve"> PAGEREF _Toc30330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66B5E083">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_Toc2067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_Toc2067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9A4761E">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_Toc6701 </w:instrText>
          </w:r>
          <w:r>
            <w:rPr>
              <w:rFonts w:hint="eastAsia" w:ascii="Microsoft JhengHei" w:hAnsi="Microsoft JhengHei" w:eastAsia="Microsoft JhengHei" w:cs="Microsoft JhengHei"/>
              <w:szCs w:val="24"/>
            </w:rPr>
            <w:fldChar w:fldCharType="separate"/>
          </w:r>
          <w:r>
            <w:rPr>
              <w:rFonts w:hint="default"/>
            </w:rPr>
            <w:t xml:space="preserve">2. </w:t>
          </w:r>
          <w:r>
            <w:t>适用范围</w:t>
          </w:r>
          <w:r>
            <w:tab/>
          </w:r>
          <w:r>
            <w:fldChar w:fldCharType="begin"/>
          </w:r>
          <w:r>
            <w:instrText xml:space="preserve"> PAGEREF _Toc6701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12789CCD">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_Toc8671 </w:instrText>
          </w:r>
          <w:r>
            <w:rPr>
              <w:rFonts w:hint="eastAsia" w:ascii="Microsoft JhengHei" w:hAnsi="Microsoft JhengHei" w:eastAsia="Microsoft JhengHei" w:cs="Microsoft JhengHei"/>
              <w:szCs w:val="24"/>
            </w:rPr>
            <w:fldChar w:fldCharType="separate"/>
          </w:r>
          <w:r>
            <w:rPr>
              <w:rFonts w:hint="default"/>
            </w:rPr>
            <w:t xml:space="preserve">3. </w:t>
          </w:r>
          <w:r>
            <w:t>引用文件</w:t>
          </w:r>
          <w:r>
            <w:tab/>
          </w:r>
          <w:r>
            <w:fldChar w:fldCharType="begin"/>
          </w:r>
          <w:r>
            <w:instrText xml:space="preserve"> PAGEREF _Toc8671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3079312C">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_Toc22712 </w:instrText>
          </w:r>
          <w:r>
            <w:rPr>
              <w:rFonts w:hint="eastAsia" w:ascii="Microsoft JhengHei" w:hAnsi="Microsoft JhengHei" w:eastAsia="Microsoft JhengHei" w:cs="Microsoft JhengHei"/>
              <w:szCs w:val="24"/>
            </w:rPr>
            <w:fldChar w:fldCharType="separate"/>
          </w:r>
          <w:r>
            <w:rPr>
              <w:rFonts w:hint="default"/>
            </w:rPr>
            <w:t xml:space="preserve">4. </w:t>
          </w:r>
          <w:r>
            <w:t>术语与定义</w:t>
          </w:r>
          <w:r>
            <w:tab/>
          </w:r>
          <w:r>
            <w:fldChar w:fldCharType="begin"/>
          </w:r>
          <w:r>
            <w:instrText xml:space="preserve"> PAGEREF _Toc22712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14C83410">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_Toc29336 </w:instrText>
          </w:r>
          <w:r>
            <w:rPr>
              <w:rFonts w:hint="eastAsia" w:ascii="Microsoft JhengHei" w:hAnsi="Microsoft JhengHei" w:eastAsia="Microsoft JhengHei" w:cs="Microsoft JhengHei"/>
              <w:szCs w:val="24"/>
            </w:rPr>
            <w:fldChar w:fldCharType="separate"/>
          </w:r>
          <w:r>
            <w:rPr>
              <w:rFonts w:hint="default"/>
            </w:rPr>
            <w:t xml:space="preserve">5. </w:t>
          </w:r>
          <w:r>
            <w:t>角色与职责</w:t>
          </w:r>
          <w:r>
            <w:tab/>
          </w:r>
          <w:r>
            <w:fldChar w:fldCharType="begin"/>
          </w:r>
          <w:r>
            <w:instrText xml:space="preserve"> PAGEREF _Toc29336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32C20976">
          <w:pPr>
            <w:pStyle w:val="18"/>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_Toc12582 </w:instrText>
          </w:r>
          <w:r>
            <w:rPr>
              <w:rFonts w:hint="eastAsia" w:ascii="Microsoft JhengHei" w:hAnsi="Microsoft JhengHei" w:eastAsia="Microsoft JhengHei" w:cs="Microsoft JhengHei"/>
              <w:szCs w:val="24"/>
            </w:rPr>
            <w:fldChar w:fldCharType="separate"/>
          </w:r>
          <w:r>
            <w:rPr>
              <w:rFonts w:hint="default"/>
              <w:lang w:eastAsia="zh-CN"/>
            </w:rPr>
            <w:t xml:space="preserve">5.1. </w:t>
          </w:r>
          <w:r>
            <w:rPr>
              <w:rFonts w:hint="eastAsia"/>
              <w:lang w:eastAsia="zh-CN"/>
            </w:rPr>
            <w:t>质量部</w:t>
          </w:r>
          <w:r>
            <w:tab/>
          </w:r>
          <w:r>
            <w:fldChar w:fldCharType="begin"/>
          </w:r>
          <w:r>
            <w:instrText xml:space="preserve"> PAGEREF _Toc12582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3A7FDFC0">
          <w:pPr>
            <w:pStyle w:val="18"/>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_Toc15006 </w:instrText>
          </w:r>
          <w:r>
            <w:rPr>
              <w:rFonts w:hint="eastAsia" w:ascii="Microsoft JhengHei" w:hAnsi="Microsoft JhengHei" w:eastAsia="Microsoft JhengHei" w:cs="Microsoft JhengHei"/>
              <w:szCs w:val="24"/>
            </w:rPr>
            <w:fldChar w:fldCharType="separate"/>
          </w:r>
          <w:r>
            <w:rPr>
              <w:rFonts w:hint="default"/>
              <w:lang w:eastAsia="zh-CN"/>
            </w:rPr>
            <w:t xml:space="preserve">5.2. </w:t>
          </w:r>
          <w:r>
            <w:rPr>
              <w:rFonts w:hint="eastAsia"/>
              <w:lang w:eastAsia="zh-CN"/>
            </w:rPr>
            <w:t>运维部</w:t>
          </w:r>
          <w:r>
            <w:tab/>
          </w:r>
          <w:r>
            <w:fldChar w:fldCharType="begin"/>
          </w:r>
          <w:r>
            <w:instrText xml:space="preserve"> PAGEREF _Toc15006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B84DF0A">
          <w:pPr>
            <w:pStyle w:val="18"/>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_Toc20922 </w:instrText>
          </w:r>
          <w:r>
            <w:rPr>
              <w:rFonts w:hint="eastAsia" w:ascii="Microsoft JhengHei" w:hAnsi="Microsoft JhengHei" w:eastAsia="Microsoft JhengHei" w:cs="Microsoft JhengHei"/>
              <w:szCs w:val="24"/>
            </w:rPr>
            <w:fldChar w:fldCharType="separate"/>
          </w:r>
          <w:r>
            <w:rPr>
              <w:rFonts w:hint="default"/>
              <w:lang w:eastAsia="zh-CN"/>
            </w:rPr>
            <w:t xml:space="preserve">5.3. </w:t>
          </w:r>
          <w:r>
            <w:rPr>
              <w:rFonts w:hint="eastAsia"/>
              <w:lang w:eastAsia="zh-CN"/>
            </w:rPr>
            <w:t>其他运维部门</w:t>
          </w:r>
          <w:r>
            <w:tab/>
          </w:r>
          <w:r>
            <w:fldChar w:fldCharType="begin"/>
          </w:r>
          <w:r>
            <w:instrText xml:space="preserve"> PAGEREF _Toc20922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0CBCC7FA">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_Toc10507 </w:instrText>
          </w:r>
          <w:r>
            <w:rPr>
              <w:rFonts w:hint="eastAsia" w:ascii="Microsoft JhengHei" w:hAnsi="Microsoft JhengHei" w:eastAsia="Microsoft JhengHei" w:cs="Microsoft JhengHei"/>
              <w:szCs w:val="24"/>
            </w:rPr>
            <w:fldChar w:fldCharType="separate"/>
          </w:r>
          <w:r>
            <w:rPr>
              <w:rFonts w:hint="default"/>
              <w:lang w:eastAsia="zh-CN"/>
            </w:rPr>
            <w:t xml:space="preserve">6. </w:t>
          </w:r>
          <w:r>
            <w:rPr>
              <w:rFonts w:hint="eastAsia"/>
              <w:lang w:eastAsia="zh-CN"/>
            </w:rPr>
            <w:t>服务质量活动管理</w:t>
          </w:r>
          <w:r>
            <w:tab/>
          </w:r>
          <w:r>
            <w:fldChar w:fldCharType="begin"/>
          </w:r>
          <w:r>
            <w:instrText xml:space="preserve"> PAGEREF _Toc10507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9A8D573">
          <w:pPr>
            <w:pStyle w:val="18"/>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_Toc26525 </w:instrText>
          </w:r>
          <w:r>
            <w:rPr>
              <w:rFonts w:hint="eastAsia" w:ascii="Microsoft JhengHei" w:hAnsi="Microsoft JhengHei" w:eastAsia="Microsoft JhengHei" w:cs="Microsoft JhengHei"/>
              <w:szCs w:val="24"/>
            </w:rPr>
            <w:fldChar w:fldCharType="separate"/>
          </w:r>
          <w:r>
            <w:rPr>
              <w:rFonts w:hint="default"/>
            </w:rPr>
            <w:t xml:space="preserve">6.1. </w:t>
          </w:r>
          <w:r>
            <w:rPr>
              <w:rFonts w:hint="eastAsia"/>
              <w:lang w:eastAsia="zh-CN"/>
            </w:rPr>
            <w:t>内部评审</w:t>
          </w:r>
          <w:r>
            <w:tab/>
          </w:r>
          <w:r>
            <w:fldChar w:fldCharType="begin"/>
          </w:r>
          <w:r>
            <w:instrText xml:space="preserve"> PAGEREF _Toc26525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327C2AFA">
          <w:pPr>
            <w:pStyle w:val="18"/>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_Toc20232 </w:instrText>
          </w:r>
          <w:r>
            <w:rPr>
              <w:rFonts w:hint="eastAsia" w:ascii="Microsoft JhengHei" w:hAnsi="Microsoft JhengHei" w:eastAsia="Microsoft JhengHei" w:cs="Microsoft JhengHei"/>
              <w:szCs w:val="24"/>
            </w:rPr>
            <w:fldChar w:fldCharType="separate"/>
          </w:r>
          <w:r>
            <w:rPr>
              <w:rFonts w:hint="default"/>
            </w:rPr>
            <w:t xml:space="preserve">6.2. </w:t>
          </w:r>
          <w:r>
            <w:rPr>
              <w:rFonts w:hint="eastAsia"/>
              <w:lang w:eastAsia="zh-CN"/>
            </w:rPr>
            <w:t>管理评审</w:t>
          </w:r>
          <w:r>
            <w:tab/>
          </w:r>
          <w:r>
            <w:fldChar w:fldCharType="begin"/>
          </w:r>
          <w:r>
            <w:instrText xml:space="preserve"> PAGEREF _Toc20232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520B20A">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_Toc7503 </w:instrText>
          </w:r>
          <w:r>
            <w:rPr>
              <w:rFonts w:hint="eastAsia" w:ascii="Microsoft JhengHei" w:hAnsi="Microsoft JhengHei" w:eastAsia="Microsoft JhengHei" w:cs="Microsoft JhengHei"/>
              <w:szCs w:val="24"/>
            </w:rPr>
            <w:fldChar w:fldCharType="separate"/>
          </w:r>
          <w:r>
            <w:rPr>
              <w:rFonts w:hint="default"/>
            </w:rPr>
            <w:t xml:space="preserve">6.2.1. </w:t>
          </w:r>
          <w:r>
            <w:rPr>
              <w:rFonts w:hint="eastAsia"/>
            </w:rPr>
            <w:t>评审背景与输入</w:t>
          </w:r>
          <w:r>
            <w:tab/>
          </w:r>
          <w:r>
            <w:fldChar w:fldCharType="begin"/>
          </w:r>
          <w:r>
            <w:instrText xml:space="preserve"> PAGEREF _Toc7503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39C0B324">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_Toc6931 </w:instrText>
          </w:r>
          <w:r>
            <w:rPr>
              <w:rFonts w:hint="eastAsia" w:ascii="Microsoft JhengHei" w:hAnsi="Microsoft JhengHei" w:eastAsia="Microsoft JhengHei" w:cs="Microsoft JhengHei"/>
              <w:szCs w:val="24"/>
            </w:rPr>
            <w:fldChar w:fldCharType="separate"/>
          </w:r>
          <w:r>
            <w:rPr>
              <w:rFonts w:hint="default"/>
            </w:rPr>
            <w:t xml:space="preserve">6.2.2. </w:t>
          </w:r>
          <w:r>
            <w:rPr>
              <w:rFonts w:hint="eastAsia"/>
            </w:rPr>
            <w:t>评审实施与发现</w:t>
          </w:r>
          <w:r>
            <w:tab/>
          </w:r>
          <w:r>
            <w:fldChar w:fldCharType="begin"/>
          </w:r>
          <w:r>
            <w:instrText xml:space="preserve"> PAGEREF _Toc6931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6E0F6268">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_Toc17772 </w:instrText>
          </w:r>
          <w:r>
            <w:rPr>
              <w:rFonts w:hint="eastAsia" w:ascii="Microsoft JhengHei" w:hAnsi="Microsoft JhengHei" w:eastAsia="Microsoft JhengHei" w:cs="Microsoft JhengHei"/>
              <w:szCs w:val="24"/>
            </w:rPr>
            <w:fldChar w:fldCharType="separate"/>
          </w:r>
          <w:r>
            <w:rPr>
              <w:rFonts w:hint="default"/>
            </w:rPr>
            <w:t xml:space="preserve">6.2.3. </w:t>
          </w:r>
          <w:r>
            <w:rPr>
              <w:rFonts w:hint="eastAsia"/>
            </w:rPr>
            <w:t>评审结论与决议</w:t>
          </w:r>
          <w:r>
            <w:tab/>
          </w:r>
          <w:r>
            <w:fldChar w:fldCharType="begin"/>
          </w:r>
          <w:r>
            <w:instrText xml:space="preserve"> PAGEREF _Toc17772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2F96F81B">
          <w:pPr>
            <w:pStyle w:val="18"/>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_Toc799 </w:instrText>
          </w:r>
          <w:r>
            <w:rPr>
              <w:rFonts w:hint="eastAsia" w:ascii="Microsoft JhengHei" w:hAnsi="Microsoft JhengHei" w:eastAsia="Microsoft JhengHei" w:cs="Microsoft JhengHei"/>
              <w:szCs w:val="24"/>
            </w:rPr>
            <w:fldChar w:fldCharType="separate"/>
          </w:r>
          <w:r>
            <w:rPr>
              <w:rFonts w:hint="default"/>
            </w:rPr>
            <w:t xml:space="preserve">6.3. </w:t>
          </w:r>
          <w:r>
            <w:t>满意度调查</w:t>
          </w:r>
          <w:r>
            <w:tab/>
          </w:r>
          <w:r>
            <w:fldChar w:fldCharType="begin"/>
          </w:r>
          <w:r>
            <w:instrText xml:space="preserve"> PAGEREF _Toc799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AEC819F">
          <w:pPr>
            <w:pStyle w:val="18"/>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_Toc23741 </w:instrText>
          </w:r>
          <w:r>
            <w:rPr>
              <w:rFonts w:hint="eastAsia" w:ascii="Microsoft JhengHei" w:hAnsi="Microsoft JhengHei" w:eastAsia="Microsoft JhengHei" w:cs="Microsoft JhengHei"/>
              <w:szCs w:val="24"/>
            </w:rPr>
            <w:fldChar w:fldCharType="separate"/>
          </w:r>
          <w:r>
            <w:rPr>
              <w:rFonts w:hint="default"/>
            </w:rPr>
            <w:t xml:space="preserve">6.4. </w:t>
          </w:r>
          <w:r>
            <w:t>运维服务</w:t>
          </w:r>
          <w:r>
            <w:rPr>
              <w:rFonts w:hint="eastAsia"/>
              <w:lang w:eastAsia="zh-CN"/>
            </w:rPr>
            <w:t>质量总结、改进</w:t>
          </w:r>
          <w:r>
            <w:tab/>
          </w:r>
          <w:r>
            <w:fldChar w:fldCharType="begin"/>
          </w:r>
          <w:r>
            <w:instrText xml:space="preserve"> PAGEREF _Toc23741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38FE5D6D">
          <w:pPr>
            <w:widowControl w:val="0"/>
            <w:spacing w:line="220" w:lineRule="auto"/>
            <w:rPr>
              <w:rFonts w:ascii="Microsoft JhengHei" w:hAnsi="Microsoft JhengHei" w:eastAsia="Microsoft JhengHei" w:cs="Microsoft JhengHei"/>
              <w:sz w:val="24"/>
              <w:szCs w:val="24"/>
            </w:rPr>
          </w:pPr>
          <w:r>
            <w:rPr>
              <w:rFonts w:hint="eastAsia" w:ascii="Microsoft JhengHei" w:hAnsi="Microsoft JhengHei" w:eastAsia="Microsoft JhengHei" w:cs="Microsoft JhengHei"/>
              <w:szCs w:val="24"/>
            </w:rPr>
            <w:fldChar w:fldCharType="end"/>
          </w:r>
        </w:p>
      </w:sdtContent>
    </w:sdt>
    <w:p w14:paraId="08632ECA">
      <w:pPr>
        <w:widowControl w:val="0"/>
        <w:spacing w:line="220" w:lineRule="auto"/>
        <w:rPr>
          <w:rFonts w:ascii="Times New Roman" w:hAnsi="Times New Roman" w:eastAsia="Times New Roman" w:cs="Times New Roman"/>
          <w:szCs w:val="24"/>
        </w:rPr>
        <w:sectPr>
          <w:pgSz w:w="11906" w:h="16839"/>
          <w:pgMar w:top="1431" w:right="1700" w:bottom="0" w:left="1709" w:header="0" w:footer="0" w:gutter="0"/>
          <w:cols w:space="720" w:num="1"/>
        </w:sectPr>
      </w:pPr>
    </w:p>
    <w:p w14:paraId="486B96E3">
      <w:pPr>
        <w:pStyle w:val="27"/>
        <w:keepNext w:val="0"/>
        <w:keepLines w:val="0"/>
        <w:widowControl w:val="0"/>
      </w:pPr>
      <w:bookmarkStart w:id="3" w:name="_Toc2067"/>
      <w:r>
        <w:t>目的</w:t>
      </w:r>
      <w:bookmarkEnd w:id="3"/>
    </w:p>
    <w:p w14:paraId="6F0820FE">
      <w:pPr>
        <w:pStyle w:val="28"/>
        <w:ind w:firstLine="480"/>
      </w:pPr>
      <w:r>
        <w:rPr>
          <w:rFonts w:hint="eastAsia"/>
        </w:rPr>
        <w:t>为确保公司运维服务能力体系持续符合国家标准及客户要求，系统性地监控、评估并改进服务质量，依据公司运维服务业务定位和能力，特编制本年度运维服务质量管理报告。旨在通过总结质量活动的实施情况，识别改进机会，提升客户满意度，保障运维服务交付的可靠性与有效性。</w:t>
      </w:r>
    </w:p>
    <w:p w14:paraId="7E81D549">
      <w:pPr>
        <w:pStyle w:val="27"/>
        <w:keepNext w:val="0"/>
        <w:keepLines w:val="0"/>
        <w:widowControl w:val="0"/>
      </w:pPr>
      <w:bookmarkStart w:id="4" w:name="_Toc6701"/>
      <w:r>
        <w:t>适用范围</w:t>
      </w:r>
      <w:bookmarkEnd w:id="4"/>
    </w:p>
    <w:p w14:paraId="57B17384">
      <w:pPr>
        <w:widowControl w:val="0"/>
        <w:ind w:firstLine="464" w:firstLineChars="200"/>
        <w:rPr>
          <w:rFonts w:ascii="宋体" w:hAnsi="宋体" w:cs="宋体"/>
          <w:spacing w:val="-4"/>
          <w:sz w:val="24"/>
          <w:szCs w:val="24"/>
        </w:rPr>
      </w:pPr>
      <w:r>
        <w:rPr>
          <w:rFonts w:ascii="宋体" w:hAnsi="宋体" w:cs="宋体"/>
          <w:spacing w:val="-4"/>
          <w:sz w:val="24"/>
          <w:szCs w:val="24"/>
        </w:rPr>
        <w:t>本手册适用于本公司参与运维服务业务的部门和人员</w:t>
      </w:r>
    </w:p>
    <w:p w14:paraId="4DF8B5D3">
      <w:pPr>
        <w:pStyle w:val="27"/>
        <w:keepNext w:val="0"/>
        <w:keepLines w:val="0"/>
        <w:widowControl w:val="0"/>
      </w:pPr>
      <w:bookmarkStart w:id="5" w:name="_Toc8671"/>
      <w:r>
        <w:t>引用文件</w:t>
      </w:r>
      <w:bookmarkEnd w:id="5"/>
    </w:p>
    <w:p w14:paraId="09F8A4D8">
      <w:pPr>
        <w:widowControl w:val="0"/>
        <w:ind w:left="478" w:hanging="476" w:hangingChars="200"/>
        <w:rPr>
          <w:rFonts w:ascii="宋体" w:hAnsi="宋体" w:cs="宋体"/>
          <w:sz w:val="24"/>
          <w:szCs w:val="24"/>
        </w:rPr>
      </w:pPr>
      <w:r>
        <w:rPr>
          <w:rFonts w:ascii="宋体" w:hAnsi="宋体" w:cs="宋体"/>
          <w:spacing w:val="-1"/>
          <w:sz w:val="24"/>
          <w:szCs w:val="24"/>
        </w:rPr>
        <w:t>1.</w:t>
      </w:r>
      <w:r>
        <w:rPr>
          <w:rFonts w:ascii="宋体" w:hAnsi="宋体" w:cs="宋体"/>
          <w:spacing w:val="82"/>
          <w:sz w:val="24"/>
          <w:szCs w:val="24"/>
        </w:rPr>
        <w:t xml:space="preserve"> </w:t>
      </w:r>
      <w:r>
        <w:rPr>
          <w:rFonts w:hint="eastAsia" w:ascii="宋体" w:hAnsi="宋体" w:cs="宋体"/>
          <w:spacing w:val="-1"/>
          <w:sz w:val="24"/>
          <w:szCs w:val="24"/>
        </w:rPr>
        <w:t>T/CESA 1299—2023</w:t>
      </w:r>
      <w:r>
        <w:rPr>
          <w:rFonts w:ascii="宋体" w:hAnsi="宋体" w:cs="宋体"/>
          <w:spacing w:val="-1"/>
          <w:sz w:val="24"/>
          <w:szCs w:val="24"/>
        </w:rPr>
        <w:t xml:space="preserve"> 《信息技术服务</w:t>
      </w:r>
      <w:r>
        <w:rPr>
          <w:rFonts w:ascii="宋体" w:hAnsi="宋体" w:cs="宋体"/>
          <w:spacing w:val="-2"/>
          <w:sz w:val="24"/>
          <w:szCs w:val="24"/>
        </w:rPr>
        <w:t xml:space="preserve"> 运行维护服务能力成熟度模型》</w:t>
      </w:r>
    </w:p>
    <w:p w14:paraId="4DBD4F09">
      <w:pPr>
        <w:widowControl w:val="0"/>
        <w:ind w:left="478" w:hanging="476" w:hangingChars="200"/>
        <w:rPr>
          <w:rFonts w:ascii="宋体" w:hAnsi="宋体" w:cs="宋体"/>
          <w:sz w:val="24"/>
          <w:szCs w:val="24"/>
        </w:rPr>
      </w:pPr>
      <w:r>
        <w:rPr>
          <w:rFonts w:ascii="宋体" w:hAnsi="宋体" w:cs="宋体"/>
          <w:spacing w:val="-1"/>
          <w:sz w:val="24"/>
          <w:szCs w:val="24"/>
        </w:rPr>
        <w:t>2.</w:t>
      </w:r>
      <w:r>
        <w:rPr>
          <w:rFonts w:ascii="宋体" w:hAnsi="宋体" w:cs="宋体"/>
          <w:spacing w:val="67"/>
          <w:sz w:val="24"/>
          <w:szCs w:val="24"/>
        </w:rPr>
        <w:t xml:space="preserve"> </w:t>
      </w:r>
      <w:r>
        <w:rPr>
          <w:rFonts w:ascii="宋体" w:hAnsi="宋体" w:cs="宋体"/>
          <w:spacing w:val="-1"/>
          <w:sz w:val="24"/>
          <w:szCs w:val="24"/>
        </w:rPr>
        <w:t>GB/T 28827.1-20</w:t>
      </w:r>
      <w:r>
        <w:rPr>
          <w:rFonts w:hint="eastAsia" w:ascii="宋体" w:hAnsi="宋体" w:cs="宋体"/>
          <w:spacing w:val="-1"/>
          <w:sz w:val="24"/>
          <w:szCs w:val="24"/>
          <w:lang w:eastAsia="zh-CN"/>
        </w:rPr>
        <w:t>2</w:t>
      </w:r>
      <w:r>
        <w:rPr>
          <w:rFonts w:ascii="宋体" w:hAnsi="宋体" w:cs="宋体"/>
          <w:spacing w:val="-1"/>
          <w:sz w:val="24"/>
          <w:szCs w:val="24"/>
        </w:rPr>
        <w:t>2 《信息技术服</w:t>
      </w:r>
      <w:r>
        <w:rPr>
          <w:rFonts w:ascii="宋体" w:hAnsi="宋体" w:cs="宋体"/>
          <w:spacing w:val="-2"/>
          <w:sz w:val="24"/>
          <w:szCs w:val="24"/>
        </w:rPr>
        <w:t>务 运行维护 第</w:t>
      </w:r>
      <w:r>
        <w:rPr>
          <w:rFonts w:ascii="宋体" w:hAnsi="宋体" w:cs="宋体"/>
          <w:spacing w:val="-33"/>
          <w:sz w:val="24"/>
          <w:szCs w:val="24"/>
        </w:rPr>
        <w:t xml:space="preserve"> </w:t>
      </w:r>
      <w:r>
        <w:rPr>
          <w:rFonts w:ascii="宋体" w:hAnsi="宋体" w:cs="宋体"/>
          <w:spacing w:val="-2"/>
          <w:sz w:val="24"/>
          <w:szCs w:val="24"/>
        </w:rPr>
        <w:t>1</w:t>
      </w:r>
      <w:r>
        <w:rPr>
          <w:rFonts w:ascii="宋体" w:hAnsi="宋体" w:cs="宋体"/>
          <w:spacing w:val="-48"/>
          <w:sz w:val="24"/>
          <w:szCs w:val="24"/>
        </w:rPr>
        <w:t xml:space="preserve"> </w:t>
      </w:r>
      <w:r>
        <w:rPr>
          <w:rFonts w:ascii="宋体" w:hAnsi="宋体" w:cs="宋体"/>
          <w:spacing w:val="-2"/>
          <w:sz w:val="24"/>
          <w:szCs w:val="24"/>
        </w:rPr>
        <w:t>部分：通用要求》</w:t>
      </w:r>
    </w:p>
    <w:p w14:paraId="64087AD3">
      <w:pPr>
        <w:widowControl w:val="0"/>
        <w:ind w:left="478" w:hanging="476" w:hangingChars="200"/>
        <w:rPr>
          <w:rFonts w:ascii="宋体" w:hAnsi="宋体" w:cs="宋体"/>
          <w:sz w:val="24"/>
          <w:szCs w:val="24"/>
        </w:rPr>
      </w:pPr>
      <w:r>
        <w:rPr>
          <w:rFonts w:ascii="宋体" w:hAnsi="宋体" w:cs="宋体"/>
          <w:spacing w:val="-1"/>
          <w:sz w:val="24"/>
          <w:szCs w:val="24"/>
        </w:rPr>
        <w:t>3.</w:t>
      </w:r>
      <w:r>
        <w:rPr>
          <w:rFonts w:ascii="宋体" w:hAnsi="宋体" w:cs="宋体"/>
          <w:spacing w:val="67"/>
          <w:sz w:val="24"/>
          <w:szCs w:val="24"/>
        </w:rPr>
        <w:t xml:space="preserve"> </w:t>
      </w:r>
      <w:r>
        <w:rPr>
          <w:rFonts w:ascii="宋体" w:hAnsi="宋体" w:cs="宋体"/>
          <w:spacing w:val="-1"/>
          <w:sz w:val="24"/>
          <w:szCs w:val="24"/>
        </w:rPr>
        <w:t>GB/T 28827.2-2012 《信息技术服务 运行维护 第</w:t>
      </w:r>
      <w:r>
        <w:rPr>
          <w:rFonts w:ascii="宋体" w:hAnsi="宋体" w:cs="宋体"/>
          <w:spacing w:val="-48"/>
          <w:sz w:val="24"/>
          <w:szCs w:val="24"/>
        </w:rPr>
        <w:t xml:space="preserve"> </w:t>
      </w:r>
      <w:r>
        <w:rPr>
          <w:rFonts w:ascii="宋体" w:hAnsi="宋体" w:cs="宋体"/>
          <w:spacing w:val="-1"/>
          <w:sz w:val="24"/>
          <w:szCs w:val="24"/>
        </w:rPr>
        <w:t>2</w:t>
      </w:r>
      <w:r>
        <w:rPr>
          <w:rFonts w:ascii="宋体" w:hAnsi="宋体" w:cs="宋体"/>
          <w:spacing w:val="-48"/>
          <w:sz w:val="24"/>
          <w:szCs w:val="24"/>
        </w:rPr>
        <w:t xml:space="preserve"> </w:t>
      </w:r>
      <w:r>
        <w:rPr>
          <w:rFonts w:ascii="宋体" w:hAnsi="宋体" w:cs="宋体"/>
          <w:spacing w:val="-1"/>
          <w:sz w:val="24"/>
          <w:szCs w:val="24"/>
        </w:rPr>
        <w:t>部分:交</w:t>
      </w:r>
      <w:r>
        <w:rPr>
          <w:rFonts w:ascii="宋体" w:hAnsi="宋体" w:cs="宋体"/>
          <w:spacing w:val="-2"/>
          <w:sz w:val="24"/>
          <w:szCs w:val="24"/>
        </w:rPr>
        <w:t>付规范》</w:t>
      </w:r>
    </w:p>
    <w:p w14:paraId="6C20FE9D">
      <w:pPr>
        <w:widowControl w:val="0"/>
        <w:ind w:left="478" w:hanging="476" w:hangingChars="200"/>
        <w:rPr>
          <w:rFonts w:ascii="宋体" w:hAnsi="宋体" w:cs="宋体"/>
          <w:sz w:val="24"/>
          <w:szCs w:val="24"/>
        </w:rPr>
      </w:pPr>
      <w:r>
        <w:rPr>
          <w:rFonts w:ascii="宋体" w:hAnsi="宋体" w:cs="宋体"/>
          <w:spacing w:val="-1"/>
          <w:sz w:val="24"/>
          <w:szCs w:val="24"/>
        </w:rPr>
        <w:t>4.</w:t>
      </w:r>
      <w:r>
        <w:rPr>
          <w:rFonts w:ascii="宋体" w:hAnsi="宋体" w:cs="宋体"/>
          <w:spacing w:val="66"/>
          <w:sz w:val="24"/>
          <w:szCs w:val="24"/>
        </w:rPr>
        <w:t xml:space="preserve"> </w:t>
      </w:r>
      <w:r>
        <w:rPr>
          <w:rFonts w:ascii="宋体" w:hAnsi="宋体" w:cs="宋体"/>
          <w:spacing w:val="-1"/>
          <w:sz w:val="24"/>
          <w:szCs w:val="24"/>
        </w:rPr>
        <w:t>GB/T</w:t>
      </w:r>
      <w:r>
        <w:rPr>
          <w:rFonts w:ascii="宋体" w:hAnsi="宋体" w:cs="宋体"/>
          <w:spacing w:val="34"/>
          <w:sz w:val="24"/>
          <w:szCs w:val="24"/>
        </w:rPr>
        <w:t xml:space="preserve"> </w:t>
      </w:r>
      <w:r>
        <w:rPr>
          <w:rFonts w:ascii="宋体" w:hAnsi="宋体" w:cs="宋体"/>
          <w:spacing w:val="-1"/>
          <w:sz w:val="24"/>
          <w:szCs w:val="24"/>
        </w:rPr>
        <w:t>28827.3-2012 《信息技术服务</w:t>
      </w:r>
      <w:r>
        <w:rPr>
          <w:rFonts w:ascii="宋体" w:hAnsi="宋体" w:cs="宋体"/>
          <w:spacing w:val="31"/>
          <w:sz w:val="24"/>
          <w:szCs w:val="24"/>
        </w:rPr>
        <w:t xml:space="preserve"> </w:t>
      </w:r>
      <w:r>
        <w:rPr>
          <w:rFonts w:ascii="宋体" w:hAnsi="宋体" w:cs="宋体"/>
          <w:spacing w:val="-1"/>
          <w:sz w:val="24"/>
          <w:szCs w:val="24"/>
        </w:rPr>
        <w:t>运行</w:t>
      </w:r>
      <w:r>
        <w:rPr>
          <w:rFonts w:ascii="宋体" w:hAnsi="宋体" w:cs="宋体"/>
          <w:spacing w:val="-2"/>
          <w:sz w:val="24"/>
          <w:szCs w:val="24"/>
        </w:rPr>
        <w:t>维护</w:t>
      </w:r>
      <w:r>
        <w:rPr>
          <w:rFonts w:ascii="宋体" w:hAnsi="宋体" w:cs="宋体"/>
          <w:spacing w:val="31"/>
          <w:sz w:val="24"/>
          <w:szCs w:val="24"/>
        </w:rPr>
        <w:t xml:space="preserve"> </w:t>
      </w:r>
      <w:r>
        <w:rPr>
          <w:rFonts w:ascii="宋体" w:hAnsi="宋体" w:cs="宋体"/>
          <w:spacing w:val="-2"/>
          <w:sz w:val="24"/>
          <w:szCs w:val="24"/>
        </w:rPr>
        <w:t>第</w:t>
      </w:r>
      <w:r>
        <w:rPr>
          <w:rFonts w:ascii="宋体" w:hAnsi="宋体" w:cs="宋体"/>
          <w:spacing w:val="-46"/>
          <w:sz w:val="24"/>
          <w:szCs w:val="24"/>
        </w:rPr>
        <w:t xml:space="preserve"> </w:t>
      </w:r>
      <w:r>
        <w:rPr>
          <w:rFonts w:ascii="宋体" w:hAnsi="宋体" w:cs="宋体"/>
          <w:spacing w:val="-2"/>
          <w:sz w:val="24"/>
          <w:szCs w:val="24"/>
        </w:rPr>
        <w:t>3</w:t>
      </w:r>
      <w:r>
        <w:rPr>
          <w:rFonts w:ascii="宋体" w:hAnsi="宋体" w:cs="宋体"/>
          <w:spacing w:val="-48"/>
          <w:sz w:val="24"/>
          <w:szCs w:val="24"/>
        </w:rPr>
        <w:t xml:space="preserve"> </w:t>
      </w:r>
      <w:r>
        <w:rPr>
          <w:rFonts w:ascii="宋体" w:hAnsi="宋体" w:cs="宋体"/>
          <w:spacing w:val="-2"/>
          <w:sz w:val="24"/>
          <w:szCs w:val="24"/>
        </w:rPr>
        <w:t>部分:应急响应规</w:t>
      </w:r>
      <w:r>
        <w:rPr>
          <w:rFonts w:ascii="宋体" w:hAnsi="宋体" w:cs="宋体"/>
          <w:spacing w:val="-8"/>
          <w:sz w:val="24"/>
          <w:szCs w:val="24"/>
        </w:rPr>
        <w:t>范》</w:t>
      </w:r>
    </w:p>
    <w:p w14:paraId="409710AE">
      <w:pPr>
        <w:widowControl w:val="0"/>
        <w:ind w:left="478" w:hanging="476" w:hangingChars="200"/>
        <w:rPr>
          <w:rFonts w:ascii="宋体" w:hAnsi="宋体" w:cs="宋体"/>
          <w:sz w:val="24"/>
          <w:szCs w:val="24"/>
        </w:rPr>
      </w:pPr>
      <w:r>
        <w:rPr>
          <w:rFonts w:ascii="宋体" w:hAnsi="宋体" w:cs="宋体"/>
          <w:spacing w:val="-1"/>
          <w:sz w:val="24"/>
          <w:szCs w:val="24"/>
        </w:rPr>
        <w:t>5.</w:t>
      </w:r>
      <w:r>
        <w:rPr>
          <w:rFonts w:ascii="宋体" w:hAnsi="宋体" w:cs="宋体"/>
          <w:spacing w:val="76"/>
          <w:sz w:val="24"/>
          <w:szCs w:val="24"/>
        </w:rPr>
        <w:t xml:space="preserve"> </w:t>
      </w:r>
      <w:r>
        <w:rPr>
          <w:rFonts w:ascii="宋体" w:hAnsi="宋体" w:cs="宋体"/>
          <w:spacing w:val="-1"/>
          <w:sz w:val="24"/>
          <w:szCs w:val="24"/>
        </w:rPr>
        <w:t>GB/T 29264-2012 《信息技术服务 分类与代码》</w:t>
      </w:r>
    </w:p>
    <w:p w14:paraId="2376D7B5">
      <w:pPr>
        <w:widowControl w:val="0"/>
        <w:ind w:left="474" w:hanging="468" w:hangingChars="200"/>
        <w:rPr>
          <w:rFonts w:ascii="宋体" w:hAnsi="宋体" w:cs="宋体"/>
          <w:sz w:val="24"/>
          <w:szCs w:val="24"/>
        </w:rPr>
      </w:pPr>
      <w:r>
        <w:rPr>
          <w:rFonts w:hint="eastAsia" w:ascii="宋体" w:hAnsi="宋体" w:cs="宋体"/>
          <w:spacing w:val="-3"/>
          <w:sz w:val="24"/>
          <w:szCs w:val="24"/>
          <w:lang w:eastAsia="zh-CN"/>
        </w:rPr>
        <w:t>6</w:t>
      </w:r>
      <w:r>
        <w:rPr>
          <w:rFonts w:ascii="宋体" w:hAnsi="宋体" w:cs="宋体"/>
          <w:spacing w:val="-3"/>
          <w:sz w:val="24"/>
          <w:szCs w:val="24"/>
        </w:rPr>
        <w:t>.</w:t>
      </w:r>
      <w:r>
        <w:rPr>
          <w:rFonts w:ascii="宋体" w:hAnsi="宋体" w:cs="宋体"/>
          <w:spacing w:val="99"/>
          <w:sz w:val="24"/>
          <w:szCs w:val="24"/>
        </w:rPr>
        <w:t xml:space="preserve"> </w:t>
      </w:r>
      <w:r>
        <w:rPr>
          <w:rFonts w:ascii="宋体" w:hAnsi="宋体" w:cs="宋体"/>
          <w:spacing w:val="-3"/>
          <w:sz w:val="24"/>
          <w:szCs w:val="24"/>
        </w:rPr>
        <w:t>国家有关法律、法规及行业标准</w:t>
      </w:r>
    </w:p>
    <w:p w14:paraId="562F5B52">
      <w:pPr>
        <w:pStyle w:val="27"/>
        <w:keepNext w:val="0"/>
        <w:keepLines w:val="0"/>
        <w:widowControl w:val="0"/>
      </w:pPr>
      <w:bookmarkStart w:id="6" w:name="_Toc22712"/>
      <w:r>
        <w:t>术语与定义</w:t>
      </w:r>
      <w:bookmarkEnd w:id="6"/>
    </w:p>
    <w:p w14:paraId="611A0E01">
      <w:pPr>
        <w:widowControl w:val="0"/>
        <w:spacing w:before="120" w:line="220" w:lineRule="auto"/>
        <w:ind w:left="724"/>
        <w:rPr>
          <w:rFonts w:ascii="宋体" w:hAnsi="宋体" w:cs="宋体"/>
          <w:sz w:val="24"/>
          <w:szCs w:val="24"/>
        </w:rPr>
      </w:pPr>
      <w:r>
        <w:rPr>
          <w:rFonts w:ascii="宋体" w:hAnsi="宋体" w:cs="宋体"/>
          <w:sz w:val="24"/>
          <w:szCs w:val="24"/>
        </w:rPr>
        <w:t>无</w:t>
      </w:r>
    </w:p>
    <w:p w14:paraId="6A5B9CAE">
      <w:pPr>
        <w:pStyle w:val="27"/>
        <w:keepNext w:val="0"/>
        <w:keepLines w:val="0"/>
        <w:widowControl w:val="0"/>
      </w:pPr>
      <w:bookmarkStart w:id="7" w:name="_Toc29336"/>
      <w:r>
        <w:t>角色与职责</w:t>
      </w:r>
      <w:bookmarkEnd w:id="7"/>
    </w:p>
    <w:p w14:paraId="296671B8">
      <w:pPr>
        <w:widowControl w:val="0"/>
        <w:spacing w:line="76" w:lineRule="exact"/>
      </w:pPr>
    </w:p>
    <w:p w14:paraId="2EB4B083">
      <w:pPr>
        <w:pStyle w:val="29"/>
        <w:rPr>
          <w:lang w:eastAsia="zh-CN"/>
        </w:rPr>
      </w:pPr>
      <w:bookmarkStart w:id="8" w:name="_Toc12582"/>
      <w:r>
        <w:rPr>
          <w:rFonts w:hint="eastAsia"/>
          <w:lang w:eastAsia="zh-CN"/>
        </w:rPr>
        <w:t>质量部</w:t>
      </w:r>
      <w:bookmarkEnd w:id="8"/>
    </w:p>
    <w:p w14:paraId="37D2A88F">
      <w:pPr>
        <w:pStyle w:val="28"/>
        <w:numPr>
          <w:ilvl w:val="0"/>
          <w:numId w:val="2"/>
        </w:numPr>
        <w:ind w:firstLineChars="0"/>
      </w:pPr>
      <w:r>
        <w:rPr>
          <w:rFonts w:hint="eastAsia"/>
        </w:rPr>
        <w:t>负责公司级质量保证，制定并组织实施本服务质量管理计划。</w:t>
      </w:r>
    </w:p>
    <w:p w14:paraId="16F82E54">
      <w:pPr>
        <w:pStyle w:val="28"/>
        <w:numPr>
          <w:ilvl w:val="0"/>
          <w:numId w:val="2"/>
        </w:numPr>
        <w:ind w:firstLineChars="0"/>
      </w:pPr>
      <w:r>
        <w:rPr>
          <w:rFonts w:hint="eastAsia"/>
        </w:rPr>
        <w:t>监控运维服务质量，定期（如每季度）组织质量分析会议，评估运维业务开展情况。</w:t>
      </w:r>
    </w:p>
    <w:p w14:paraId="2D7DC08A">
      <w:pPr>
        <w:pStyle w:val="28"/>
        <w:numPr>
          <w:ilvl w:val="0"/>
          <w:numId w:val="2"/>
        </w:numPr>
        <w:ind w:firstLineChars="0"/>
      </w:pPr>
      <w:r>
        <w:rPr>
          <w:rFonts w:hint="eastAsia"/>
        </w:rPr>
        <w:t>负责策划并组织实施年度运维服务能力体系内部审核，跟踪验证不符合项的纠正措施。</w:t>
      </w:r>
    </w:p>
    <w:p w14:paraId="10FEB35B">
      <w:pPr>
        <w:pStyle w:val="28"/>
        <w:numPr>
          <w:ilvl w:val="0"/>
          <w:numId w:val="2"/>
        </w:numPr>
        <w:ind w:firstLineChars="0"/>
      </w:pPr>
      <w:r>
        <w:rPr>
          <w:rFonts w:hint="eastAsia"/>
        </w:rPr>
        <w:t>负责组织实施公司级客户满意度调查，并牵头进行结果分析。</w:t>
      </w:r>
    </w:p>
    <w:p w14:paraId="453C7CE7">
      <w:pPr>
        <w:pStyle w:val="28"/>
        <w:numPr>
          <w:ilvl w:val="0"/>
          <w:numId w:val="2"/>
        </w:numPr>
        <w:ind w:firstLineChars="0"/>
      </w:pPr>
      <w:r>
        <w:rPr>
          <w:rFonts w:hint="eastAsia"/>
        </w:rPr>
        <w:t>负责管理评审的筹备、组织及改进措施的跟踪验证。</w:t>
      </w:r>
    </w:p>
    <w:p w14:paraId="2DD0F266">
      <w:pPr>
        <w:pStyle w:val="28"/>
        <w:numPr>
          <w:ilvl w:val="0"/>
          <w:numId w:val="2"/>
        </w:numPr>
        <w:ind w:firstLineChars="0"/>
      </w:pPr>
      <w:r>
        <w:rPr>
          <w:rFonts w:hint="eastAsia"/>
        </w:rPr>
        <w:t>对重大客户投诉进行根本原因分析、处理协调与效果回访。</w:t>
      </w:r>
    </w:p>
    <w:p w14:paraId="01261D96">
      <w:pPr>
        <w:pStyle w:val="28"/>
        <w:numPr>
          <w:ilvl w:val="0"/>
          <w:numId w:val="2"/>
        </w:numPr>
        <w:ind w:firstLineChars="0"/>
      </w:pPr>
      <w:r>
        <w:rPr>
          <w:rFonts w:hint="eastAsia"/>
        </w:rPr>
        <w:t>监督、检查各部门质量改进措施的实施情况。</w:t>
      </w:r>
    </w:p>
    <w:p w14:paraId="4BD5DB11">
      <w:pPr>
        <w:pStyle w:val="29"/>
        <w:rPr>
          <w:lang w:eastAsia="zh-CN"/>
        </w:rPr>
      </w:pPr>
      <w:bookmarkStart w:id="9" w:name="_Toc15006"/>
      <w:r>
        <w:rPr>
          <w:rFonts w:hint="eastAsia"/>
          <w:lang w:eastAsia="zh-CN"/>
        </w:rPr>
        <w:t>运维部</w:t>
      </w:r>
      <w:bookmarkEnd w:id="9"/>
    </w:p>
    <w:p w14:paraId="3476F7CE">
      <w:pPr>
        <w:pStyle w:val="28"/>
        <w:numPr>
          <w:ilvl w:val="0"/>
          <w:numId w:val="3"/>
        </w:numPr>
        <w:ind w:firstLineChars="0"/>
      </w:pPr>
      <w:r>
        <w:rPr>
          <w:rFonts w:hint="eastAsia"/>
        </w:rPr>
        <w:t>负责所辖运维业务的具体质量控制，执行服务流程与规范。</w:t>
      </w:r>
    </w:p>
    <w:p w14:paraId="6706616E">
      <w:pPr>
        <w:pStyle w:val="28"/>
        <w:numPr>
          <w:ilvl w:val="0"/>
          <w:numId w:val="3"/>
        </w:numPr>
        <w:ind w:firstLineChars="0"/>
      </w:pPr>
      <w:r>
        <w:rPr>
          <w:rFonts w:hint="eastAsia"/>
        </w:rPr>
        <w:t>对质量部和服务台提供的客户反馈（包括满意度调查、投诉）进行分析，并制定、实施部门级改进措施。</w:t>
      </w:r>
    </w:p>
    <w:p w14:paraId="6446C6B7">
      <w:pPr>
        <w:pStyle w:val="28"/>
        <w:numPr>
          <w:ilvl w:val="0"/>
          <w:numId w:val="3"/>
        </w:numPr>
        <w:ind w:firstLineChars="0"/>
      </w:pPr>
      <w:r>
        <w:rPr>
          <w:rFonts w:hint="eastAsia"/>
        </w:rPr>
        <w:t>定期（如每月）召开部门质量分析会，审视服务过程与结果。</w:t>
      </w:r>
    </w:p>
    <w:p w14:paraId="4D0C9176">
      <w:pPr>
        <w:pStyle w:val="28"/>
        <w:numPr>
          <w:ilvl w:val="0"/>
          <w:numId w:val="3"/>
        </w:numPr>
        <w:ind w:firstLineChars="0"/>
      </w:pPr>
      <w:r>
        <w:rPr>
          <w:rFonts w:hint="eastAsia"/>
        </w:rPr>
        <w:t>负责监控服务请求/事件的处理过程与时效，并对已解决事件进行必要的客户回访。</w:t>
      </w:r>
    </w:p>
    <w:p w14:paraId="6C958511">
      <w:pPr>
        <w:pStyle w:val="28"/>
        <w:numPr>
          <w:ilvl w:val="0"/>
          <w:numId w:val="3"/>
        </w:numPr>
        <w:ind w:firstLineChars="0"/>
      </w:pPr>
      <w:r>
        <w:rPr>
          <w:rFonts w:hint="eastAsia"/>
        </w:rPr>
        <w:t>负责服务知识的识别、评审、归档与应用，确保知识库内容的质量与适宜性（依据内审发现，需加强评审记录管理）。</w:t>
      </w:r>
    </w:p>
    <w:p w14:paraId="3C0042E3">
      <w:pPr>
        <w:pStyle w:val="28"/>
        <w:numPr>
          <w:ilvl w:val="0"/>
          <w:numId w:val="3"/>
        </w:numPr>
        <w:ind w:firstLineChars="0"/>
      </w:pPr>
      <w:r>
        <w:rPr>
          <w:rFonts w:hint="eastAsia"/>
        </w:rPr>
        <w:t>接收并初步处理客户投诉，及时向相关部门反馈重要信息。</w:t>
      </w:r>
    </w:p>
    <w:p w14:paraId="2E85361F">
      <w:pPr>
        <w:pStyle w:val="28"/>
        <w:numPr>
          <w:ilvl w:val="0"/>
          <w:numId w:val="3"/>
        </w:numPr>
        <w:ind w:firstLineChars="0"/>
      </w:pPr>
      <w:r>
        <w:rPr>
          <w:rFonts w:hint="eastAsia"/>
        </w:rPr>
        <w:t>定期编写运维服务总结报告，持续完善服务能力与质量。</w:t>
      </w:r>
    </w:p>
    <w:p w14:paraId="2ED8E037">
      <w:pPr>
        <w:pStyle w:val="29"/>
        <w:rPr>
          <w:lang w:eastAsia="zh-CN"/>
        </w:rPr>
      </w:pPr>
      <w:bookmarkStart w:id="10" w:name="_Toc20922"/>
      <w:r>
        <w:rPr>
          <w:rFonts w:hint="eastAsia"/>
          <w:lang w:eastAsia="zh-CN"/>
        </w:rPr>
        <w:t>其他运维部门</w:t>
      </w:r>
      <w:bookmarkEnd w:id="10"/>
    </w:p>
    <w:p w14:paraId="0005C703">
      <w:pPr>
        <w:pStyle w:val="28"/>
        <w:numPr>
          <w:ilvl w:val="0"/>
          <w:numId w:val="4"/>
        </w:numPr>
        <w:ind w:firstLineChars="0"/>
      </w:pPr>
      <w:r>
        <w:t>参与能力管理计划及相关质量改进计划的制定。</w:t>
      </w:r>
    </w:p>
    <w:p w14:paraId="3D61CFD4">
      <w:pPr>
        <w:pStyle w:val="28"/>
        <w:numPr>
          <w:ilvl w:val="0"/>
          <w:numId w:val="4"/>
        </w:numPr>
        <w:ind w:firstLineChars="0"/>
      </w:pPr>
      <w:r>
        <w:t>按照计划要求，在本部门职责范围内实施质量保证与改进活动（如：研发部需确保交付软件质量，采购部需优化供应商管理流程以支持服务交付）。</w:t>
      </w:r>
    </w:p>
    <w:p w14:paraId="129ED9A7">
      <w:pPr>
        <w:pStyle w:val="28"/>
        <w:numPr>
          <w:ilvl w:val="0"/>
          <w:numId w:val="4"/>
        </w:numPr>
        <w:ind w:firstLineChars="0"/>
      </w:pPr>
      <w:r>
        <w:t>接受质量部的质量监督与检查，并按要求汇报计划实施情况。</w:t>
      </w:r>
    </w:p>
    <w:p w14:paraId="31A303DE">
      <w:pPr>
        <w:pStyle w:val="28"/>
        <w:numPr>
          <w:ilvl w:val="0"/>
          <w:numId w:val="4"/>
        </w:numPr>
        <w:ind w:firstLineChars="0"/>
      </w:pPr>
      <w:r>
        <w:t>针对本部门在服务支撑过程中发现的问题，主动采取并落实改进措施。</w:t>
      </w:r>
    </w:p>
    <w:p w14:paraId="690BF7D3">
      <w:pPr>
        <w:pStyle w:val="27"/>
        <w:keepNext w:val="0"/>
        <w:keepLines w:val="0"/>
        <w:widowControl w:val="0"/>
        <w:rPr>
          <w:lang w:eastAsia="zh-CN"/>
        </w:rPr>
      </w:pPr>
      <w:bookmarkStart w:id="11" w:name="_Toc10507"/>
      <w:r>
        <w:rPr>
          <w:rFonts w:hint="eastAsia"/>
          <w:lang w:eastAsia="zh-CN"/>
        </w:rPr>
        <w:t>服务质量活动管理</w:t>
      </w:r>
      <w:bookmarkEnd w:id="11"/>
    </w:p>
    <w:p w14:paraId="5BEF56EC">
      <w:pPr>
        <w:pStyle w:val="28"/>
        <w:ind w:firstLine="480"/>
      </w:pPr>
      <w:r>
        <w:t>2025年度，公司严格按照《2025年运维服务质量管理计划》开展各项质量活动，体系运行平稳有效，服务质量目标基本达成。现将主要活动总结如下：</w:t>
      </w:r>
    </w:p>
    <w:p w14:paraId="15C35B43">
      <w:pPr>
        <w:pStyle w:val="29"/>
        <w:keepNext w:val="0"/>
        <w:keepLines w:val="0"/>
        <w:widowControl w:val="0"/>
      </w:pPr>
      <w:bookmarkStart w:id="12" w:name="_Toc26525"/>
      <w:r>
        <w:rPr>
          <w:rFonts w:hint="eastAsia"/>
          <w:lang w:eastAsia="zh-CN"/>
        </w:rPr>
        <w:t>内部评审</w:t>
      </w:r>
      <w:bookmarkEnd w:id="12"/>
    </w:p>
    <w:p w14:paraId="4AA6F10B">
      <w:pPr>
        <w:widowControl w:val="0"/>
        <w:ind w:firstLine="480" w:firstLineChars="200"/>
        <w:rPr>
          <w:rFonts w:ascii="宋体" w:hAnsi="宋体" w:cs="宋体"/>
          <w:sz w:val="24"/>
          <w:szCs w:val="24"/>
        </w:rPr>
      </w:pPr>
      <w:r>
        <w:rPr>
          <w:rFonts w:ascii="宋体" w:hAnsi="宋体" w:cs="宋体"/>
          <w:sz w:val="24"/>
          <w:szCs w:val="24"/>
        </w:rPr>
        <w:t>公司准备在2025年</w:t>
      </w:r>
      <w:r>
        <w:rPr>
          <w:rFonts w:hint="eastAsia" w:ascii="宋体" w:hAnsi="宋体" w:cs="宋体"/>
          <w:sz w:val="24"/>
          <w:szCs w:val="24"/>
          <w:lang w:eastAsia="zh-CN"/>
        </w:rPr>
        <w:t>12</w:t>
      </w:r>
      <w:r>
        <w:rPr>
          <w:rFonts w:ascii="宋体" w:hAnsi="宋体" w:cs="宋体"/>
          <w:sz w:val="24"/>
          <w:szCs w:val="24"/>
        </w:rPr>
        <w:t>月进行ITSS体系的</w:t>
      </w:r>
      <w:r>
        <w:rPr>
          <w:rFonts w:hint="eastAsia" w:ascii="宋体" w:hAnsi="宋体" w:cs="宋体"/>
          <w:sz w:val="24"/>
          <w:szCs w:val="24"/>
          <w:lang w:eastAsia="zh-CN"/>
        </w:rPr>
        <w:t>新版</w:t>
      </w:r>
      <w:r>
        <w:rPr>
          <w:rFonts w:ascii="宋体" w:hAnsi="宋体" w:cs="宋体"/>
          <w:sz w:val="24"/>
          <w:szCs w:val="24"/>
        </w:rPr>
        <w:t>评估工作，在2025年</w:t>
      </w:r>
      <w:r>
        <w:rPr>
          <w:rFonts w:hint="eastAsia" w:ascii="宋体" w:hAnsi="宋体" w:cs="宋体"/>
          <w:sz w:val="24"/>
          <w:szCs w:val="24"/>
          <w:lang w:eastAsia="zh-CN"/>
        </w:rPr>
        <w:t>12</w:t>
      </w:r>
      <w:r>
        <w:rPr>
          <w:rFonts w:ascii="宋体" w:hAnsi="宋体" w:cs="宋体"/>
          <w:sz w:val="24"/>
          <w:szCs w:val="24"/>
        </w:rPr>
        <w:t>月</w:t>
      </w:r>
      <w:r>
        <w:rPr>
          <w:rFonts w:hint="eastAsia" w:ascii="宋体" w:hAnsi="宋体" w:cs="宋体"/>
          <w:sz w:val="24"/>
          <w:szCs w:val="24"/>
          <w:lang w:eastAsia="zh-CN"/>
        </w:rPr>
        <w:t>15</w:t>
      </w:r>
      <w:r>
        <w:rPr>
          <w:rFonts w:ascii="宋体" w:hAnsi="宋体" w:cs="宋体"/>
          <w:sz w:val="24"/>
          <w:szCs w:val="24"/>
        </w:rPr>
        <w:t>日至</w:t>
      </w:r>
      <w:r>
        <w:rPr>
          <w:rFonts w:hint="eastAsia" w:ascii="宋体" w:hAnsi="宋体" w:cs="宋体"/>
          <w:sz w:val="24"/>
          <w:szCs w:val="24"/>
          <w:lang w:eastAsia="zh-CN"/>
        </w:rPr>
        <w:t>16</w:t>
      </w:r>
      <w:r>
        <w:rPr>
          <w:rFonts w:ascii="宋体" w:hAnsi="宋体" w:cs="宋体"/>
          <w:sz w:val="24"/>
          <w:szCs w:val="24"/>
        </w:rPr>
        <w:t>日举行了一次内审活动，涉及公司运维相关各部门。</w:t>
      </w:r>
    </w:p>
    <w:p w14:paraId="36EC296D">
      <w:pPr>
        <w:widowControl w:val="0"/>
        <w:ind w:firstLine="480" w:firstLineChars="200"/>
        <w:rPr>
          <w:rFonts w:ascii="宋体" w:hAnsi="宋体" w:cs="宋体"/>
          <w:sz w:val="24"/>
          <w:szCs w:val="24"/>
        </w:rPr>
      </w:pPr>
      <w:r>
        <w:rPr>
          <w:rFonts w:hint="eastAsia" w:ascii="宋体" w:hAnsi="宋体" w:cs="宋体"/>
          <w:sz w:val="24"/>
          <w:szCs w:val="24"/>
        </w:rPr>
        <w:t>经对工作记录核查与人员访谈的综合评估，公司运维服务过程落实到位，实施有效。在资源保障方面，人员梯队建设与技术研发按既定规划稳步开展，服务知识库、服务台功能与服务数据资源均能满足当前运维需求。上述工作的扎实推进，带来了服务规范性的显著增强与服务质量的切实改进，已获得客户的广泛认可，客户满意度持续提升。</w:t>
      </w:r>
    </w:p>
    <w:p w14:paraId="40E398A3">
      <w:pPr>
        <w:widowControl w:val="0"/>
        <w:ind w:firstLine="480" w:firstLineChars="200"/>
        <w:rPr>
          <w:rFonts w:ascii="宋体" w:hAnsi="宋体" w:cs="宋体"/>
          <w:sz w:val="24"/>
          <w:szCs w:val="24"/>
        </w:rPr>
      </w:pPr>
      <w:r>
        <w:rPr>
          <w:rFonts w:hint="eastAsia" w:ascii="宋体" w:hAnsi="宋体" w:cs="宋体"/>
          <w:sz w:val="24"/>
          <w:szCs w:val="24"/>
          <w:lang w:eastAsia="zh-CN"/>
        </w:rPr>
        <w:t>内审过程中发现一项不符合，为一般不符合。</w:t>
      </w:r>
      <w:r>
        <w:rPr>
          <w:rFonts w:ascii="宋体" w:hAnsi="宋体" w:cs="宋体"/>
          <w:sz w:val="24"/>
          <w:szCs w:val="24"/>
        </w:rPr>
        <w:t>具体不符合项如下</w:t>
      </w:r>
      <w:r>
        <w:rPr>
          <w:rFonts w:hint="eastAsia" w:ascii="宋体" w:hAnsi="宋体" w:cs="宋体"/>
          <w:sz w:val="24"/>
          <w:szCs w:val="24"/>
          <w:lang w:eastAsia="zh-CN"/>
        </w:rPr>
        <w:t>：</w:t>
      </w:r>
      <w:r>
        <w:rPr>
          <w:rFonts w:ascii="宋体" w:hAnsi="宋体" w:cs="宋体"/>
          <w:sz w:val="24"/>
          <w:szCs w:val="24"/>
        </w:rPr>
        <w:t>知识库管理平台和知识库内容适宜性的评审记录未生成；不符合 7.</w:t>
      </w:r>
      <w:r>
        <w:rPr>
          <w:rFonts w:hint="eastAsia" w:ascii="宋体" w:hAnsi="宋体" w:cs="宋体"/>
          <w:sz w:val="24"/>
          <w:szCs w:val="24"/>
          <w:lang w:eastAsia="zh-CN"/>
        </w:rPr>
        <w:t>6.6</w:t>
      </w:r>
      <w:r>
        <w:rPr>
          <w:rFonts w:ascii="宋体" w:hAnsi="宋体" w:cs="宋体"/>
          <w:sz w:val="24"/>
          <w:szCs w:val="24"/>
        </w:rPr>
        <w:t xml:space="preserve"> </w:t>
      </w:r>
      <w:r>
        <w:rPr>
          <w:rFonts w:hint="eastAsia" w:ascii="宋体" w:hAnsi="宋体" w:cs="宋体"/>
          <w:sz w:val="24"/>
          <w:szCs w:val="24"/>
          <w:lang w:eastAsia="zh-CN"/>
        </w:rPr>
        <w:t>服务知识</w:t>
      </w:r>
      <w:r>
        <w:rPr>
          <w:rFonts w:ascii="宋体" w:hAnsi="宋体" w:cs="宋体"/>
          <w:sz w:val="24"/>
          <w:szCs w:val="24"/>
        </w:rPr>
        <w:t>，要求运维部尽快整改完毕，并由质量部验证，已经通过。</w:t>
      </w:r>
    </w:p>
    <w:p w14:paraId="31E5EE17">
      <w:pPr>
        <w:widowControl w:val="0"/>
        <w:ind w:firstLine="480" w:firstLineChars="200"/>
        <w:rPr>
          <w:rFonts w:ascii="宋体" w:hAnsi="宋体" w:cs="宋体"/>
          <w:sz w:val="24"/>
          <w:szCs w:val="24"/>
        </w:rPr>
      </w:pPr>
      <w:r>
        <w:rPr>
          <w:rFonts w:ascii="宋体" w:hAnsi="宋体" w:cs="宋体"/>
          <w:sz w:val="24"/>
          <w:szCs w:val="24"/>
        </w:rPr>
        <w:t>针对不符合项的改进意见如下：</w:t>
      </w:r>
    </w:p>
    <w:p w14:paraId="619D36E1">
      <w:pPr>
        <w:widowControl w:val="0"/>
        <w:ind w:firstLine="480" w:firstLineChars="200"/>
        <w:rPr>
          <w:rFonts w:ascii="宋体" w:hAnsi="宋体" w:cs="宋体"/>
          <w:spacing w:val="-2"/>
          <w:sz w:val="24"/>
          <w:szCs w:val="24"/>
        </w:rPr>
      </w:pPr>
      <w:r>
        <w:rPr>
          <w:rFonts w:ascii="宋体" w:hAnsi="宋体" w:cs="宋体"/>
          <w:sz w:val="24"/>
          <w:szCs w:val="24"/>
        </w:rPr>
        <w:t>运维部相关人员认真学习</w:t>
      </w:r>
      <w:r>
        <w:rPr>
          <w:rFonts w:hint="eastAsia" w:ascii="宋体" w:hAnsi="宋体" w:cs="宋体"/>
          <w:sz w:val="24"/>
          <w:szCs w:val="24"/>
          <w:lang w:eastAsia="zh-CN"/>
        </w:rPr>
        <w:t>服务知识</w:t>
      </w:r>
      <w:r>
        <w:rPr>
          <w:rFonts w:ascii="宋体" w:hAnsi="宋体" w:cs="宋体"/>
          <w:sz w:val="24"/>
          <w:szCs w:val="24"/>
        </w:rPr>
        <w:t>管理制度，并按制度要求定期开展</w:t>
      </w:r>
      <w:r>
        <w:rPr>
          <w:rFonts w:hint="eastAsia" w:ascii="宋体" w:hAnsi="宋体" w:cs="宋体"/>
          <w:sz w:val="24"/>
          <w:szCs w:val="24"/>
          <w:lang w:eastAsia="zh-CN"/>
        </w:rPr>
        <w:t>服务知识</w:t>
      </w:r>
      <w:r>
        <w:rPr>
          <w:rFonts w:ascii="宋体" w:hAnsi="宋体" w:cs="宋体"/>
          <w:sz w:val="24"/>
          <w:szCs w:val="24"/>
        </w:rPr>
        <w:t>内容适宜性评审，并由专人负责提醒其定期开展</w:t>
      </w:r>
      <w:r>
        <w:rPr>
          <w:rFonts w:ascii="宋体" w:hAnsi="宋体" w:cs="宋体"/>
          <w:spacing w:val="-2"/>
          <w:sz w:val="24"/>
          <w:szCs w:val="24"/>
        </w:rPr>
        <w:t>。</w:t>
      </w:r>
    </w:p>
    <w:p w14:paraId="129229CA">
      <w:pPr>
        <w:pStyle w:val="29"/>
        <w:keepNext w:val="0"/>
        <w:keepLines w:val="0"/>
        <w:widowControl w:val="0"/>
      </w:pPr>
      <w:bookmarkStart w:id="13" w:name="_Toc20232"/>
      <w:r>
        <w:rPr>
          <w:rFonts w:hint="eastAsia"/>
          <w:lang w:eastAsia="zh-CN"/>
        </w:rPr>
        <w:t>管理评审</w:t>
      </w:r>
      <w:bookmarkEnd w:id="13"/>
    </w:p>
    <w:p w14:paraId="19DADFFD">
      <w:pPr>
        <w:pStyle w:val="30"/>
        <w:ind w:firstLine="478"/>
      </w:pPr>
      <w:bookmarkStart w:id="14" w:name="_Toc7503"/>
      <w:r>
        <w:rPr>
          <w:rFonts w:hint="eastAsia"/>
        </w:rPr>
        <w:t>评审背景与输入</w:t>
      </w:r>
      <w:bookmarkEnd w:id="14"/>
    </w:p>
    <w:p w14:paraId="7C914090">
      <w:pPr>
        <w:pStyle w:val="28"/>
        <w:ind w:firstLine="480"/>
      </w:pPr>
      <w:r>
        <w:rPr>
          <w:rFonts w:hint="eastAsia"/>
        </w:rPr>
        <w:t>体系运行期间，全体员工基于日常实践积极反馈改进建议，各审核专员亦通过项目检查识别了优化需求。以上信息作为重要输入，提交至管理评审会议。</w:t>
      </w:r>
    </w:p>
    <w:p w14:paraId="23C427BB">
      <w:pPr>
        <w:pStyle w:val="30"/>
        <w:ind w:firstLine="478"/>
      </w:pPr>
      <w:bookmarkStart w:id="15" w:name="_Toc6931"/>
      <w:r>
        <w:rPr>
          <w:rFonts w:hint="eastAsia"/>
        </w:rPr>
        <w:t>评审实施与发现</w:t>
      </w:r>
      <w:bookmarkEnd w:id="15"/>
    </w:p>
    <w:p w14:paraId="3447A301">
      <w:pPr>
        <w:pStyle w:val="28"/>
        <w:ind w:firstLine="480"/>
      </w:pPr>
      <w:r>
        <w:rPr>
          <w:rFonts w:hint="eastAsia"/>
        </w:rPr>
        <w:t>公司于2025年12月20日组织召开了运维服务能力管理评审会议。会议从人员、资源、过程、技术、应急、交付及体系实施成果等方面，对运维服务能力进行了系统性分析与评价。根据《运维服务能力指标体系》核查，各项指标均获达成；对于内审遗留问题，会议明确了具体的责任部门与整改路径。</w:t>
      </w:r>
    </w:p>
    <w:p w14:paraId="20E6C38A">
      <w:pPr>
        <w:pStyle w:val="30"/>
        <w:ind w:firstLine="478"/>
      </w:pPr>
      <w:bookmarkStart w:id="16" w:name="_Toc17772"/>
      <w:r>
        <w:rPr>
          <w:rFonts w:hint="eastAsia"/>
        </w:rPr>
        <w:t>评审结论与决议</w:t>
      </w:r>
      <w:bookmarkEnd w:id="16"/>
    </w:p>
    <w:p w14:paraId="0616937C">
      <w:pPr>
        <w:pStyle w:val="28"/>
        <w:ind w:firstLine="480"/>
      </w:pPr>
      <w:r>
        <w:rPr>
          <w:rFonts w:hint="eastAsia"/>
        </w:rPr>
        <w:t>经评审，与会人员一致认为：运维服务管理体系运行状态基本正常，能够适应公司实际业务，对运维服务质量的提升起到了正向推动作用。会议决议，后续工作应重点加强对员工的技能与工作流程培训，并责成运维部进一步强化对体系执行的日常监督。</w:t>
      </w:r>
    </w:p>
    <w:p w14:paraId="62C76344">
      <w:pPr>
        <w:pStyle w:val="29"/>
        <w:keepNext w:val="0"/>
        <w:keepLines w:val="0"/>
        <w:widowControl w:val="0"/>
      </w:pPr>
      <w:bookmarkStart w:id="17" w:name="_Toc799"/>
      <w:r>
        <w:t>满意度调查</w:t>
      </w:r>
      <w:bookmarkEnd w:id="17"/>
    </w:p>
    <w:p w14:paraId="2F5C1DBC">
      <w:pPr>
        <w:widowControl w:val="0"/>
        <w:kinsoku/>
        <w:adjustRightInd/>
        <w:snapToGrid/>
        <w:ind w:firstLine="456" w:firstLineChars="200"/>
        <w:textAlignment w:val="auto"/>
        <w:rPr>
          <w:rFonts w:ascii="宋体" w:hAnsi="宋体" w:cs="宋体"/>
          <w:spacing w:val="-6"/>
          <w:sz w:val="24"/>
          <w:szCs w:val="24"/>
          <w:lang w:eastAsia="zh-CN"/>
        </w:rPr>
      </w:pPr>
      <w:r>
        <w:rPr>
          <w:rFonts w:hint="eastAsia" w:ascii="宋体" w:hAnsi="宋体" w:cs="宋体"/>
          <w:spacing w:val="-6"/>
          <w:sz w:val="24"/>
          <w:szCs w:val="24"/>
          <w:lang w:eastAsia="zh-CN"/>
        </w:rPr>
        <w:t>对已统计的用户满意度调查问卷结果进行分析，截止2025年12月客户满意度平均分为96分（满意度调查表总得分/收回的调查问卷总份数），通过调查分数以及客户提出的改进意见，运维部发现以下情况在之后的运维服务过程中有提高的空间。</w:t>
      </w:r>
    </w:p>
    <w:p w14:paraId="1E788775">
      <w:pPr>
        <w:widowControl w:val="0"/>
        <w:kinsoku/>
        <w:adjustRightInd/>
        <w:snapToGrid/>
        <w:ind w:firstLine="456" w:firstLineChars="200"/>
        <w:textAlignment w:val="auto"/>
        <w:rPr>
          <w:rFonts w:ascii="宋体" w:hAnsi="宋体" w:cs="宋体"/>
          <w:spacing w:val="-6"/>
          <w:sz w:val="24"/>
          <w:szCs w:val="24"/>
          <w:lang w:eastAsia="zh-CN"/>
        </w:rPr>
      </w:pPr>
      <w:r>
        <w:rPr>
          <w:rFonts w:hint="eastAsia" w:ascii="宋体" w:hAnsi="宋体" w:cs="宋体"/>
          <w:spacing w:val="-6"/>
          <w:sz w:val="24"/>
          <w:szCs w:val="24"/>
          <w:lang w:eastAsia="zh-CN"/>
        </w:rPr>
        <w:t>在肯定成绩的同时，结合客户在问卷中提出的具体意见与建议，运维部进行了专项梳理与根因分析，识别出在后续服务过程中仍有提升空间的环节，主要包括：</w:t>
      </w:r>
    </w:p>
    <w:p w14:paraId="0A463930">
      <w:pPr>
        <w:widowControl w:val="0"/>
        <w:numPr>
          <w:ilvl w:val="0"/>
          <w:numId w:val="5"/>
        </w:numPr>
        <w:kinsoku/>
        <w:adjustRightInd/>
        <w:snapToGrid/>
        <w:textAlignment w:val="auto"/>
        <w:rPr>
          <w:rFonts w:ascii="宋体" w:hAnsi="宋体" w:cs="宋体"/>
          <w:spacing w:val="-6"/>
          <w:sz w:val="24"/>
          <w:szCs w:val="24"/>
          <w:lang w:eastAsia="zh-CN"/>
        </w:rPr>
      </w:pPr>
      <w:r>
        <w:rPr>
          <w:rFonts w:hint="eastAsia" w:ascii="宋体" w:hAnsi="宋体" w:cs="宋体"/>
          <w:spacing w:val="-6"/>
          <w:sz w:val="24"/>
          <w:szCs w:val="24"/>
          <w:lang w:eastAsia="zh-CN"/>
        </w:rPr>
        <w:t>之后运维部会继续向客户征询调查问卷，并对调查问卷的数据进行统计分析，从而进一步提升本公司各方面服务水平，更好的服务于客户。</w:t>
      </w:r>
    </w:p>
    <w:p w14:paraId="0415174C">
      <w:pPr>
        <w:widowControl w:val="0"/>
        <w:numPr>
          <w:ilvl w:val="0"/>
          <w:numId w:val="5"/>
        </w:numPr>
        <w:kinsoku/>
        <w:adjustRightInd/>
        <w:snapToGrid/>
        <w:textAlignment w:val="auto"/>
        <w:rPr>
          <w:rFonts w:ascii="宋体" w:hAnsi="宋体" w:cs="宋体"/>
          <w:spacing w:val="-6"/>
          <w:sz w:val="24"/>
          <w:szCs w:val="24"/>
          <w:lang w:eastAsia="zh-CN"/>
        </w:rPr>
      </w:pPr>
      <w:r>
        <w:rPr>
          <w:rFonts w:hint="eastAsia" w:ascii="宋体" w:hAnsi="宋体" w:cs="宋体"/>
          <w:spacing w:val="-6"/>
          <w:sz w:val="24"/>
          <w:szCs w:val="24"/>
          <w:lang w:eastAsia="zh-CN"/>
        </w:rPr>
        <w:t>服务台沟通规范性与响应效率：部分客户反馈，服务台在接听咨询或处理初步请求时，存在用语不够标准化、情绪安抚与信息引导能力有待加强的情况，影响了服务的专业感知与及时性。</w:t>
      </w:r>
    </w:p>
    <w:p w14:paraId="618861AD">
      <w:pPr>
        <w:widowControl w:val="0"/>
        <w:numPr>
          <w:ilvl w:val="0"/>
          <w:numId w:val="5"/>
        </w:numPr>
        <w:kinsoku/>
        <w:adjustRightInd/>
        <w:snapToGrid/>
        <w:textAlignment w:val="auto"/>
        <w:rPr>
          <w:rFonts w:ascii="宋体" w:hAnsi="宋体" w:cs="宋体"/>
          <w:spacing w:val="-6"/>
          <w:sz w:val="24"/>
          <w:szCs w:val="24"/>
          <w:lang w:eastAsia="zh-CN"/>
        </w:rPr>
      </w:pPr>
      <w:r>
        <w:rPr>
          <w:rFonts w:hint="eastAsia" w:ascii="宋体" w:hAnsi="宋体" w:cs="宋体"/>
          <w:spacing w:val="-6"/>
          <w:sz w:val="24"/>
          <w:szCs w:val="24"/>
          <w:lang w:eastAsia="zh-CN"/>
        </w:rPr>
        <w:t>内部流程衔接与信息透明度：有客户提及，在合同续签、变更审批等环节，感觉内部流程周期较长，且进展状态同步不够及时，希望进一步优化流程效率并增强过程可视性。</w:t>
      </w:r>
    </w:p>
    <w:p w14:paraId="6DBF290B">
      <w:pPr>
        <w:widowControl w:val="0"/>
        <w:numPr>
          <w:ilvl w:val="0"/>
          <w:numId w:val="5"/>
        </w:numPr>
        <w:kinsoku/>
        <w:adjustRightInd/>
        <w:snapToGrid/>
        <w:textAlignment w:val="auto"/>
        <w:rPr>
          <w:rFonts w:ascii="宋体" w:hAnsi="宋体" w:cs="宋体"/>
          <w:spacing w:val="-6"/>
          <w:sz w:val="24"/>
          <w:szCs w:val="24"/>
          <w:lang w:eastAsia="zh-CN"/>
        </w:rPr>
      </w:pPr>
      <w:r>
        <w:rPr>
          <w:rFonts w:hint="eastAsia" w:ascii="宋体" w:hAnsi="宋体" w:cs="宋体"/>
          <w:spacing w:val="-6"/>
          <w:sz w:val="24"/>
          <w:szCs w:val="24"/>
          <w:lang w:eastAsia="zh-CN"/>
        </w:rPr>
        <w:t>主动服务与定期汇报机制：部分项目客户指出，日常沟通多基于事件驱动，建议可增强定期性的服务汇报与健康检查，以便更全面了解系统运行状况与服务价值体现。</w:t>
      </w:r>
    </w:p>
    <w:p w14:paraId="28A5A0D4">
      <w:pPr>
        <w:pStyle w:val="28"/>
        <w:ind w:firstLine="480"/>
      </w:pPr>
      <w:r>
        <w:t>满意度调查不仅量化评估了服务表现，更通过客户声音精准揭示了服务短板与管理盲点，进一步说明：在维持整体满意度高位的</w:t>
      </w:r>
      <w:r>
        <w:rPr>
          <w:rFonts w:hint="eastAsia"/>
          <w:lang w:val="en-US" w:eastAsia="zh-CN"/>
        </w:rPr>
        <w:t>同时</w:t>
      </w:r>
      <w:r>
        <w:t>，细节体验、流程效能与主动服务已成为客户重点关注且期待持续优化的方向。这要求我们在未来工作中，必须将客户反馈转化为内部改进的具体行动，通过提升局部环节的专业性与协同效率，进而驱动公司整体运作及管理水平的系统升级。</w:t>
      </w:r>
    </w:p>
    <w:p w14:paraId="6D6BDD7F">
      <w:pPr>
        <w:pStyle w:val="29"/>
        <w:keepNext w:val="0"/>
        <w:keepLines w:val="0"/>
        <w:widowControl w:val="0"/>
      </w:pPr>
      <w:bookmarkStart w:id="18" w:name="_Toc23741"/>
      <w:r>
        <w:t>运维服务</w:t>
      </w:r>
      <w:r>
        <w:rPr>
          <w:rFonts w:hint="eastAsia"/>
          <w:lang w:eastAsia="zh-CN"/>
        </w:rPr>
        <w:t>质量总结、改进</w:t>
      </w:r>
      <w:bookmarkEnd w:id="18"/>
    </w:p>
    <w:p w14:paraId="54B0CEB8">
      <w:pPr>
        <w:widowControl w:val="0"/>
        <w:kinsoku/>
        <w:adjustRightInd/>
        <w:snapToGrid/>
        <w:ind w:firstLine="456" w:firstLineChars="200"/>
        <w:textAlignment w:val="auto"/>
        <w:rPr>
          <w:rFonts w:ascii="宋体" w:hAnsi="宋体" w:cs="宋体"/>
          <w:spacing w:val="-6"/>
          <w:sz w:val="24"/>
          <w:szCs w:val="24"/>
          <w:lang w:eastAsia="zh-CN"/>
        </w:rPr>
      </w:pPr>
      <w:r>
        <w:rPr>
          <w:rFonts w:ascii="宋体" w:hAnsi="宋体" w:cs="宋体"/>
          <w:spacing w:val="-6"/>
          <w:sz w:val="24"/>
          <w:szCs w:val="24"/>
          <w:lang w:eastAsia="zh-CN"/>
        </w:rPr>
        <w:t>2025年1月，由</w:t>
      </w:r>
      <w:r>
        <w:rPr>
          <w:rFonts w:hint="eastAsia" w:ascii="宋体" w:hAnsi="宋体" w:cs="宋体"/>
          <w:spacing w:val="-6"/>
          <w:sz w:val="24"/>
          <w:szCs w:val="24"/>
          <w:lang w:eastAsia="zh-CN"/>
        </w:rPr>
        <w:t>运维部</w:t>
      </w:r>
      <w:r>
        <w:rPr>
          <w:rFonts w:ascii="宋体" w:hAnsi="宋体" w:cs="宋体"/>
          <w:spacing w:val="-6"/>
          <w:sz w:val="24"/>
          <w:szCs w:val="24"/>
          <w:lang w:eastAsia="zh-CN"/>
        </w:rPr>
        <w:t>牵头公司引进了ITSS运维服务能力管理体系，结合公司的实际情况对公司原有的运维管理体系进行了全面系统地梳理，</w:t>
      </w:r>
      <w:r>
        <w:rPr>
          <w:rFonts w:hint="eastAsia" w:ascii="宋体" w:hAnsi="宋体" w:cs="宋体"/>
          <w:spacing w:val="-6"/>
          <w:sz w:val="24"/>
          <w:szCs w:val="24"/>
          <w:lang w:eastAsia="zh-CN"/>
        </w:rPr>
        <w:t>结合运维服务指标完成情况、客户反馈意见等方式</w:t>
      </w:r>
      <w:r>
        <w:rPr>
          <w:rFonts w:ascii="宋体" w:hAnsi="宋体" w:cs="宋体"/>
          <w:spacing w:val="-6"/>
          <w:sz w:val="24"/>
          <w:szCs w:val="24"/>
          <w:lang w:eastAsia="zh-CN"/>
        </w:rPr>
        <w:t>从人员管理、资源管理、技术管理、服务过程管理及质量管理方面对</w:t>
      </w:r>
      <w:r>
        <w:rPr>
          <w:rFonts w:hint="eastAsia" w:ascii="宋体" w:hAnsi="宋体" w:cs="宋体"/>
          <w:spacing w:val="-6"/>
          <w:sz w:val="24"/>
          <w:szCs w:val="24"/>
          <w:lang w:eastAsia="zh-CN"/>
        </w:rPr>
        <w:t>运维体系进行改进和完善。</w:t>
      </w:r>
      <w:r>
        <w:rPr>
          <w:rFonts w:ascii="宋体" w:hAnsi="宋体" w:cs="宋体"/>
          <w:spacing w:val="-6"/>
          <w:sz w:val="24"/>
          <w:szCs w:val="24"/>
          <w:lang w:eastAsia="zh-CN"/>
        </w:rPr>
        <w:t>实践表明，通过不断地完善调整，修改后的运维服务体系能较好的适应公司文化，规范工作流程，对运维服务起到了促进和支撑作用。</w:t>
      </w:r>
    </w:p>
    <w:sectPr>
      <w:footerReference r:id="rId5" w:type="default"/>
      <w:pgSz w:w="11906" w:h="16839"/>
      <w:pgMar w:top="1431" w:right="1759"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AD289">
    <w:pPr>
      <w:spacing w:line="167" w:lineRule="auto"/>
      <w:ind w:left="4130"/>
      <w:rPr>
        <w:rFonts w:ascii="Calibri" w:hAnsi="Calibri" w:eastAsia="Calibri" w:cs="Calibri"/>
        <w:sz w:val="18"/>
        <w:szCs w:val="18"/>
      </w:rPr>
    </w:pPr>
    <w:r>
      <w:rPr>
        <w:rFonts w:ascii="Calibri" w:hAnsi="Calibri" w:eastAsia="Calibri" w:cs="Calibri"/>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23FF348C"/>
    <w:multiLevelType w:val="singleLevel"/>
    <w:tmpl w:val="23FF348C"/>
    <w:lvl w:ilvl="0" w:tentative="0">
      <w:start w:val="1"/>
      <w:numFmt w:val="decimal"/>
      <w:lvlText w:val="%1."/>
      <w:lvlJc w:val="left"/>
      <w:pPr>
        <w:ind w:left="425" w:hanging="425"/>
      </w:pPr>
      <w:rPr>
        <w:rFonts w:hint="default"/>
      </w:rPr>
    </w:lvl>
  </w:abstractNum>
  <w:abstractNum w:abstractNumId="2">
    <w:nsid w:val="31C756D5"/>
    <w:multiLevelType w:val="singleLevel"/>
    <w:tmpl w:val="31C756D5"/>
    <w:lvl w:ilvl="0" w:tentative="0">
      <w:start w:val="1"/>
      <w:numFmt w:val="decimal"/>
      <w:lvlText w:val="%1."/>
      <w:lvlJc w:val="left"/>
      <w:pPr>
        <w:ind w:left="425" w:hanging="425"/>
      </w:pPr>
      <w:rPr>
        <w:rFonts w:hint="default"/>
      </w:rPr>
    </w:lvl>
  </w:abstractNum>
  <w:abstractNum w:abstractNumId="3">
    <w:nsid w:val="79EA4081"/>
    <w:multiLevelType w:val="singleLevel"/>
    <w:tmpl w:val="79EA4081"/>
    <w:lvl w:ilvl="0" w:tentative="0">
      <w:start w:val="1"/>
      <w:numFmt w:val="decimal"/>
      <w:lvlText w:val="%1."/>
      <w:lvlJc w:val="left"/>
      <w:pPr>
        <w:ind w:left="425" w:hanging="425"/>
      </w:pPr>
      <w:rPr>
        <w:rFonts w:hint="default"/>
      </w:rPr>
    </w:lvl>
  </w:abstractNum>
  <w:abstractNum w:abstractNumId="4">
    <w:nsid w:val="7A1B0A07"/>
    <w:multiLevelType w:val="singleLevel"/>
    <w:tmpl w:val="7A1B0A07"/>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NotTrackMoves/>
  <w:documentProtection w:enforcement="0"/>
  <w:defaultTabStop w:val="720"/>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2"/>
  </w:compat>
  <w:rsids>
    <w:rsidRoot w:val="002157E4"/>
    <w:rsid w:val="000140BD"/>
    <w:rsid w:val="0010535F"/>
    <w:rsid w:val="002157E4"/>
    <w:rsid w:val="004527D9"/>
    <w:rsid w:val="007507DD"/>
    <w:rsid w:val="00872DE0"/>
    <w:rsid w:val="00B73CDE"/>
    <w:rsid w:val="00D339E1"/>
    <w:rsid w:val="051A405F"/>
    <w:rsid w:val="08D13DE0"/>
    <w:rsid w:val="0F7A0392"/>
    <w:rsid w:val="19404D95"/>
    <w:rsid w:val="1CC7132A"/>
    <w:rsid w:val="27135897"/>
    <w:rsid w:val="2B1165A0"/>
    <w:rsid w:val="2B6C2CF0"/>
    <w:rsid w:val="2BB313F7"/>
    <w:rsid w:val="2C7548FE"/>
    <w:rsid w:val="3B082DE1"/>
    <w:rsid w:val="45CF2E79"/>
    <w:rsid w:val="516528E4"/>
    <w:rsid w:val="62A37075"/>
    <w:rsid w:val="670C4D9F"/>
    <w:rsid w:val="75892893"/>
    <w:rsid w:val="7F9A18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line="413" w:lineRule="auto"/>
      <w:outlineLvl w:val="2"/>
    </w:pPr>
    <w:rPr>
      <w:b/>
      <w:sz w:val="32"/>
    </w:rPr>
  </w:style>
  <w:style w:type="paragraph" w:styleId="5">
    <w:name w:val="heading 4"/>
    <w:basedOn w:val="1"/>
    <w:next w:val="1"/>
    <w:unhideWhenUsed/>
    <w:qFormat/>
    <w:uiPriority w:val="0"/>
    <w:pPr>
      <w:keepNext/>
      <w:keepLines/>
      <w:numPr>
        <w:ilvl w:val="3"/>
        <w:numId w:val="1"/>
      </w:numPr>
      <w:spacing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line="317" w:lineRule="auto"/>
      <w:outlineLvl w:val="8"/>
    </w:pPr>
    <w:rPr>
      <w:rFonts w:eastAsia="黑体"/>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Balloon Text"/>
    <w:basedOn w:val="1"/>
    <w:link w:val="43"/>
    <w:uiPriority w:val="0"/>
    <w:pPr>
      <w:spacing w:line="240" w:lineRule="auto"/>
    </w:pPr>
    <w:rPr>
      <w:sz w:val="18"/>
      <w:szCs w:val="18"/>
    </w:rPr>
  </w:style>
  <w:style w:type="paragraph" w:styleId="15">
    <w:name w:val="footer"/>
    <w:basedOn w:val="1"/>
    <w:qFormat/>
    <w:uiPriority w:val="0"/>
    <w:pPr>
      <w:tabs>
        <w:tab w:val="center" w:pos="4153"/>
        <w:tab w:val="right" w:pos="8306"/>
      </w:tabs>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7">
    <w:name w:val="toc 1"/>
    <w:basedOn w:val="1"/>
    <w:next w:val="1"/>
    <w:qFormat/>
    <w:uiPriority w:val="0"/>
    <w:rPr>
      <w:rFonts w:eastAsia="Microsoft JhengHei"/>
      <w:sz w:val="2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jc w:val="center"/>
      <w:outlineLvl w:val="0"/>
    </w:pPr>
    <w:rPr>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Strong"/>
    <w:basedOn w:val="23"/>
    <w:qFormat/>
    <w:uiPriority w:val="0"/>
    <w:rPr>
      <w:b/>
    </w:rPr>
  </w:style>
  <w:style w:type="table" w:customStyle="1" w:styleId="25">
    <w:name w:val="Table Normal_0"/>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ascii="宋体" w:hAnsi="宋体" w:cs="宋体"/>
    </w:rPr>
  </w:style>
  <w:style w:type="paragraph" w:customStyle="1" w:styleId="27">
    <w:name w:val="柴_标题1"/>
    <w:basedOn w:val="2"/>
    <w:next w:val="28"/>
    <w:link w:val="39"/>
    <w:qFormat/>
    <w:uiPriority w:val="0"/>
    <w:pPr>
      <w:spacing w:before="100" w:after="90" w:line="360" w:lineRule="auto"/>
    </w:pPr>
    <w:rPr>
      <w:sz w:val="32"/>
    </w:rPr>
  </w:style>
  <w:style w:type="paragraph" w:customStyle="1" w:styleId="28">
    <w:name w:val="柴_正文"/>
    <w:basedOn w:val="12"/>
    <w:link w:val="42"/>
    <w:qFormat/>
    <w:uiPriority w:val="0"/>
    <w:pPr>
      <w:ind w:firstLine="470" w:firstLineChars="200"/>
    </w:pPr>
    <w:rPr>
      <w:rFonts w:eastAsia="宋体"/>
      <w:sz w:val="24"/>
      <w:lang w:eastAsia="zh-CN"/>
    </w:rPr>
  </w:style>
  <w:style w:type="paragraph" w:customStyle="1" w:styleId="29">
    <w:name w:val="柴_标题2"/>
    <w:basedOn w:val="3"/>
    <w:next w:val="28"/>
    <w:qFormat/>
    <w:uiPriority w:val="0"/>
    <w:pPr>
      <w:spacing w:line="360" w:lineRule="auto"/>
    </w:pPr>
    <w:rPr>
      <w:rFonts w:eastAsia="宋体"/>
      <w:sz w:val="28"/>
    </w:rPr>
  </w:style>
  <w:style w:type="paragraph" w:customStyle="1" w:styleId="30">
    <w:name w:val="柴_标题3"/>
    <w:basedOn w:val="4"/>
    <w:next w:val="28"/>
    <w:qFormat/>
    <w:uiPriority w:val="0"/>
    <w:pPr>
      <w:spacing w:line="360" w:lineRule="auto"/>
      <w:ind w:left="0" w:firstLine="472" w:firstLineChars="200"/>
    </w:pPr>
    <w:rPr>
      <w:rFonts w:ascii="宋体" w:hAnsi="宋体" w:cs="宋体"/>
      <w:spacing w:val="-2"/>
      <w:sz w:val="24"/>
      <w:szCs w:val="24"/>
    </w:rPr>
  </w:style>
  <w:style w:type="paragraph" w:customStyle="1" w:styleId="31">
    <w:name w:val="柴_目录"/>
    <w:basedOn w:val="1"/>
    <w:next w:val="12"/>
    <w:qFormat/>
    <w:uiPriority w:val="0"/>
    <w:pPr>
      <w:tabs>
        <w:tab w:val="right" w:leader="dot" w:pos="8442"/>
      </w:tabs>
    </w:pPr>
    <w:rPr>
      <w:rFonts w:eastAsia="Microsoft JhengHei"/>
      <w:sz w:val="24"/>
    </w:rPr>
  </w:style>
  <w:style w:type="paragraph" w:customStyle="1" w:styleId="32">
    <w:name w:val="柴_公司名"/>
    <w:basedOn w:val="20"/>
    <w:qFormat/>
    <w:uiPriority w:val="0"/>
    <w:pPr>
      <w:spacing w:afterLines="600"/>
    </w:pPr>
    <w:rPr>
      <w:rFonts w:hint="eastAsia" w:ascii="宋体" w:hAnsi="宋体" w:cs="宋体"/>
      <w:bCs/>
      <w:spacing w:val="-6"/>
      <w:sz w:val="52"/>
      <w:szCs w:val="52"/>
    </w:rPr>
  </w:style>
  <w:style w:type="paragraph" w:customStyle="1" w:styleId="33">
    <w:name w:val="柴_文档名"/>
    <w:basedOn w:val="20"/>
    <w:qFormat/>
    <w:uiPriority w:val="0"/>
    <w:pPr>
      <w:spacing w:afterLines="900"/>
    </w:pPr>
    <w:rPr>
      <w:rFonts w:ascii="黑体" w:hAnsi="黑体" w:eastAsia="黑体" w:cs="黑体"/>
      <w:bCs/>
      <w:spacing w:val="-7"/>
      <w:sz w:val="52"/>
      <w:szCs w:val="52"/>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7"/>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8"/>
    <w:qFormat/>
    <w:uiPriority w:val="0"/>
    <w:rPr>
      <w:rFonts w:ascii="Arial" w:hAnsi="Arial" w:eastAsia="宋体"/>
      <w:sz w:val="24"/>
      <w:lang w:eastAsia="zh-CN"/>
    </w:rPr>
  </w:style>
  <w:style w:type="character" w:customStyle="1" w:styleId="43">
    <w:name w:val="批注框文本 Char"/>
    <w:basedOn w:val="23"/>
    <w:link w:val="14"/>
    <w:qFormat/>
    <w:uiPriority w:val="0"/>
    <w:rPr>
      <w:rFonts w:ascii="Arial" w:hAnsi="Arial" w:cs="Arial"/>
      <w:snapToGrid w:val="0"/>
      <w:color w:val="000000"/>
      <w:sz w:val="18"/>
      <w:szCs w:val="18"/>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2754</Words>
  <Characters>2946</Characters>
  <Lines>29</Lines>
  <Paragraphs>8</Paragraphs>
  <TotalTime>0</TotalTime>
  <ScaleCrop>false</ScaleCrop>
  <LinksUpToDate>false</LinksUpToDate>
  <CharactersWithSpaces>3054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2025-08-17T01:36:00Z</dcterms:created>
  <dc:creator>谢永刚</dc:creator>
  <cp:lastModifiedBy>郝宇</cp:lastModifiedBy>
  <dcterms:modified xsi:type="dcterms:W3CDTF">2026-04-16T19:31:39Z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2025-08-21T01:15:29Z</vt:filetime>
  </property>
  <property fmtid="{D5CDD505-2E9C-101B-9397-08002B2CF9AE}" pid="3" name="CRO">
    <vt:lpwstr>wqlLaW5nc29mdCBQREYgdG8gV1BTIDExNQ</vt:lpwstr>
  </property>
  <property fmtid="{D5CDD505-2E9C-101B-9397-08002B2CF9AE}" pid="4" name="ICV">
    <vt:lpwstr>4E0A1EC789AC401D9E18C2E73A87486D_12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