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737DED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0" w:name="_Toc297"/>
    </w:p>
    <w:p w14:paraId="67FDDF33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人员备份管理制度</w:t>
      </w:r>
      <w:bookmarkEnd w:id="0"/>
    </w:p>
    <w:p w14:paraId="7F95EC9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_Toc24555"/>
      <w:r>
        <w:t>江苏云储智能科技有限公司</w:t>
      </w:r>
      <w:bookmarkEnd w:id="1"/>
    </w:p>
    <w:p w14:paraId="46F5516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 w:ascii="宋体" w:hAnsi="宋体" w:eastAsia="宋体" w:cs="宋体"/>
          <w:b w:val="0"/>
          <w:bCs w:val="0"/>
          <w:sz w:val="36"/>
          <w:szCs w:val="36"/>
          <w:lang w:val="en-US" w:eastAsia="zh-CN"/>
        </w:rPr>
      </w:pPr>
      <w:bookmarkStart w:id="2" w:name="_Toc7092"/>
      <w:r>
        <w:rPr>
          <w:rFonts w:hint="eastAsia" w:ascii="宋体" w:hAnsi="宋体" w:eastAsia="宋体" w:cs="宋体"/>
          <w:b w:val="0"/>
          <w:bCs w:val="0"/>
          <w:sz w:val="36"/>
          <w:szCs w:val="36"/>
          <w:lang w:val="en-US" w:eastAsia="zh-CN"/>
        </w:rPr>
        <w:t>2025年1月4日</w:t>
      </w:r>
      <w:bookmarkEnd w:id="2"/>
    </w:p>
    <w:p w14:paraId="7DBEBE9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 w:ascii="宋体" w:hAnsi="宋体" w:eastAsia="宋体" w:cs="宋体"/>
          <w:b w:val="0"/>
          <w:bCs w:val="0"/>
          <w:sz w:val="36"/>
          <w:szCs w:val="36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</w:p>
    <w:p w14:paraId="0969780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1" w:line="220" w:lineRule="auto"/>
        <w:ind w:left="3710"/>
        <w:textAlignment w:val="baseline"/>
        <w:outlineLvl w:val="1"/>
        <w:rPr>
          <w:rFonts w:ascii="宋体" w:hAnsi="宋体" w:eastAsia="宋体" w:cs="宋体"/>
          <w:sz w:val="28"/>
          <w:szCs w:val="28"/>
        </w:rPr>
      </w:pPr>
      <w:bookmarkStart w:id="3" w:name="_Toc12250"/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  <w:bookmarkEnd w:id="3"/>
    </w:p>
    <w:tbl>
      <w:tblPr>
        <w:tblStyle w:val="24"/>
        <w:tblW w:w="9072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413"/>
        <w:gridCol w:w="2303"/>
        <w:gridCol w:w="1557"/>
        <w:gridCol w:w="1953"/>
      </w:tblGrid>
      <w:tr w14:paraId="77295C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846" w:type="dxa"/>
          </w:tcPr>
          <w:p w14:paraId="497A009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296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文档名称编号</w:t>
            </w:r>
          </w:p>
        </w:tc>
        <w:tc>
          <w:tcPr>
            <w:tcW w:w="7226" w:type="dxa"/>
            <w:gridSpan w:val="4"/>
          </w:tcPr>
          <w:p w14:paraId="7EEA60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109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人员备份管理制度（JSYC-ITSS-RYBFGL）</w:t>
            </w:r>
          </w:p>
        </w:tc>
      </w:tr>
      <w:tr w14:paraId="7374C4A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846" w:type="dxa"/>
          </w:tcPr>
          <w:p w14:paraId="645EF5C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6" w:line="220" w:lineRule="auto"/>
              <w:ind w:left="506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编制单位</w:t>
            </w:r>
          </w:p>
        </w:tc>
        <w:tc>
          <w:tcPr>
            <w:tcW w:w="7226" w:type="dxa"/>
            <w:gridSpan w:val="4"/>
          </w:tcPr>
          <w:p w14:paraId="72E972C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7" w:line="219" w:lineRule="auto"/>
              <w:ind w:left="108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江苏云储智能科技有限公司</w:t>
            </w:r>
          </w:p>
        </w:tc>
      </w:tr>
      <w:tr w14:paraId="73E70A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846" w:type="dxa"/>
          </w:tcPr>
          <w:p w14:paraId="23563F2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506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文档版本</w:t>
            </w:r>
          </w:p>
        </w:tc>
        <w:tc>
          <w:tcPr>
            <w:tcW w:w="1413" w:type="dxa"/>
          </w:tcPr>
          <w:p w14:paraId="0CEC045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288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版本日期</w:t>
            </w:r>
          </w:p>
        </w:tc>
        <w:tc>
          <w:tcPr>
            <w:tcW w:w="2303" w:type="dxa"/>
          </w:tcPr>
          <w:p w14:paraId="632CAD6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735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版本说明</w:t>
            </w:r>
          </w:p>
        </w:tc>
        <w:tc>
          <w:tcPr>
            <w:tcW w:w="1557" w:type="dxa"/>
          </w:tcPr>
          <w:p w14:paraId="05B1BF5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574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作者</w:t>
            </w:r>
          </w:p>
        </w:tc>
        <w:tc>
          <w:tcPr>
            <w:tcW w:w="1953" w:type="dxa"/>
          </w:tcPr>
          <w:p w14:paraId="5B0B06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781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审核</w:t>
            </w:r>
          </w:p>
        </w:tc>
      </w:tr>
      <w:tr w14:paraId="5C310C0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6BBE142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 w:line="239" w:lineRule="auto"/>
              <w:ind w:left="709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V1.0</w:t>
            </w:r>
          </w:p>
        </w:tc>
        <w:tc>
          <w:tcPr>
            <w:tcW w:w="1413" w:type="dxa"/>
          </w:tcPr>
          <w:p w14:paraId="648B175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/>
              <w:ind w:left="290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2025-1-4</w:t>
            </w:r>
          </w:p>
        </w:tc>
        <w:tc>
          <w:tcPr>
            <w:tcW w:w="2303" w:type="dxa"/>
          </w:tcPr>
          <w:p w14:paraId="228D540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19" w:lineRule="auto"/>
              <w:ind w:left="738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发布版本</w:t>
            </w:r>
          </w:p>
        </w:tc>
        <w:tc>
          <w:tcPr>
            <w:tcW w:w="1557" w:type="dxa"/>
          </w:tcPr>
          <w:p w14:paraId="698FE19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5" w:line="228" w:lineRule="auto"/>
              <w:ind w:left="575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唐雪珊</w:t>
            </w:r>
          </w:p>
        </w:tc>
        <w:tc>
          <w:tcPr>
            <w:tcW w:w="1953" w:type="dxa"/>
          </w:tcPr>
          <w:p w14:paraId="2A18A14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20" w:lineRule="auto"/>
              <w:ind w:left="671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史晓玲</w:t>
            </w:r>
          </w:p>
        </w:tc>
      </w:tr>
      <w:tr w14:paraId="4DF0735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1846" w:type="dxa"/>
          </w:tcPr>
          <w:p w14:paraId="7CDA835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5A626DC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 w14:paraId="4B4E6A6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4A5AFCC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64B0212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41A39FB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1846" w:type="dxa"/>
          </w:tcPr>
          <w:p w14:paraId="1A83FE1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77EC829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 w14:paraId="53C6377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556C38D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1A3F500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34093F7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1846" w:type="dxa"/>
          </w:tcPr>
          <w:p w14:paraId="0C99D5A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57672DB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 w14:paraId="675A482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4292169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2964EE0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7AF3D7C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846" w:type="dxa"/>
          </w:tcPr>
          <w:p w14:paraId="00DD474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1A04271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 w14:paraId="6D89702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24A98CC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1503BB7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</w:tbl>
    <w:p w14:paraId="6E2542C7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25B36AB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footerReference r:id="rId5" w:type="default"/>
          <w:pgSz w:w="11906" w:h="16839"/>
          <w:pgMar w:top="1431" w:right="1127" w:bottom="1233" w:left="1696" w:header="0" w:footer="1070" w:gutter="0"/>
          <w:cols w:space="720" w:num="1"/>
        </w:sectPr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2276"/>
        <w:docPartObj>
          <w:docPartGallery w:val="Table of Contents"/>
          <w:docPartUnique/>
        </w:docPartObj>
      </w:sdtPr>
      <w:sdtEndPr>
        <w:rPr>
          <w:rFonts w:ascii="宋体" w:hAnsi="宋体" w:eastAsia="宋体" w:cs="宋体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53FA502A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3D05444B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488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ascii="宋体" w:hAnsi="宋体" w:eastAsia="宋体" w:cs="宋体"/>
              <w:sz w:val="21"/>
              <w:szCs w:val="21"/>
            </w:rPr>
            <w:instrText xml:space="preserve">TOC \o "1-3" \h \u </w:instrText>
          </w:r>
          <w:r>
            <w:rPr>
              <w:rFonts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_Toc297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t>人员备份管理制度</w:t>
          </w:r>
          <w:r>
            <w:tab/>
          </w:r>
          <w:r>
            <w:fldChar w:fldCharType="begin"/>
          </w:r>
          <w:r>
            <w:instrText xml:space="preserve"> PAGEREF _Toc297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4FB01FF0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488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_Toc24555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t>江苏云储智能科技有限公司</w:t>
          </w:r>
          <w:r>
            <w:tab/>
          </w:r>
          <w:r>
            <w:fldChar w:fldCharType="begin"/>
          </w:r>
          <w:r>
            <w:instrText xml:space="preserve"> PAGEREF _Toc24555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336A5E08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488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_Toc7092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eastAsia" w:ascii="宋体" w:hAnsi="宋体" w:eastAsia="宋体" w:cs="宋体"/>
              <w:bCs w:val="0"/>
              <w:szCs w:val="36"/>
              <w:lang w:val="en-US" w:eastAsia="zh-CN"/>
            </w:rPr>
            <w:t>2025年1月4日</w:t>
          </w:r>
          <w:r>
            <w:tab/>
          </w:r>
          <w:r>
            <w:fldChar w:fldCharType="begin"/>
          </w:r>
          <w:r>
            <w:instrText xml:space="preserve"> PAGEREF _Toc7092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571AEDC5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488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_Toc12250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ascii="宋体" w:hAnsi="宋体" w:eastAsia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_Toc12250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59CEB74D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488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_Toc28121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_Toc28121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6CA3712A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488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_Toc4534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名词解释</w:t>
          </w:r>
          <w:r>
            <w:tab/>
          </w:r>
          <w:r>
            <w:fldChar w:fldCharType="begin"/>
          </w:r>
          <w:r>
            <w:instrText xml:space="preserve"> PAGEREF _Toc4534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33471AE8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488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_Toc25855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_Toc25855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3DE1A959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488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_Toc25915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备份流程及说明</w:t>
          </w:r>
          <w:r>
            <w:tab/>
          </w:r>
          <w:r>
            <w:fldChar w:fldCharType="begin"/>
          </w:r>
          <w:r>
            <w:instrText xml:space="preserve"> PAGEREF _Toc25915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7A7728FA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488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_Toc4660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责任说明</w:t>
          </w:r>
          <w:r>
            <w:tab/>
          </w:r>
          <w:r>
            <w:fldChar w:fldCharType="begin"/>
          </w:r>
          <w:r>
            <w:instrText xml:space="preserve"> PAGEREF _Toc4660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7FBAD315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488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_Toc28273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附则</w:t>
          </w:r>
          <w:r>
            <w:tab/>
          </w:r>
          <w:r>
            <w:fldChar w:fldCharType="begin"/>
          </w:r>
          <w:r>
            <w:instrText xml:space="preserve"> PAGEREF _Toc28273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1E97723E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488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_Toc11186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7. </w:t>
          </w:r>
          <w:r>
            <w:rPr>
              <w:rFonts w:hint="eastAsia"/>
              <w:lang w:val="en-US" w:eastAsia="zh-CN"/>
            </w:rPr>
            <w:t>主要考核指标</w:t>
          </w:r>
          <w:r>
            <w:tab/>
          </w:r>
          <w:r>
            <w:fldChar w:fldCharType="begin"/>
          </w:r>
          <w:r>
            <w:instrText xml:space="preserve"> PAGEREF _Toc11186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5F59E26C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19" w:lineRule="auto"/>
            <w:textAlignment w:val="baseline"/>
            <w:rPr>
              <w:rFonts w:ascii="宋体" w:hAnsi="宋体" w:eastAsia="宋体" w:cs="宋体"/>
              <w:snapToGrid w:val="0"/>
              <w:color w:val="000000"/>
              <w:kern w:val="0"/>
              <w:sz w:val="21"/>
              <w:szCs w:val="21"/>
              <w:lang w:val="en-US" w:eastAsia="en-US" w:bidi="ar-SA"/>
            </w:rPr>
          </w:pPr>
          <w:r>
            <w:rPr>
              <w:rFonts w:ascii="宋体" w:hAnsi="宋体" w:eastAsia="宋体" w:cs="宋体"/>
              <w:szCs w:val="21"/>
            </w:rPr>
            <w:fldChar w:fldCharType="end"/>
          </w:r>
        </w:p>
      </w:sdtContent>
    </w:sdt>
    <w:p w14:paraId="478A21E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19" w:lineRule="auto"/>
        <w:textAlignment w:val="baseline"/>
        <w:rPr>
          <w:rFonts w:ascii="宋体" w:hAnsi="宋体" w:eastAsia="宋体" w:cs="宋体"/>
          <w:snapToGrid w:val="0"/>
          <w:color w:val="000000"/>
          <w:kern w:val="0"/>
          <w:sz w:val="21"/>
          <w:szCs w:val="21"/>
          <w:lang w:val="en-US" w:eastAsia="en-US" w:bidi="ar-SA"/>
        </w:rPr>
        <w:sectPr>
          <w:footerReference r:id="rId6" w:type="default"/>
          <w:pgSz w:w="11906" w:h="16839"/>
          <w:pgMar w:top="1431" w:right="1710" w:bottom="1234" w:left="1708" w:header="0" w:footer="1070" w:gutter="0"/>
          <w:cols w:space="720" w:num="1"/>
        </w:sectPr>
      </w:pPr>
    </w:p>
    <w:p w14:paraId="52A540D4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_Toc28121"/>
      <w:r>
        <w:t>目的</w:t>
      </w:r>
      <w:bookmarkEnd w:id="4"/>
    </w:p>
    <w:p w14:paraId="00CD20F0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为保证公司运维服务水平和运维服务可持续性，确保为客户提供连续可靠的服务，特制定本制度。</w:t>
      </w:r>
    </w:p>
    <w:p w14:paraId="06FF790F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_Toc4534"/>
      <w:r>
        <w:t>名词解释</w:t>
      </w:r>
      <w:bookmarkEnd w:id="5"/>
    </w:p>
    <w:p w14:paraId="19F8901F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AB备份制度：是指一个岗位或环节由两人兼顾，A岗是业务主办人员，B岗是业务协办人员。当A岗因休假、培训等原因不在岗时，由熟悉A岗业务的B岗代行承办业务，保证工作的持续高效有序运转的一种工作制度。</w:t>
      </w:r>
    </w:p>
    <w:p w14:paraId="37273EE3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_Toc25855"/>
      <w:r>
        <w:t>适用范围</w:t>
      </w:r>
      <w:bookmarkEnd w:id="6"/>
    </w:p>
    <w:p w14:paraId="4AEDBF8E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本制度适用于公司运维业务中关键岗位。</w:t>
      </w:r>
    </w:p>
    <w:p w14:paraId="56183190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_Toc25915"/>
      <w:r>
        <w:t>备份流程及说明</w:t>
      </w:r>
      <w:bookmarkEnd w:id="7"/>
    </w:p>
    <w:p w14:paraId="38C061CD"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B岗人选的选择要求：A岗的直接下属（优秀下属）、同级（同岗位）或者上级，对A岗主要业务及常规工作有一定的了解，能够在管理时间内熟悉A岗工作。</w:t>
      </w:r>
    </w:p>
    <w:p w14:paraId="2DC0AEED"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AB岗备份清单征集整合流程：综合部发布通知—人事专员梳理清单—运维业务分管副总审核—综合部分管领导审核—综合部备案。</w:t>
      </w:r>
    </w:p>
    <w:p w14:paraId="71599CFA"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AB岗备份触发：A岗人员请假(≥3天）及以上则触发该制度，A岗需要提前3天和对应B岗进行工作交接。且正式休假前3天在公司OA上发布备份通知，告知休假起止时间与备份人员姓名。当发生紧急情况，A岗电话告知B</w:t>
      </w:r>
      <w:r>
        <w:rPr>
          <w:rFonts w:hint="eastAsia" w:ascii="宋体" w:hAnsi="宋体" w:cs="宋体"/>
          <w:spacing w:val="-1"/>
          <w:sz w:val="24"/>
          <w:szCs w:val="24"/>
          <w:lang w:eastAsia="zh-CN"/>
        </w:rPr>
        <w:t>。</w:t>
      </w:r>
    </w:p>
    <w:p w14:paraId="19FE9C07"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>开始</w:t>
      </w:r>
      <w:bookmarkStart w:id="12" w:name="_GoBack"/>
      <w:bookmarkEnd w:id="12"/>
      <w:r>
        <w:rPr>
          <w:rFonts w:ascii="宋体" w:hAnsi="宋体" w:eastAsia="宋体" w:cs="宋体"/>
          <w:spacing w:val="-1"/>
          <w:sz w:val="24"/>
          <w:szCs w:val="24"/>
        </w:rPr>
        <w:t>进行交接，B应主动承接A岗职责。</w:t>
      </w:r>
    </w:p>
    <w:p w14:paraId="46BA6593"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上岗：在A正式休假后，B岗正式接任其工作，并对工作期间的工作结果负责。在此期间内，如遇到难以处理事项可向A岗本人或A岗上级进行咨询，A岗休假期间应保持电话的畅通。</w:t>
      </w:r>
    </w:p>
    <w:p w14:paraId="6638E188"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工作交接：休假时间结束，B岗应告知A岗，在岗期间处理工作的有关情况，并将有关文件资料移交A岗责任人。</w:t>
      </w:r>
    </w:p>
    <w:p w14:paraId="5A42A750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" w:name="_Toc4660"/>
      <w:r>
        <w:t>责任说明</w:t>
      </w:r>
      <w:bookmarkEnd w:id="8"/>
    </w:p>
    <w:p w14:paraId="18C5AEF7">
      <w:pPr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将AB岗责任人合作和配合情况纳入年度考核内容，A岗责任人离开岗位未及时交代B岗位责任人，影响工作的将追究A岗责任人的责任；</w:t>
      </w:r>
    </w:p>
    <w:p w14:paraId="5B867682">
      <w:pPr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B岗责任人在顶岗期间出现问题的，追究B岗责任人责任；造成不良后果，出现客户投诉的，按公司有关规定追究相关负责人和相关人员的责任。</w:t>
      </w:r>
    </w:p>
    <w:p w14:paraId="08BBFAE0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" w:name="_Toc28273"/>
      <w:r>
        <w:t>附则</w:t>
      </w:r>
      <w:bookmarkEnd w:id="9"/>
    </w:p>
    <w:p w14:paraId="5216F2FA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9" w:line="219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4"/>
          <w:sz w:val="24"/>
          <w:szCs w:val="24"/>
        </w:rPr>
        <w:t>本制度由综合部负责解释、修订。</w:t>
      </w:r>
    </w:p>
    <w:p w14:paraId="7FB69E75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83" w:line="219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4"/>
          <w:sz w:val="24"/>
          <w:szCs w:val="24"/>
        </w:rPr>
        <w:t>本制度自发布之日起执行。</w:t>
      </w:r>
    </w:p>
    <w:p w14:paraId="539CCDFB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83" w:line="219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8"/>
          <w:sz w:val="24"/>
          <w:szCs w:val="24"/>
        </w:rPr>
        <w:t>附件</w:t>
      </w:r>
    </w:p>
    <w:p w14:paraId="14D84264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0" w:name="_Toc11186"/>
      <w:bookmarkStart w:id="11" w:name="_Toc15732"/>
      <w:r>
        <w:rPr>
          <w:rFonts w:hint="eastAsia"/>
          <w:lang w:val="en-US" w:eastAsia="zh-CN"/>
        </w:rPr>
        <w:t>主要考核指标</w:t>
      </w:r>
      <w:bookmarkEnd w:id="10"/>
      <w:bookmarkEnd w:id="11"/>
    </w:p>
    <w:tbl>
      <w:tblPr>
        <w:tblStyle w:val="24"/>
        <w:tblW w:w="8401" w:type="dxa"/>
        <w:tblInd w:w="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140"/>
        <w:gridCol w:w="1500"/>
        <w:gridCol w:w="3760"/>
        <w:gridCol w:w="1116"/>
        <w:gridCol w:w="885"/>
      </w:tblGrid>
      <w:tr w14:paraId="39A3002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val="467" w:hRule="atLeast"/>
        </w:trPr>
        <w:tc>
          <w:tcPr>
            <w:tcW w:w="1140" w:type="dxa"/>
            <w:shd w:val="clear" w:color="auto" w:fill="C0C0C0"/>
            <w:vAlign w:val="center"/>
          </w:tcPr>
          <w:p w14:paraId="314EB38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序号</w:t>
            </w:r>
          </w:p>
        </w:tc>
        <w:tc>
          <w:tcPr>
            <w:tcW w:w="1500" w:type="dxa"/>
            <w:shd w:val="clear" w:color="auto" w:fill="C0C0C0"/>
            <w:vAlign w:val="center"/>
          </w:tcPr>
          <w:p w14:paraId="7F25ADD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衡量指标</w:t>
            </w:r>
          </w:p>
        </w:tc>
        <w:tc>
          <w:tcPr>
            <w:tcW w:w="3760" w:type="dxa"/>
            <w:shd w:val="clear" w:color="auto" w:fill="C0C0C0"/>
            <w:vAlign w:val="center"/>
          </w:tcPr>
          <w:p w14:paraId="788E038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指标计算说明</w:t>
            </w:r>
          </w:p>
        </w:tc>
        <w:tc>
          <w:tcPr>
            <w:tcW w:w="1116" w:type="dxa"/>
            <w:shd w:val="clear" w:color="auto" w:fill="C0C0C0"/>
            <w:vAlign w:val="center"/>
          </w:tcPr>
          <w:p w14:paraId="5920FBD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7"/>
                <w:sz w:val="18"/>
                <w:szCs w:val="18"/>
                <w:lang w:val="en-US" w:eastAsia="zh-CN"/>
              </w:rPr>
              <w:t>考核频次</w:t>
            </w:r>
          </w:p>
        </w:tc>
        <w:tc>
          <w:tcPr>
            <w:tcW w:w="885" w:type="dxa"/>
            <w:shd w:val="clear" w:color="auto" w:fill="C0C0C0"/>
            <w:vAlign w:val="center"/>
          </w:tcPr>
          <w:p w14:paraId="59FB953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cs="宋体"/>
                <w:b/>
                <w:bCs/>
                <w:spacing w:val="-7"/>
                <w:sz w:val="18"/>
                <w:szCs w:val="18"/>
                <w:lang w:val="en-US" w:eastAsia="zh-CN"/>
              </w:rPr>
              <w:t>目标值</w:t>
            </w:r>
          </w:p>
        </w:tc>
      </w:tr>
      <w:tr w14:paraId="5EFA512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7" w:hRule="atLeast"/>
        </w:trPr>
        <w:tc>
          <w:tcPr>
            <w:tcW w:w="1140" w:type="dxa"/>
          </w:tcPr>
          <w:p w14:paraId="18C4094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7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pacing w:val="-2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1500" w:type="dxa"/>
          </w:tcPr>
          <w:p w14:paraId="3984981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7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1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季度备份达成率</w:t>
            </w:r>
          </w:p>
        </w:tc>
        <w:tc>
          <w:tcPr>
            <w:tcW w:w="3760" w:type="dxa"/>
          </w:tcPr>
          <w:p w14:paraId="290FC41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7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pacing w:val="-1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实际备份成功人数/计划备份人数*100%</w:t>
            </w:r>
          </w:p>
        </w:tc>
        <w:tc>
          <w:tcPr>
            <w:tcW w:w="1116" w:type="dxa"/>
          </w:tcPr>
          <w:p w14:paraId="421742C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7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pacing w:val="-2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按季度</w:t>
            </w:r>
          </w:p>
        </w:tc>
        <w:tc>
          <w:tcPr>
            <w:tcW w:w="885" w:type="dxa"/>
          </w:tcPr>
          <w:p w14:paraId="7D2B7FD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7"/>
              <w:ind w:left="0" w:leftChars="0" w:right="0" w:rightChars="0" w:firstLine="0" w:firstLineChars="0"/>
              <w:jc w:val="center"/>
              <w:textAlignment w:val="baseline"/>
              <w:rPr>
                <w:rFonts w:hint="eastAsia"/>
                <w:spacing w:val="-2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≥90%</w:t>
            </w:r>
          </w:p>
        </w:tc>
      </w:tr>
    </w:tbl>
    <w:p w14:paraId="16841E35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sectPr>
      <w:footerReference r:id="rId7" w:type="default"/>
      <w:pgSz w:w="11906" w:h="16839"/>
      <w:pgMar w:top="1431" w:right="1785" w:bottom="1373" w:left="1686" w:header="0" w:footer="1211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38C62FA">
    <w:pPr>
      <w:spacing w:line="166" w:lineRule="auto"/>
      <w:ind w:left="4226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1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99FF968">
    <w:pPr>
      <w:spacing w:line="167" w:lineRule="auto"/>
      <w:ind w:left="4209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2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CA726A">
    <w:pPr>
      <w:spacing w:line="165" w:lineRule="auto"/>
      <w:ind w:left="4229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5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B6A19BE6"/>
    <w:multiLevelType w:val="singleLevel"/>
    <w:tmpl w:val="B6A19BE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BCD5E6D4"/>
    <w:multiLevelType w:val="singleLevel"/>
    <w:tmpl w:val="BCD5E6D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58F83CC6"/>
    <w:multiLevelType w:val="singleLevel"/>
    <w:tmpl w:val="58F83CC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NotTrackMove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5BCA3F7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1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2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6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theme" Target="theme/theme1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5</Pages>
  <Words>933</Words>
  <Characters>982</Characters>
  <Lines>0</Lines>
  <Paragraphs>0</Paragraphs>
  <TotalTime>1</TotalTime>
  <ScaleCrop>false</ScaleCrop>
  <LinksUpToDate>false</LinksUpToDate>
  <CharactersWithSpaces>1022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2025-08-19T20:20:00Z</dcterms:created>
  <dc:creator>谢永刚</dc:creator>
  <cp:lastModifiedBy>郝宇</cp:lastModifiedBy>
  <dcterms:modified xsi:type="dcterms:W3CDTF">2026-04-15T18:47:43Z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2025-09-02T18:32:26Z</vt:filetime>
  </property>
  <property fmtid="{D5CDD505-2E9C-101B-9397-08002B2CF9AE}" pid="3" name="CRO">
    <vt:lpwstr>wqlLaW5nc29mdCBQREYgdG8gV1BTIDExNQ</vt:lpwstr>
  </property>
  <property fmtid="{D5CDD505-2E9C-101B-9397-08002B2CF9AE}" pid="4" name="ICV">
    <vt:lpwstr>5C2274D589DD4FAE898296AFEDDEE53F_13</vt:lpwstr>
  </property>
  <property fmtid="{D5CDD505-2E9C-101B-9397-08002B2CF9AE}" pid="5" name="KSOProductBuildVer">
    <vt:lpwstr>2052-12.1.0.25865</vt:lpwstr>
  </property>
  <property fmtid="{D5CDD505-2E9C-101B-9397-08002B2CF9AE}" pid="6" name="KSOTemplateDocerSaveRecord">
    <vt:lpwstr>eyJoZGlkIjoiZWI4NmUzMGY2ODA3MDc4ZTFlMjZjZTAyMjM0NmVmODgiLCJ1c2VySWQiOiIxMDc1MzgyOSJ9</vt:lpwstr>
  </property>
</Properties>
</file>