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707E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131516F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bookmarkStart w:id="0" w:name="_Toc12116"/>
      <w:r>
        <w:rPr>
          <w:rFonts w:hint="eastAsia"/>
          <w:lang w:val="en-US" w:eastAsia="zh-CN"/>
        </w:rPr>
        <w:t>2026年运维相关人员管理计划</w:t>
      </w:r>
      <w:bookmarkEnd w:id="0"/>
    </w:p>
    <w:p w14:paraId="56E9491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7303"/>
      <w:r>
        <w:t>江苏云储智能科技有限公司</w:t>
      </w:r>
      <w:bookmarkEnd w:id="1"/>
    </w:p>
    <w:p w14:paraId="00AA498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宋体"/>
          <w:spacing w:val="-1"/>
          <w:sz w:val="36"/>
          <w:szCs w:val="36"/>
        </w:rPr>
      </w:pPr>
      <w:bookmarkStart w:id="2" w:name="_Toc1380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2026年1月4日</w:t>
      </w:r>
      <w:r>
        <w:rPr>
          <w:rFonts w:hint="eastAsia" w:ascii="宋体" w:hAnsi="宋体" w:eastAsia="宋体" w:cs="宋体"/>
          <w:spacing w:val="-1"/>
          <w:sz w:val="36"/>
          <w:szCs w:val="36"/>
        </w:rPr>
        <w:br w:type="page"/>
      </w:r>
      <w:bookmarkEnd w:id="2"/>
    </w:p>
    <w:p w14:paraId="35D7A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20" w:lineRule="auto"/>
        <w:jc w:val="center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3" w:name="_Toc5872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2E9CC3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7" w:lineRule="exact"/>
        <w:textAlignment w:val="baseline"/>
      </w:pPr>
    </w:p>
    <w:tbl>
      <w:tblPr>
        <w:tblStyle w:val="25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4A8EE4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013CC6AB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4583165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16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人员管理计划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RYGLJH</w:t>
            </w:r>
            <w:r>
              <w:rPr>
                <w:spacing w:val="-1"/>
              </w:rPr>
              <w:t>）</w:t>
            </w:r>
          </w:p>
        </w:tc>
      </w:tr>
      <w:tr w14:paraId="0DB279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311705E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3BBC26E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44C6F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3E5584F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21CD17B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74633CA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0A2720B7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51A578C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6FEDE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700E2F42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57FCD14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9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26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</w:p>
        </w:tc>
        <w:tc>
          <w:tcPr>
            <w:tcW w:w="2302" w:type="dxa"/>
          </w:tcPr>
          <w:p w14:paraId="1DA14391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E3B2D2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8" w:lineRule="auto"/>
              <w:ind w:left="576" w:leftChars="0"/>
              <w:textAlignment w:val="baseline"/>
            </w:pPr>
            <w:r>
              <w:rPr>
                <w:rFonts w:hint="eastAsia"/>
                <w:spacing w:val="-3"/>
              </w:rPr>
              <w:t>唐雪珊</w:t>
            </w:r>
          </w:p>
        </w:tc>
        <w:tc>
          <w:tcPr>
            <w:tcW w:w="1953" w:type="dxa"/>
          </w:tcPr>
          <w:p w14:paraId="5E1ED206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 w:leftChars="0"/>
              <w:textAlignment w:val="baseline"/>
            </w:pPr>
            <w:r>
              <w:rPr>
                <w:rFonts w:hint="eastAsia"/>
                <w:spacing w:val="-3"/>
                <w:lang w:val="en-US" w:eastAsia="zh-CN"/>
              </w:rPr>
              <w:t>史晓玲</w:t>
            </w:r>
          </w:p>
        </w:tc>
      </w:tr>
      <w:tr w14:paraId="454DE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3F73843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39" w:lineRule="auto"/>
              <w:ind w:left="709"/>
              <w:textAlignment w:val="baseline"/>
            </w:pPr>
          </w:p>
        </w:tc>
        <w:tc>
          <w:tcPr>
            <w:tcW w:w="1413" w:type="dxa"/>
          </w:tcPr>
          <w:p w14:paraId="445DFF7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/>
              <w:ind w:left="290"/>
              <w:textAlignment w:val="baseline"/>
            </w:pPr>
          </w:p>
        </w:tc>
        <w:tc>
          <w:tcPr>
            <w:tcW w:w="2302" w:type="dxa"/>
          </w:tcPr>
          <w:p w14:paraId="3709ADC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7EA085D6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8" w:lineRule="auto"/>
              <w:ind w:left="576"/>
              <w:textAlignment w:val="baseline"/>
            </w:pPr>
          </w:p>
        </w:tc>
        <w:tc>
          <w:tcPr>
            <w:tcW w:w="1953" w:type="dxa"/>
          </w:tcPr>
          <w:p w14:paraId="7D63F80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672"/>
              <w:textAlignment w:val="baseline"/>
            </w:pPr>
          </w:p>
        </w:tc>
      </w:tr>
      <w:tr w14:paraId="14CED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3DEA369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39" w:lineRule="auto"/>
              <w:ind w:left="709"/>
              <w:textAlignment w:val="baseline"/>
            </w:pPr>
          </w:p>
        </w:tc>
        <w:tc>
          <w:tcPr>
            <w:tcW w:w="1413" w:type="dxa"/>
          </w:tcPr>
          <w:p w14:paraId="1BD8012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/>
              <w:ind w:left="290"/>
              <w:textAlignment w:val="baseline"/>
            </w:pPr>
          </w:p>
        </w:tc>
        <w:tc>
          <w:tcPr>
            <w:tcW w:w="2302" w:type="dxa"/>
          </w:tcPr>
          <w:p w14:paraId="05162DA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7D8B60C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28" w:lineRule="auto"/>
              <w:ind w:left="576"/>
              <w:textAlignment w:val="baseline"/>
            </w:pPr>
          </w:p>
        </w:tc>
        <w:tc>
          <w:tcPr>
            <w:tcW w:w="1953" w:type="dxa"/>
          </w:tcPr>
          <w:p w14:paraId="7D67688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672"/>
              <w:textAlignment w:val="baseline"/>
            </w:pPr>
          </w:p>
        </w:tc>
      </w:tr>
      <w:tr w14:paraId="6327A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3B2DB1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58C0A0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34947C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28672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E34FA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CC02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0BC5D1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5A0C1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90E64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6ADE43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3E3B2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27C0DD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pacing w:val="-1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1351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spacing w:val="-1"/>
          <w:kern w:val="0"/>
          <w:sz w:val="24"/>
          <w:szCs w:val="24"/>
          <w:lang w:val="en-US" w:eastAsia="en-US" w:bidi="ar-SA"/>
        </w:rPr>
      </w:sdtEndPr>
      <w:sdtContent>
        <w:p w14:paraId="3ADED50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1CD517F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_Toc12116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2026年运维相关人员管理计划</w:t>
          </w:r>
          <w:r>
            <w:tab/>
          </w:r>
          <w:r>
            <w:fldChar w:fldCharType="begin"/>
          </w:r>
          <w:r>
            <w:instrText xml:space="preserve"> PAGEREF _Toc12116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F6BDE50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_Toc17303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_Toc17303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3FDEC17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_Toc1380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  <w:lang w:val="en-US" w:eastAsia="zh-CN"/>
            </w:rPr>
            <w:t>2026年1月4日</w:t>
          </w:r>
          <w:r>
            <w:tab/>
          </w:r>
          <w:r>
            <w:fldChar w:fldCharType="begin"/>
          </w:r>
          <w:r>
            <w:instrText xml:space="preserve"> PAGEREF _Toc1380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40B22D2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_Toc5872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_Toc5872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031B691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_Toc9575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计划</w:t>
          </w:r>
          <w:r>
            <w:tab/>
          </w:r>
          <w:r>
            <w:fldChar w:fldCharType="begin"/>
          </w:r>
          <w:r>
            <w:instrText xml:space="preserve"> PAGEREF _Toc9575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71DA5FCE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_Toc6366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招聘计划</w:t>
          </w:r>
          <w:r>
            <w:tab/>
          </w:r>
          <w:r>
            <w:fldChar w:fldCharType="begin"/>
          </w:r>
          <w:r>
            <w:instrText xml:space="preserve"> PAGEREF _Toc6366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BAFB4ED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_Toc26965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储备计划</w:t>
          </w:r>
          <w:r>
            <w:tab/>
          </w:r>
          <w:r>
            <w:fldChar w:fldCharType="begin"/>
          </w:r>
          <w:r>
            <w:instrText xml:space="preserve"> PAGEREF _Toc26965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119200C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_Toc8453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培训计划</w:t>
          </w:r>
          <w:r>
            <w:tab/>
          </w:r>
          <w:r>
            <w:fldChar w:fldCharType="begin"/>
          </w:r>
          <w:r>
            <w:instrText xml:space="preserve"> PAGEREF _Toc8453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9DFEE55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_Toc16811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备份计划</w:t>
          </w:r>
          <w:r>
            <w:tab/>
          </w:r>
          <w:r>
            <w:fldChar w:fldCharType="begin"/>
          </w:r>
          <w:r>
            <w:instrText xml:space="preserve"> PAGEREF _Toc16811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2FD9E749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_Toc32717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1.5. 绩效考核计划</w:t>
          </w:r>
          <w:r>
            <w:tab/>
          </w:r>
          <w:r>
            <w:fldChar w:fldCharType="begin"/>
          </w:r>
          <w:r>
            <w:instrText xml:space="preserve"> PAGEREF _Toc32717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79D8FF15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_Toc16282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1.6. 技能职级评定</w:t>
          </w:r>
          <w:r>
            <w:tab/>
          </w:r>
          <w:r>
            <w:fldChar w:fldCharType="begin"/>
          </w:r>
          <w:r>
            <w:instrText xml:space="preserve"> PAGEREF _Toc16282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2D45F5AC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_Toc16965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1.7. 培训经费管理</w:t>
          </w:r>
          <w:r>
            <w:tab/>
          </w:r>
          <w:r>
            <w:fldChar w:fldCharType="begin"/>
          </w:r>
          <w:r>
            <w:instrText xml:space="preserve"> PAGEREF _Toc16965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3D10D9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spacing w:val="-1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</w:sdtContent>
    </w:sdt>
    <w:p w14:paraId="353348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napToGrid w:val="0"/>
          <w:color w:val="000000"/>
          <w:spacing w:val="-1"/>
          <w:kern w:val="0"/>
          <w:sz w:val="21"/>
          <w:szCs w:val="36"/>
          <w:lang w:val="en-US" w:eastAsia="en-US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671952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9575"/>
      <w:r>
        <w:rPr>
          <w:rFonts w:hint="default"/>
          <w:lang w:val="en-US" w:eastAsia="zh-CN"/>
        </w:rPr>
        <w:t>计划</w:t>
      </w:r>
      <w:bookmarkEnd w:id="4"/>
    </w:p>
    <w:p w14:paraId="243A9A6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6366"/>
      <w:r>
        <w:rPr>
          <w:rFonts w:hint="default"/>
          <w:lang w:val="en-US" w:eastAsia="zh-CN"/>
        </w:rPr>
        <w:t>招聘计划</w:t>
      </w:r>
      <w:bookmarkEnd w:id="5"/>
    </w:p>
    <w:p w14:paraId="4BB7E06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人员招聘的目的是为了满足2026年运维业务发展的需要，补充项目人员缺口，保障新增运维项目的顺利开展，同时降低在岗人员的工作压力，保证服务的持续性。本招聘方案主要服务于2026年1月-2026年12月运维服务相关岗位的招聘工作，旨在定义招聘岗位、招聘人数、招聘完成时间、招聘方式。</w:t>
      </w:r>
    </w:p>
    <w:p w14:paraId="630D91B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基于2025年运维业务完成情况（运维业务收入超1200万）及2026年业务发展目标，结合现有人员离职率预测和项目新增需求，2026年计划招聘运维相关人员8人，包括运维实施工程师、网络工程师、数据库工程师等岗位。招聘渠道以网络招聘为主，校园招聘和内部推荐为辅。</w:t>
      </w:r>
    </w:p>
    <w:p w14:paraId="249D288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具体招聘计划如下：</w:t>
      </w:r>
    </w:p>
    <w:tbl>
      <w:tblPr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1506"/>
        <w:gridCol w:w="1506"/>
        <w:gridCol w:w="1997"/>
        <w:gridCol w:w="1506"/>
      </w:tblGrid>
      <w:tr w14:paraId="521FB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4DEC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岗位名称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D68A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招聘人数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53EB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责任部门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4C4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预计到岗日期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057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招聘方式</w:t>
            </w:r>
          </w:p>
        </w:tc>
      </w:tr>
      <w:tr w14:paraId="259FA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CE98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运维实施工程师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A9E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D20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E79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2026年3月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B01C0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外聘</w:t>
            </w:r>
          </w:p>
        </w:tc>
      </w:tr>
      <w:tr w14:paraId="3AE22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35B4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网络工程师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C83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F8C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2B3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2026年4月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57E1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外聘</w:t>
            </w:r>
          </w:p>
        </w:tc>
      </w:tr>
      <w:tr w14:paraId="39A12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0E88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A3A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6C7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961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2026年4月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FE17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外聘</w:t>
            </w:r>
          </w:p>
        </w:tc>
      </w:tr>
      <w:tr w14:paraId="0CD53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AA0D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运维实施工程师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5350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EEA9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32E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2026年6月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83E9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外聘</w:t>
            </w:r>
          </w:p>
        </w:tc>
      </w:tr>
      <w:tr w14:paraId="13205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A901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软件运维工程师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C6E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208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40BE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2026年7月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F263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外聘</w:t>
            </w:r>
          </w:p>
        </w:tc>
      </w:tr>
      <w:tr w14:paraId="7B287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7A57D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安全检测工程师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46F2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33F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综合部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9B60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2026年9月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C9F6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外聘</w:t>
            </w:r>
          </w:p>
        </w:tc>
      </w:tr>
    </w:tbl>
    <w:p w14:paraId="259D179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6965"/>
      <w:r>
        <w:rPr>
          <w:rFonts w:hint="default"/>
          <w:lang w:val="en-US" w:eastAsia="zh-CN"/>
        </w:rPr>
        <w:t>储备计划</w:t>
      </w:r>
      <w:bookmarkEnd w:id="6"/>
    </w:p>
    <w:p w14:paraId="11569CE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根据2026年公司业务发展规划和人才梯队建设需求，本着加强骨干和核心骨干队伍的建设，优化公司人员结构，加强员工岗位竞争晋升氛围，特进行人员储备。综合部会同各部门进行关键岗位识别，确定运维部经理、运维项目经理、技术骨干等为关键岗位。依据储备方式为该岗位的低一级岗位确定储备对象，并对储备人员进行培养、培训以及考核。</w:t>
      </w:r>
    </w:p>
    <w:p w14:paraId="56C76D1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储备计划如下：</w:t>
      </w:r>
    </w:p>
    <w:p w14:paraId="6C6D88C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bookmarkStart w:id="12" w:name="_GoBack"/>
      <w:bookmarkEnd w:id="12"/>
    </w:p>
    <w:tbl>
      <w:tblPr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3"/>
        <w:gridCol w:w="1489"/>
        <w:gridCol w:w="1489"/>
        <w:gridCol w:w="1975"/>
        <w:gridCol w:w="1489"/>
      </w:tblGrid>
      <w:tr w14:paraId="045F4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4153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岗位名称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343A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储备人数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519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责任部门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A88F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预计到岗日期</w:t>
            </w:r>
          </w:p>
        </w:tc>
        <w:tc>
          <w:tcPr>
            <w:tcW w:w="14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9C9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储备方式</w:t>
            </w:r>
          </w:p>
        </w:tc>
      </w:tr>
      <w:tr w14:paraId="1DD93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B3FB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498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D3E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4BD5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2026年4月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A125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内部培养</w:t>
            </w:r>
          </w:p>
        </w:tc>
      </w:tr>
      <w:tr w14:paraId="410BB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52655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1914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66C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087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2026年6月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4136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内部培养</w:t>
            </w:r>
          </w:p>
        </w:tc>
      </w:tr>
      <w:tr w14:paraId="162E7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020A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E2B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74E1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F6DA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2026年8月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900F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内部培养</w:t>
            </w:r>
          </w:p>
        </w:tc>
      </w:tr>
      <w:tr w14:paraId="0ABF7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5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A3B5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技术专家/架构师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5CB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1人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9379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综合部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A21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2026年10月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DF84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内部培养</w:t>
            </w:r>
          </w:p>
        </w:tc>
      </w:tr>
    </w:tbl>
    <w:p w14:paraId="1E99A3B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8453"/>
      <w:r>
        <w:rPr>
          <w:rFonts w:hint="default"/>
          <w:lang w:val="en-US" w:eastAsia="zh-CN"/>
        </w:rPr>
        <w:t>培训计划</w:t>
      </w:r>
      <w:bookmarkEnd w:id="7"/>
    </w:p>
    <w:p w14:paraId="2EDC1A2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为改善公司各级各类员工的知识结构，提升员工的综合素质，满足公司2026年业务发展需要，综合部根据各部门的培训需求，对培训计划进行汇总、分类，明确参训对象、培训时间、培训方式，匹配讲师与培训课程，有效组织培训。</w:t>
      </w:r>
    </w:p>
    <w:p w14:paraId="17A0D40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培训课程包括通用类、技术类、流程规范类、管理类等。在2025年培训工作的基础上，2026年将重点加强以下方面：</w:t>
      </w:r>
    </w:p>
    <w:p w14:paraId="408FCA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一是深化ITSS标准理解与应用，确保体系落地执行；</w:t>
      </w:r>
    </w:p>
    <w:p w14:paraId="3003C29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二是加强新技术培训，包括云计算、容器化、自动化运维等前沿技术；</w:t>
      </w:r>
    </w:p>
    <w:p w14:paraId="28B3604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三是强化服务意识和沟通技巧培训，提升客户满意度；</w:t>
      </w:r>
    </w:p>
    <w:p w14:paraId="2DFD26D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四是针对2025年内审发现的问题，加强对服务知识管理和最终软件库管理的专项培训。</w:t>
      </w:r>
    </w:p>
    <w:p w14:paraId="2196DB9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培训计划如下：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7"/>
        <w:gridCol w:w="3010"/>
        <w:gridCol w:w="2754"/>
        <w:gridCol w:w="1399"/>
        <w:gridCol w:w="732"/>
      </w:tblGrid>
      <w:tr w14:paraId="3ED3E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3A02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30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964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培训内容</w:t>
            </w:r>
          </w:p>
        </w:tc>
        <w:tc>
          <w:tcPr>
            <w:tcW w:w="27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0C5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培训对象</w:t>
            </w:r>
          </w:p>
        </w:tc>
        <w:tc>
          <w:tcPr>
            <w:tcW w:w="13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666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培训人员</w:t>
            </w:r>
          </w:p>
        </w:tc>
        <w:tc>
          <w:tcPr>
            <w:tcW w:w="7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0B3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时间</w:t>
            </w:r>
          </w:p>
        </w:tc>
      </w:tr>
      <w:tr w14:paraId="1B4D4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A0E2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6E8B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ITSS标准深化培训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FBE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运维服务相关人员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4D8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4B747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1月</w:t>
            </w:r>
          </w:p>
        </w:tc>
      </w:tr>
      <w:tr w14:paraId="5340D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7310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F29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运维服务工具使用（进阶）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9EE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D8E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941A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1月</w:t>
            </w:r>
          </w:p>
        </w:tc>
      </w:tr>
      <w:tr w14:paraId="10E37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763D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D05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入职培训（包括制度与企业文化）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59D4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新入职员工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172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各模块负责人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1E6C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3月</w:t>
            </w:r>
          </w:p>
        </w:tc>
      </w:tr>
      <w:tr w14:paraId="28CF1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712A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479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公司产品培训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3AAB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F67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39D8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3月</w:t>
            </w:r>
          </w:p>
        </w:tc>
      </w:tr>
      <w:tr w14:paraId="1A493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A7F5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DB4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自动化运维技术培训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BE3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运维工程师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5A74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7C98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3月</w:t>
            </w:r>
          </w:p>
        </w:tc>
      </w:tr>
      <w:tr w14:paraId="02424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73F6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942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运维服务知识管理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B40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全体运维人员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6C5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7927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3月</w:t>
            </w:r>
          </w:p>
        </w:tc>
      </w:tr>
      <w:tr w14:paraId="0C6A4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B92E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7.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DE9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运维服务制度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43B4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各相关部门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402F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C4C4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3月</w:t>
            </w:r>
          </w:p>
        </w:tc>
      </w:tr>
      <w:tr w14:paraId="44F9C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5B76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1722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高级开发培训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181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研发部全员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695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孙凯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E141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4月</w:t>
            </w:r>
          </w:p>
        </w:tc>
      </w:tr>
      <w:tr w14:paraId="61206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8E0E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FD85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开发规范及代码质量介绍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1DF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研发部全员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302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孙凯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4DA6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4月</w:t>
            </w:r>
          </w:p>
        </w:tc>
      </w:tr>
      <w:tr w14:paraId="05654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18FB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9A49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信息、数据安全常识及应对策略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61F0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运维项目经理、安全检测工程师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DE82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5045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4月</w:t>
            </w:r>
          </w:p>
        </w:tc>
      </w:tr>
      <w:tr w14:paraId="6C8C5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2C704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11.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2F4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服务台人员操作流程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EF17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服务台全员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745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徐丽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F51C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4月</w:t>
            </w:r>
          </w:p>
        </w:tc>
      </w:tr>
      <w:tr w14:paraId="29C8F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22ABB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756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应急响应规范与应急预案培训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EA44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运维项目经理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E7A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郑云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5C0F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4月</w:t>
            </w:r>
          </w:p>
        </w:tc>
      </w:tr>
      <w:tr w14:paraId="40E52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D81E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13.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AC6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ITSS标准培训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4456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运维服务相关人员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41E7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BFE5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4月</w:t>
            </w:r>
          </w:p>
        </w:tc>
      </w:tr>
      <w:tr w14:paraId="0A17F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EFFC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14.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DB5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云原生与容器技术（Docker/K8s）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66A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运维部、研发部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B17F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70AA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5月</w:t>
            </w:r>
          </w:p>
        </w:tc>
      </w:tr>
      <w:tr w14:paraId="63F73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FC92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CD7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入职培训（包括制度与企业文化）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500A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新入职员工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4E8A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各模块负责人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8C0A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6月</w:t>
            </w:r>
          </w:p>
        </w:tc>
      </w:tr>
      <w:tr w14:paraId="719DA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6E62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16.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A95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公司产品培训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5AA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735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0004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6月</w:t>
            </w:r>
          </w:p>
        </w:tc>
      </w:tr>
      <w:tr w14:paraId="4E169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7B86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17.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EF9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数据库高级运维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941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运维部、研发部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C783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C94F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6月</w:t>
            </w:r>
          </w:p>
        </w:tc>
      </w:tr>
      <w:tr w14:paraId="580F1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8DFD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18.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80B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IT服务项目经理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9BB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部分人员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30E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5043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6月</w:t>
            </w:r>
          </w:p>
        </w:tc>
      </w:tr>
      <w:tr w14:paraId="3EAAD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1651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19.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F80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运维服务工具使用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4F4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FE2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1977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6月</w:t>
            </w:r>
          </w:p>
        </w:tc>
      </w:tr>
      <w:tr w14:paraId="30285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2FC0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D5F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客户沟通与服务技巧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119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FA0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29D2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7月</w:t>
            </w:r>
          </w:p>
        </w:tc>
      </w:tr>
      <w:tr w14:paraId="200EE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EE11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21.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80A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云数据中心建设模式和网络安全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907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运维项目经理、安全检测工程师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EBE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6F74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7月</w:t>
            </w:r>
          </w:p>
        </w:tc>
      </w:tr>
      <w:tr w14:paraId="39657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41210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22.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C49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交付规范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5CE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72A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0132A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7月</w:t>
            </w:r>
          </w:p>
        </w:tc>
      </w:tr>
      <w:tr w14:paraId="70D9A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7481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23.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24A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运维服务制度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B5D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各相关部门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D16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DE6C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7月</w:t>
            </w:r>
          </w:p>
        </w:tc>
      </w:tr>
      <w:tr w14:paraId="5260A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D233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24.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3827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高级开发培训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20B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研发部全员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AB9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孙凯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C127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8月</w:t>
            </w:r>
          </w:p>
        </w:tc>
      </w:tr>
      <w:tr w14:paraId="00CFA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AE7C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2BC8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开发规范及代码质量介绍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2FD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研发部全员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690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孙凯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6268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8月</w:t>
            </w:r>
          </w:p>
        </w:tc>
      </w:tr>
      <w:tr w14:paraId="2B096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1A3FB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26.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4A6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入职培训（包括制度与企业文化）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3D4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新入职员工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1334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各模块负责人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0150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9月</w:t>
            </w:r>
          </w:p>
        </w:tc>
      </w:tr>
      <w:tr w14:paraId="1D115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4E9A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27.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6D71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公司产品培训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33B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AA6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C8FD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9月</w:t>
            </w:r>
          </w:p>
        </w:tc>
      </w:tr>
      <w:tr w14:paraId="65069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43ED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28.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B2B2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信息、数据安全常识及应对策略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A14E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运维项目经理、安全检测工程师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630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E376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9月</w:t>
            </w:r>
          </w:p>
        </w:tc>
      </w:tr>
      <w:tr w14:paraId="7AAFF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D296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29.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5226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产品测试用例编写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85B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运维部、研发部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85FC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00A95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9月</w:t>
            </w:r>
          </w:p>
        </w:tc>
      </w:tr>
      <w:tr w14:paraId="24910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C963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B4CC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运维服务服务知识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545E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全体运维人员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716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02583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9月</w:t>
            </w:r>
          </w:p>
        </w:tc>
      </w:tr>
      <w:tr w14:paraId="1884A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AC9B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31.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33D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服务台人员操作流程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B1D3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服务台全员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D15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徐丽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3D9F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9月</w:t>
            </w:r>
          </w:p>
        </w:tc>
      </w:tr>
      <w:tr w14:paraId="0182A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D517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32.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19B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应急响应规范与应急预案培训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5E1A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运维项目经理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2CA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郑云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908A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9月</w:t>
            </w:r>
          </w:p>
        </w:tc>
      </w:tr>
      <w:tr w14:paraId="5B045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14FBC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33.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496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最终软件库管理培训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C572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研发部、运维部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11E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8908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10月</w:t>
            </w:r>
          </w:p>
        </w:tc>
      </w:tr>
      <w:tr w14:paraId="421A4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F32E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34.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C42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职场沟通与团队协作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F25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2EE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8D60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11月</w:t>
            </w:r>
          </w:p>
        </w:tc>
      </w:tr>
      <w:tr w14:paraId="6AC50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26A3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35.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93D5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入职培训（包括制度与企业文化）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010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新入职员工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A08A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各模块负责人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2524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12月</w:t>
            </w:r>
          </w:p>
        </w:tc>
      </w:tr>
      <w:tr w14:paraId="39E0E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60D1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36.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76B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公司产品培训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4C9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26C6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6E7A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12月</w:t>
            </w:r>
          </w:p>
        </w:tc>
      </w:tr>
      <w:tr w14:paraId="69330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AD2A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37.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C00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年度技术总结与分享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319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研发部、运维部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70B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孙凯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0019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12月</w:t>
            </w:r>
          </w:p>
        </w:tc>
      </w:tr>
    </w:tbl>
    <w:p w14:paraId="5528382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D5337C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6811"/>
      <w:r>
        <w:rPr>
          <w:rFonts w:hint="default"/>
          <w:lang w:val="en-US" w:eastAsia="zh-CN"/>
        </w:rPr>
        <w:t>备份计划</w:t>
      </w:r>
      <w:bookmarkEnd w:id="8"/>
    </w:p>
    <w:p w14:paraId="0322D46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为支撑2026年度业务发展目标，保障关键岗位工作连续性，公司继续推行AB岗备份机制。针对运维部经理、运维项目经理、研发部经理、备件库经理等核心岗位，为每位在岗人员（A岗）预先配置一名或多名备份人员（B岗）。</w:t>
      </w:r>
    </w:p>
    <w:p w14:paraId="5D37B43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B岗人员将通过系统的知识传递与流程培训，提前掌握A岗的核心职责与应急处置流程。在A岗休假期间，B岗将全面代理其日常运维、事件响应及相关职责，确保业务平稳过渡、责任不断档。</w:t>
      </w:r>
    </w:p>
    <w:p w14:paraId="1EE4BFE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基于2025年备份计划执行情况（备份成功率达到100%），2026年备份计划如下：</w:t>
      </w:r>
    </w:p>
    <w:tbl>
      <w:tblPr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1880"/>
        <w:gridCol w:w="2111"/>
        <w:gridCol w:w="1887"/>
        <w:gridCol w:w="1888"/>
      </w:tblGrid>
      <w:tr w14:paraId="03C38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524B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18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75C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A岗位</w:t>
            </w:r>
          </w:p>
        </w:tc>
        <w:tc>
          <w:tcPr>
            <w:tcW w:w="21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2A8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B岗</w:t>
            </w:r>
          </w:p>
        </w:tc>
        <w:tc>
          <w:tcPr>
            <w:tcW w:w="18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063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计划备份人数</w:t>
            </w:r>
          </w:p>
        </w:tc>
        <w:tc>
          <w:tcPr>
            <w:tcW w:w="188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CB9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计划完成时间</w:t>
            </w:r>
          </w:p>
        </w:tc>
      </w:tr>
      <w:tr w14:paraId="4A438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8503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61B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6BE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3966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D652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2026年3月</w:t>
            </w:r>
          </w:p>
        </w:tc>
      </w:tr>
      <w:tr w14:paraId="253CA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6AA9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1C5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BCE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运维实施工程师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399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5922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2026年4月</w:t>
            </w:r>
          </w:p>
        </w:tc>
      </w:tr>
      <w:tr w14:paraId="07AC9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AD1C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535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研发部经理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A4F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系统架构师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C1A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ABE3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2026年6月</w:t>
            </w:r>
          </w:p>
        </w:tc>
      </w:tr>
      <w:tr w14:paraId="4CBB8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F26A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3599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备件库经理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7F5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备件库管理专员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846C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B0CF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2026年6月</w:t>
            </w:r>
          </w:p>
        </w:tc>
      </w:tr>
      <w:tr w14:paraId="3374A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14E0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DA10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质量部经理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9B3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质量管理专员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4A6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9A8C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2026年7月</w:t>
            </w:r>
          </w:p>
        </w:tc>
      </w:tr>
    </w:tbl>
    <w:p w14:paraId="31D556B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2717"/>
      <w:r>
        <w:rPr>
          <w:rFonts w:hint="default"/>
          <w:lang w:val="en-US" w:eastAsia="zh-CN"/>
        </w:rPr>
        <w:t>绩效考核计划</w:t>
      </w:r>
      <w:bookmarkEnd w:id="9"/>
    </w:p>
    <w:p w14:paraId="2BB730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为促进和提高公司经营效率，激发员工积极性，了解和考评员工在各考评时段完成的目标及相关职责情况，2026年继续执行月度考核制度。</w:t>
      </w:r>
    </w:p>
    <w:p w14:paraId="0933F84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月度考评时段为各自然月，考评实施时间为次月1日-4日，遇节假日提前完成。新入职人员当月出勤不满十五天者不参加月度考评。</w:t>
      </w:r>
    </w:p>
    <w:p w14:paraId="31357D6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考核指标方面，2026年继续执行月度考核合格率≥95%的目标。针对2025年考核情况（全年合格率均≥95%），2026年将进一步优化考核指标的差异化设置，使不同岗位的考核更具针对性。月度考评实施计划如下：</w:t>
      </w:r>
    </w:p>
    <w:tbl>
      <w:tblPr>
        <w:tblStyle w:val="21"/>
        <w:tblW w:w="849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02"/>
        <w:gridCol w:w="1429"/>
        <w:gridCol w:w="871"/>
        <w:gridCol w:w="1805"/>
        <w:gridCol w:w="3788"/>
      </w:tblGrid>
      <w:tr w14:paraId="3004E17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2B9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b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7BC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b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考评工作</w:t>
            </w:r>
          </w:p>
        </w:tc>
        <w:tc>
          <w:tcPr>
            <w:tcW w:w="8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2DF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b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8AB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b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责任部门/人</w:t>
            </w:r>
          </w:p>
        </w:tc>
        <w:tc>
          <w:tcPr>
            <w:tcW w:w="378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62F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b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</w:tr>
      <w:tr w14:paraId="49A36FF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35B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A5E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员工总结/自评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01E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DDC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被考评人</w:t>
            </w:r>
          </w:p>
        </w:tc>
        <w:tc>
          <w:tcPr>
            <w:tcW w:w="3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61F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每月的工作计划/目标</w:t>
            </w:r>
          </w:p>
        </w:tc>
      </w:tr>
      <w:tr w14:paraId="2ED4578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2DB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A99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主管评价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404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2-3日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6ED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直属主管/间接主管</w:t>
            </w:r>
          </w:p>
        </w:tc>
        <w:tc>
          <w:tcPr>
            <w:tcW w:w="3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1AD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直属主管填写评语和考评等级，间接主管确认</w:t>
            </w:r>
          </w:p>
        </w:tc>
      </w:tr>
      <w:tr w14:paraId="7BFCE42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656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EF3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成绩汇总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9BA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4日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842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综合部</w:t>
            </w:r>
          </w:p>
        </w:tc>
        <w:tc>
          <w:tcPr>
            <w:tcW w:w="37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0AB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汇总考核成绩</w:t>
            </w:r>
          </w:p>
        </w:tc>
      </w:tr>
    </w:tbl>
    <w:p w14:paraId="252404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</w:p>
    <w:p w14:paraId="3BFA9A9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6282"/>
      <w:r>
        <w:rPr>
          <w:rFonts w:hint="default"/>
          <w:lang w:val="en-US" w:eastAsia="zh-CN"/>
        </w:rPr>
        <w:t>技能职级评定</w:t>
      </w:r>
      <w:bookmarkEnd w:id="10"/>
    </w:p>
    <w:p w14:paraId="135179D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为提升员工主动提升服务能力的积极性，加快技能人才培养，不断提高运维服务团队专业技能素质，2026年继续执行技能评价制度。</w:t>
      </w:r>
    </w:p>
    <w:p w14:paraId="7BA9D07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由综合部经理组织相关专家领导成立技能评价小组，结合岗位发展通道，激励员工不断提高其岗位胜任能力。依据《技能评价管理制度》，技能评价计划于2026年12月第一周进行。</w:t>
      </w:r>
    </w:p>
    <w:p w14:paraId="1E6C046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技能评价覆盖范围包括运维工程师、网络工程师、数据库工程师等所有技术岗位，评价结果作为薪资调整和岗位晋升的依据。</w:t>
      </w:r>
    </w:p>
    <w:p w14:paraId="3B77632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6965"/>
      <w:r>
        <w:rPr>
          <w:rFonts w:hint="default"/>
          <w:lang w:val="en-US" w:eastAsia="zh-CN"/>
        </w:rPr>
        <w:t>培训经费管理</w:t>
      </w:r>
      <w:bookmarkEnd w:id="11"/>
    </w:p>
    <w:p w14:paraId="7F969B1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为保障2026年度培训计划的顺利实施，公司继续设立专项培训经费，由综合部统筹管理。具体安排如下：</w:t>
      </w:r>
    </w:p>
    <w:p w14:paraId="3FADE2C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经费预算：2026年度培训经费预算总额为人民币12万元（大写：拾贰万元整），较2025年增加2万元，主要用于新增技术培训课程和外聘讲师费用。</w:t>
      </w:r>
    </w:p>
    <w:p w14:paraId="3E6FF5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经费使用范围：包括内部培训资料费、外聘讲师授课费、外部培训学费、培训场地费、培训设备租赁费、员工外派培训交通住宿费等。</w:t>
      </w:r>
    </w:p>
    <w:p w14:paraId="3065250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经费审批流程：单次培训费用在2000元（含）以下的，由综合部经理审批；2000元以上至5000元的，由副总经理审批；5000元以上的，由总经理审批。</w:t>
      </w:r>
    </w:p>
    <w:p w14:paraId="1A14FDB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经费使用记录：综合部建立培训经费使用台账，记录每笔经费的支出用途、金额、审批人等信息，确保经费使用可追溯、可审计。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6E3E64"/>
    <w:rsid w:val="08B91176"/>
    <w:rsid w:val="0B7F70D3"/>
    <w:rsid w:val="0BDC6D23"/>
    <w:rsid w:val="172C4788"/>
    <w:rsid w:val="179E31D7"/>
    <w:rsid w:val="1B1464DA"/>
    <w:rsid w:val="1E2F7187"/>
    <w:rsid w:val="1FAF4A23"/>
    <w:rsid w:val="201523AC"/>
    <w:rsid w:val="2B0C3777"/>
    <w:rsid w:val="2C8763E0"/>
    <w:rsid w:val="2DAD1E76"/>
    <w:rsid w:val="2F4A02C4"/>
    <w:rsid w:val="35026CE9"/>
    <w:rsid w:val="3FB4306E"/>
    <w:rsid w:val="634A36E8"/>
    <w:rsid w:val="6BBB2063"/>
    <w:rsid w:val="78241E78"/>
    <w:rsid w:val="7B59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font11"/>
    <w:basedOn w:val="2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1994</Words>
  <Characters>2143</Characters>
  <Lines>0</Lines>
  <Paragraphs>0</Paragraphs>
  <TotalTime>3</TotalTime>
  <ScaleCrop>false</ScaleCrop>
  <LinksUpToDate>false</LinksUpToDate>
  <CharactersWithSpaces>2185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2025-08-20T18:17:00Z</dcterms:created>
  <dc:creator>18442</dc:creator>
  <cp:lastModifiedBy>郝宇</cp:lastModifiedBy>
  <dcterms:modified xsi:type="dcterms:W3CDTF">2026-04-16T17:14:01Z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40959837A3054AD49241195A5D64FE80_12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