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961EE">
      <w:pPr>
        <w:pStyle w:val="35"/>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0" w:name="_Toc9354"/>
    </w:p>
    <w:p w14:paraId="273FD672">
      <w:pPr>
        <w:pStyle w:val="35"/>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服务可用性和业务连续性管理制度</w:t>
      </w:r>
      <w:bookmarkEnd w:id="0"/>
    </w:p>
    <w:p w14:paraId="2F763C6E">
      <w:pPr>
        <w:pStyle w:val="3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28243"/>
      <w:r>
        <w:t>江苏云储智能科技有限公司</w:t>
      </w:r>
      <w:bookmarkEnd w:id="1"/>
    </w:p>
    <w:p w14:paraId="5842173C">
      <w:pPr>
        <w:keepNext w:val="0"/>
        <w:keepLines w:val="0"/>
        <w:pageBreakBefore w:val="0"/>
        <w:widowControl w:val="0"/>
        <w:kinsoku w:val="0"/>
        <w:wordWrap/>
        <w:overflowPunct/>
        <w:topLinePunct w:val="0"/>
        <w:autoSpaceDE w:val="0"/>
        <w:autoSpaceDN w:val="0"/>
        <w:bidi w:val="0"/>
        <w:adjustRightInd w:val="0"/>
        <w:snapToGrid w:val="0"/>
        <w:spacing w:before="117" w:line="219" w:lineRule="auto"/>
        <w:jc w:val="center"/>
        <w:textAlignment w:val="baseline"/>
        <w:rPr>
          <w:rFonts w:ascii="宋体" w:hAnsi="宋体" w:eastAsia="宋体" w:cs="宋体"/>
          <w:spacing w:val="-2"/>
          <w:sz w:val="36"/>
          <w:szCs w:val="36"/>
        </w:rPr>
      </w:pPr>
      <w:r>
        <w:rPr>
          <w:rFonts w:ascii="宋体" w:hAnsi="宋体" w:eastAsia="宋体" w:cs="宋体"/>
          <w:spacing w:val="-2"/>
          <w:sz w:val="36"/>
          <w:szCs w:val="36"/>
        </w:rPr>
        <w:t>202</w:t>
      </w:r>
      <w:r>
        <w:rPr>
          <w:rFonts w:hint="eastAsia" w:ascii="宋体" w:hAnsi="宋体" w:cs="宋体"/>
          <w:spacing w:val="-2"/>
          <w:sz w:val="36"/>
          <w:szCs w:val="36"/>
          <w:lang w:val="en-US" w:eastAsia="zh-CN"/>
        </w:rPr>
        <w:t>5</w:t>
      </w:r>
      <w:r>
        <w:rPr>
          <w:rFonts w:ascii="宋体" w:hAnsi="宋体" w:eastAsia="宋体" w:cs="宋体"/>
          <w:spacing w:val="-2"/>
          <w:sz w:val="36"/>
          <w:szCs w:val="36"/>
        </w:rPr>
        <w:t>-01-04</w:t>
      </w:r>
      <w:r>
        <w:rPr>
          <w:rFonts w:ascii="宋体" w:hAnsi="宋体" w:eastAsia="宋体" w:cs="宋体"/>
          <w:spacing w:val="-2"/>
          <w:sz w:val="36"/>
          <w:szCs w:val="36"/>
        </w:rPr>
        <w:br w:type="page"/>
      </w:r>
    </w:p>
    <w:p w14:paraId="50E1173B">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954"/>
        <w:textAlignment w:val="baseline"/>
        <w:outlineLvl w:val="0"/>
        <w:rPr>
          <w:rFonts w:ascii="宋体" w:hAnsi="宋体" w:eastAsia="宋体" w:cs="宋体"/>
          <w:sz w:val="21"/>
          <w:szCs w:val="21"/>
        </w:rPr>
      </w:pPr>
      <w:bookmarkStart w:id="2" w:name="_Toc20043"/>
      <w:r>
        <w:rPr>
          <w:rFonts w:ascii="宋体" w:hAnsi="宋体" w:eastAsia="宋体" w:cs="宋体"/>
          <w:spacing w:val="-2"/>
          <w:sz w:val="21"/>
          <w:szCs w:val="21"/>
        </w:rPr>
        <w:t>文档信息</w:t>
      </w:r>
      <w:bookmarkEnd w:id="2"/>
    </w:p>
    <w:p w14:paraId="72AEBE85">
      <w:pPr>
        <w:keepNext w:val="0"/>
        <w:keepLines w:val="0"/>
        <w:pageBreakBefore w:val="0"/>
        <w:widowControl w:val="0"/>
        <w:kinsoku w:val="0"/>
        <w:wordWrap/>
        <w:overflowPunct/>
        <w:topLinePunct w:val="0"/>
        <w:autoSpaceDE w:val="0"/>
        <w:autoSpaceDN w:val="0"/>
        <w:bidi w:val="0"/>
        <w:adjustRightInd w:val="0"/>
        <w:snapToGrid w:val="0"/>
        <w:spacing w:line="16" w:lineRule="exact"/>
        <w:textAlignment w:val="baseline"/>
      </w:pPr>
    </w:p>
    <w:tbl>
      <w:tblPr>
        <w:tblStyle w:val="2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5"/>
        <w:gridCol w:w="2302"/>
        <w:gridCol w:w="1557"/>
        <w:gridCol w:w="1953"/>
      </w:tblGrid>
      <w:tr w14:paraId="2E90C1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jc w:val="center"/>
        </w:trPr>
        <w:tc>
          <w:tcPr>
            <w:tcW w:w="1704" w:type="dxa"/>
          </w:tcPr>
          <w:p w14:paraId="67CC0A7D">
            <w:pPr>
              <w:pStyle w:val="29"/>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25"/>
              <w:textAlignment w:val="baseline"/>
            </w:pPr>
            <w:r>
              <w:rPr>
                <w:spacing w:val="-2"/>
              </w:rPr>
              <w:t>文档名称编号</w:t>
            </w:r>
          </w:p>
        </w:tc>
        <w:tc>
          <w:tcPr>
            <w:tcW w:w="7367" w:type="dxa"/>
            <w:gridSpan w:val="4"/>
          </w:tcPr>
          <w:p w14:paraId="38958A32">
            <w:pPr>
              <w:pStyle w:val="29"/>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pPr>
            <w:r>
              <w:rPr>
                <w:rFonts w:hint="eastAsia" w:eastAsia="宋体"/>
                <w:spacing w:val="-1"/>
                <w:lang w:val="en-US" w:eastAsia="zh-CN"/>
              </w:rPr>
              <w:t>服务可用性和业务连续性管理</w:t>
            </w:r>
            <w:r>
              <w:rPr>
                <w:rFonts w:hint="eastAsia"/>
                <w:spacing w:val="-1"/>
                <w:lang w:val="en-US" w:eastAsia="zh-CN"/>
              </w:rPr>
              <w:t>制度</w:t>
            </w:r>
            <w:r>
              <w:rPr>
                <w:spacing w:val="-1"/>
              </w:rPr>
              <w:t>（JSYC-ITSS-</w:t>
            </w:r>
            <w:r>
              <w:rPr>
                <w:rFonts w:hint="eastAsia" w:eastAsia="宋体"/>
                <w:spacing w:val="-1"/>
                <w:lang w:val="en-US" w:eastAsia="zh-CN"/>
              </w:rPr>
              <w:t>FWKYX/YWLXX</w:t>
            </w:r>
            <w:r>
              <w:rPr>
                <w:spacing w:val="-1"/>
              </w:rPr>
              <w:t>）</w:t>
            </w:r>
          </w:p>
        </w:tc>
      </w:tr>
      <w:tr w14:paraId="76837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704" w:type="dxa"/>
          </w:tcPr>
          <w:p w14:paraId="31A2E552">
            <w:pPr>
              <w:pStyle w:val="29"/>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435"/>
              <w:textAlignment w:val="baseline"/>
            </w:pPr>
            <w:r>
              <w:rPr>
                <w:spacing w:val="-2"/>
              </w:rPr>
              <w:t>编制单位</w:t>
            </w:r>
          </w:p>
        </w:tc>
        <w:tc>
          <w:tcPr>
            <w:tcW w:w="7367" w:type="dxa"/>
            <w:gridSpan w:val="4"/>
          </w:tcPr>
          <w:p w14:paraId="467CE400">
            <w:pPr>
              <w:pStyle w:val="29"/>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pPr>
            <w:r>
              <w:rPr>
                <w:spacing w:val="-1"/>
              </w:rPr>
              <w:t>江苏云储智能科技有限公司</w:t>
            </w:r>
          </w:p>
        </w:tc>
      </w:tr>
      <w:tr w14:paraId="7619F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jc w:val="center"/>
        </w:trPr>
        <w:tc>
          <w:tcPr>
            <w:tcW w:w="1704" w:type="dxa"/>
          </w:tcPr>
          <w:p w14:paraId="7878920A">
            <w:pPr>
              <w:pStyle w:val="29"/>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5"/>
              <w:textAlignment w:val="baseline"/>
            </w:pPr>
            <w:r>
              <w:rPr>
                <w:spacing w:val="-2"/>
              </w:rPr>
              <w:t>文档版本</w:t>
            </w:r>
          </w:p>
        </w:tc>
        <w:tc>
          <w:tcPr>
            <w:tcW w:w="1555" w:type="dxa"/>
          </w:tcPr>
          <w:p w14:paraId="22B08457">
            <w:pPr>
              <w:pStyle w:val="29"/>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359"/>
              <w:textAlignment w:val="baseline"/>
            </w:pPr>
            <w:r>
              <w:rPr>
                <w:spacing w:val="-2"/>
              </w:rPr>
              <w:t>版本日期</w:t>
            </w:r>
          </w:p>
        </w:tc>
        <w:tc>
          <w:tcPr>
            <w:tcW w:w="2302" w:type="dxa"/>
          </w:tcPr>
          <w:p w14:paraId="6D25176D">
            <w:pPr>
              <w:pStyle w:val="29"/>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pPr>
            <w:r>
              <w:rPr>
                <w:spacing w:val="-2"/>
              </w:rPr>
              <w:t>版本说明</w:t>
            </w:r>
          </w:p>
        </w:tc>
        <w:tc>
          <w:tcPr>
            <w:tcW w:w="1557" w:type="dxa"/>
          </w:tcPr>
          <w:p w14:paraId="79FE152D">
            <w:pPr>
              <w:pStyle w:val="29"/>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pPr>
            <w:r>
              <w:rPr>
                <w:spacing w:val="-3"/>
              </w:rPr>
              <w:t>作者</w:t>
            </w:r>
          </w:p>
        </w:tc>
        <w:tc>
          <w:tcPr>
            <w:tcW w:w="1953" w:type="dxa"/>
          </w:tcPr>
          <w:p w14:paraId="18DC0A95">
            <w:pPr>
              <w:pStyle w:val="29"/>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pPr>
            <w:r>
              <w:rPr>
                <w:spacing w:val="-5"/>
              </w:rPr>
              <w:t>审核</w:t>
            </w:r>
          </w:p>
        </w:tc>
      </w:tr>
      <w:tr w14:paraId="2AC4C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jc w:val="center"/>
        </w:trPr>
        <w:tc>
          <w:tcPr>
            <w:tcW w:w="1704" w:type="dxa"/>
          </w:tcPr>
          <w:p w14:paraId="00F8D13F">
            <w:pPr>
              <w:pStyle w:val="29"/>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638"/>
              <w:textAlignment w:val="baseline"/>
            </w:pPr>
            <w:r>
              <w:rPr>
                <w:spacing w:val="-1"/>
              </w:rPr>
              <w:t>V1.0</w:t>
            </w:r>
          </w:p>
        </w:tc>
        <w:tc>
          <w:tcPr>
            <w:tcW w:w="1555" w:type="dxa"/>
          </w:tcPr>
          <w:p w14:paraId="726BE698">
            <w:pPr>
              <w:pStyle w:val="29"/>
              <w:keepNext w:val="0"/>
              <w:keepLines w:val="0"/>
              <w:pageBreakBefore w:val="0"/>
              <w:widowControl w:val="0"/>
              <w:kinsoku w:val="0"/>
              <w:wordWrap/>
              <w:overflowPunct/>
              <w:topLinePunct w:val="0"/>
              <w:autoSpaceDE w:val="0"/>
              <w:autoSpaceDN w:val="0"/>
              <w:bidi w:val="0"/>
              <w:adjustRightInd w:val="0"/>
              <w:snapToGrid w:val="0"/>
              <w:spacing w:before="163"/>
              <w:ind w:left="361"/>
              <w:textAlignment w:val="baseline"/>
            </w:pPr>
            <w:r>
              <w:rPr>
                <w:spacing w:val="-2"/>
              </w:rPr>
              <w:t>20</w:t>
            </w:r>
            <w:r>
              <w:rPr>
                <w:rFonts w:hint="eastAsia" w:eastAsia="宋体"/>
                <w:spacing w:val="-2"/>
                <w:lang w:val="en-US" w:eastAsia="zh-CN"/>
              </w:rPr>
              <w:t>25</w:t>
            </w:r>
            <w:r>
              <w:rPr>
                <w:spacing w:val="-2"/>
              </w:rPr>
              <w:t>-1-4</w:t>
            </w:r>
          </w:p>
        </w:tc>
        <w:tc>
          <w:tcPr>
            <w:tcW w:w="2302" w:type="dxa"/>
          </w:tcPr>
          <w:p w14:paraId="01D7A2D7">
            <w:pPr>
              <w:pStyle w:val="29"/>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738"/>
              <w:textAlignment w:val="baseline"/>
            </w:pPr>
            <w:r>
              <w:rPr>
                <w:spacing w:val="-3"/>
              </w:rPr>
              <w:t>发布版本</w:t>
            </w:r>
          </w:p>
        </w:tc>
        <w:tc>
          <w:tcPr>
            <w:tcW w:w="1557" w:type="dxa"/>
          </w:tcPr>
          <w:p w14:paraId="6439D152">
            <w:pPr>
              <w:pStyle w:val="29"/>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480"/>
              <w:textAlignment w:val="baseline"/>
              <w:rPr>
                <w:rFonts w:hint="eastAsia" w:eastAsia="宋体"/>
                <w:lang w:val="en-US" w:eastAsia="zh-CN"/>
              </w:rPr>
            </w:pPr>
            <w:r>
              <w:rPr>
                <w:rFonts w:hint="eastAsia"/>
                <w:lang w:val="en-US" w:eastAsia="zh-CN"/>
              </w:rPr>
              <w:t>王朋</w:t>
            </w:r>
          </w:p>
        </w:tc>
        <w:tc>
          <w:tcPr>
            <w:tcW w:w="1953" w:type="dxa"/>
          </w:tcPr>
          <w:p w14:paraId="370BD50D">
            <w:pPr>
              <w:pStyle w:val="29"/>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2"/>
              <w:textAlignment w:val="baseline"/>
            </w:pPr>
            <w:r>
              <w:rPr>
                <w:spacing w:val="-3"/>
              </w:rPr>
              <w:t>史晓玲</w:t>
            </w:r>
          </w:p>
        </w:tc>
      </w:tr>
      <w:tr w14:paraId="6E7C4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jc w:val="center"/>
        </w:trPr>
        <w:tc>
          <w:tcPr>
            <w:tcW w:w="1704" w:type="dxa"/>
          </w:tcPr>
          <w:p w14:paraId="2F72C8F1">
            <w:pPr>
              <w:pStyle w:val="29"/>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638"/>
              <w:textAlignment w:val="baseline"/>
            </w:pPr>
          </w:p>
        </w:tc>
        <w:tc>
          <w:tcPr>
            <w:tcW w:w="1555" w:type="dxa"/>
          </w:tcPr>
          <w:p w14:paraId="1A5536AA">
            <w:pPr>
              <w:pStyle w:val="29"/>
              <w:keepNext w:val="0"/>
              <w:keepLines w:val="0"/>
              <w:pageBreakBefore w:val="0"/>
              <w:widowControl w:val="0"/>
              <w:kinsoku w:val="0"/>
              <w:wordWrap/>
              <w:overflowPunct/>
              <w:topLinePunct w:val="0"/>
              <w:autoSpaceDE w:val="0"/>
              <w:autoSpaceDN w:val="0"/>
              <w:bidi w:val="0"/>
              <w:adjustRightInd w:val="0"/>
              <w:snapToGrid w:val="0"/>
              <w:spacing w:before="164"/>
              <w:ind w:left="361"/>
              <w:textAlignment w:val="baseline"/>
            </w:pPr>
          </w:p>
        </w:tc>
        <w:tc>
          <w:tcPr>
            <w:tcW w:w="2302" w:type="dxa"/>
          </w:tcPr>
          <w:p w14:paraId="7F647058">
            <w:pPr>
              <w:pStyle w:val="29"/>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7"/>
              <w:textAlignment w:val="baseline"/>
            </w:pPr>
          </w:p>
        </w:tc>
        <w:tc>
          <w:tcPr>
            <w:tcW w:w="1557" w:type="dxa"/>
          </w:tcPr>
          <w:p w14:paraId="3CFBD700">
            <w:pPr>
              <w:pStyle w:val="29"/>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480"/>
              <w:textAlignment w:val="baseline"/>
            </w:pPr>
          </w:p>
        </w:tc>
        <w:tc>
          <w:tcPr>
            <w:tcW w:w="1953" w:type="dxa"/>
          </w:tcPr>
          <w:p w14:paraId="28B537EE">
            <w:pPr>
              <w:pStyle w:val="29"/>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pPr>
          </w:p>
        </w:tc>
      </w:tr>
      <w:tr w14:paraId="0B4BE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jc w:val="center"/>
        </w:trPr>
        <w:tc>
          <w:tcPr>
            <w:tcW w:w="1704" w:type="dxa"/>
          </w:tcPr>
          <w:p w14:paraId="57F26DF1">
            <w:pPr>
              <w:pStyle w:val="29"/>
              <w:keepNext w:val="0"/>
              <w:keepLines w:val="0"/>
              <w:pageBreakBefore w:val="0"/>
              <w:widowControl w:val="0"/>
              <w:kinsoku w:val="0"/>
              <w:wordWrap/>
              <w:overflowPunct/>
              <w:topLinePunct w:val="0"/>
              <w:autoSpaceDE w:val="0"/>
              <w:autoSpaceDN w:val="0"/>
              <w:bidi w:val="0"/>
              <w:adjustRightInd w:val="0"/>
              <w:snapToGrid w:val="0"/>
              <w:spacing w:before="165" w:line="239" w:lineRule="auto"/>
              <w:ind w:left="638"/>
              <w:textAlignment w:val="baseline"/>
            </w:pPr>
          </w:p>
        </w:tc>
        <w:tc>
          <w:tcPr>
            <w:tcW w:w="1555" w:type="dxa"/>
          </w:tcPr>
          <w:p w14:paraId="4D21D909">
            <w:pPr>
              <w:pStyle w:val="29"/>
              <w:keepNext w:val="0"/>
              <w:keepLines w:val="0"/>
              <w:pageBreakBefore w:val="0"/>
              <w:widowControl w:val="0"/>
              <w:kinsoku w:val="0"/>
              <w:wordWrap/>
              <w:overflowPunct/>
              <w:topLinePunct w:val="0"/>
              <w:autoSpaceDE w:val="0"/>
              <w:autoSpaceDN w:val="0"/>
              <w:bidi w:val="0"/>
              <w:adjustRightInd w:val="0"/>
              <w:snapToGrid w:val="0"/>
              <w:spacing w:before="165"/>
              <w:ind w:left="361"/>
              <w:textAlignment w:val="baseline"/>
            </w:pPr>
          </w:p>
        </w:tc>
        <w:tc>
          <w:tcPr>
            <w:tcW w:w="2302" w:type="dxa"/>
          </w:tcPr>
          <w:p w14:paraId="6FFB2F2E">
            <w:pPr>
              <w:pStyle w:val="29"/>
              <w:keepNext w:val="0"/>
              <w:keepLines w:val="0"/>
              <w:pageBreakBefore w:val="0"/>
              <w:widowControl w:val="0"/>
              <w:kinsoku w:val="0"/>
              <w:wordWrap/>
              <w:overflowPunct/>
              <w:topLinePunct w:val="0"/>
              <w:autoSpaceDE w:val="0"/>
              <w:autoSpaceDN w:val="0"/>
              <w:bidi w:val="0"/>
              <w:adjustRightInd w:val="0"/>
              <w:snapToGrid w:val="0"/>
              <w:spacing w:before="135" w:line="219" w:lineRule="auto"/>
              <w:ind w:left="737"/>
              <w:textAlignment w:val="baseline"/>
            </w:pPr>
          </w:p>
        </w:tc>
        <w:tc>
          <w:tcPr>
            <w:tcW w:w="1557" w:type="dxa"/>
          </w:tcPr>
          <w:p w14:paraId="23F55673">
            <w:pPr>
              <w:pStyle w:val="29"/>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480"/>
              <w:textAlignment w:val="baseline"/>
            </w:pPr>
          </w:p>
        </w:tc>
        <w:tc>
          <w:tcPr>
            <w:tcW w:w="1953" w:type="dxa"/>
          </w:tcPr>
          <w:p w14:paraId="798EC98C">
            <w:pPr>
              <w:pStyle w:val="29"/>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672"/>
              <w:textAlignment w:val="baseline"/>
            </w:pPr>
          </w:p>
        </w:tc>
      </w:tr>
      <w:tr w14:paraId="64B5D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jc w:val="center"/>
        </w:trPr>
        <w:tc>
          <w:tcPr>
            <w:tcW w:w="1704" w:type="dxa"/>
          </w:tcPr>
          <w:p w14:paraId="6BF1E149">
            <w:pPr>
              <w:pStyle w:val="29"/>
              <w:keepNext w:val="0"/>
              <w:keepLines w:val="0"/>
              <w:pageBreakBefore w:val="0"/>
              <w:widowControl w:val="0"/>
              <w:kinsoku w:val="0"/>
              <w:wordWrap/>
              <w:overflowPunct/>
              <w:topLinePunct w:val="0"/>
              <w:autoSpaceDE w:val="0"/>
              <w:autoSpaceDN w:val="0"/>
              <w:bidi w:val="0"/>
              <w:adjustRightInd w:val="0"/>
              <w:snapToGrid w:val="0"/>
              <w:spacing w:before="166" w:line="239" w:lineRule="auto"/>
              <w:ind w:left="638"/>
              <w:textAlignment w:val="baseline"/>
            </w:pPr>
          </w:p>
        </w:tc>
        <w:tc>
          <w:tcPr>
            <w:tcW w:w="1555" w:type="dxa"/>
          </w:tcPr>
          <w:p w14:paraId="787ED2B2">
            <w:pPr>
              <w:pStyle w:val="29"/>
              <w:keepNext w:val="0"/>
              <w:keepLines w:val="0"/>
              <w:pageBreakBefore w:val="0"/>
              <w:widowControl w:val="0"/>
              <w:kinsoku w:val="0"/>
              <w:wordWrap/>
              <w:overflowPunct/>
              <w:topLinePunct w:val="0"/>
              <w:autoSpaceDE w:val="0"/>
              <w:autoSpaceDN w:val="0"/>
              <w:bidi w:val="0"/>
              <w:adjustRightInd w:val="0"/>
              <w:snapToGrid w:val="0"/>
              <w:spacing w:before="166"/>
              <w:ind w:left="361"/>
              <w:textAlignment w:val="baseline"/>
            </w:pPr>
          </w:p>
        </w:tc>
        <w:tc>
          <w:tcPr>
            <w:tcW w:w="2302" w:type="dxa"/>
          </w:tcPr>
          <w:p w14:paraId="0044736F">
            <w:pPr>
              <w:pStyle w:val="29"/>
              <w:keepNext w:val="0"/>
              <w:keepLines w:val="0"/>
              <w:pageBreakBefore w:val="0"/>
              <w:widowControl w:val="0"/>
              <w:kinsoku w:val="0"/>
              <w:wordWrap/>
              <w:overflowPunct/>
              <w:topLinePunct w:val="0"/>
              <w:autoSpaceDE w:val="0"/>
              <w:autoSpaceDN w:val="0"/>
              <w:bidi w:val="0"/>
              <w:adjustRightInd w:val="0"/>
              <w:snapToGrid w:val="0"/>
              <w:spacing w:before="136" w:line="219" w:lineRule="auto"/>
              <w:ind w:left="737"/>
              <w:textAlignment w:val="baseline"/>
            </w:pPr>
          </w:p>
        </w:tc>
        <w:tc>
          <w:tcPr>
            <w:tcW w:w="1557" w:type="dxa"/>
          </w:tcPr>
          <w:p w14:paraId="67D17567">
            <w:pPr>
              <w:pStyle w:val="29"/>
              <w:keepNext w:val="0"/>
              <w:keepLines w:val="0"/>
              <w:pageBreakBefore w:val="0"/>
              <w:widowControl w:val="0"/>
              <w:kinsoku w:val="0"/>
              <w:wordWrap/>
              <w:overflowPunct/>
              <w:topLinePunct w:val="0"/>
              <w:autoSpaceDE w:val="0"/>
              <w:autoSpaceDN w:val="0"/>
              <w:bidi w:val="0"/>
              <w:adjustRightInd w:val="0"/>
              <w:snapToGrid w:val="0"/>
              <w:spacing w:before="137" w:line="220" w:lineRule="auto"/>
              <w:ind w:left="480"/>
              <w:textAlignment w:val="baseline"/>
            </w:pPr>
          </w:p>
        </w:tc>
        <w:tc>
          <w:tcPr>
            <w:tcW w:w="1953" w:type="dxa"/>
          </w:tcPr>
          <w:p w14:paraId="4E991EF6">
            <w:pPr>
              <w:pStyle w:val="29"/>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672"/>
              <w:textAlignment w:val="baseline"/>
            </w:pPr>
          </w:p>
        </w:tc>
      </w:tr>
      <w:tr w14:paraId="41CD2F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6" w:hRule="atLeast"/>
          <w:jc w:val="center"/>
        </w:trPr>
        <w:tc>
          <w:tcPr>
            <w:tcW w:w="1704" w:type="dxa"/>
          </w:tcPr>
          <w:p w14:paraId="4164470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5" w:type="dxa"/>
          </w:tcPr>
          <w:p w14:paraId="1F35A10A">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02" w:type="dxa"/>
          </w:tcPr>
          <w:p w14:paraId="1E7B407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7" w:type="dxa"/>
          </w:tcPr>
          <w:p w14:paraId="17E33FD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53" w:type="dxa"/>
          </w:tcPr>
          <w:p w14:paraId="1A059DAA">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14:paraId="5E1DC1F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Times New Roman" w:hAnsi="Times New Roman" w:eastAsia="Times New Roman" w:cs="Times New Roman"/>
          <w:b/>
          <w:bCs/>
          <w:spacing w:val="-19"/>
          <w:sz w:val="28"/>
          <w:szCs w:val="28"/>
        </w:rPr>
        <w:sectPr>
          <w:headerReference r:id="rId5" w:type="default"/>
          <w:footerReference r:id="rId6" w:type="default"/>
          <w:pgSz w:w="11906" w:h="16838"/>
          <w:pgMar w:top="1440" w:right="1800" w:bottom="1440" w:left="1800" w:header="851" w:footer="992" w:gutter="0"/>
          <w:cols w:space="425" w:num="1"/>
          <w:docGrid w:type="lines" w:linePitch="312" w:charSpace="0"/>
        </w:sectPr>
      </w:pPr>
    </w:p>
    <w:sdt>
      <w:sdtPr>
        <w:rPr>
          <w:rFonts w:ascii="宋体" w:hAnsi="宋体" w:eastAsia="宋体" w:cs="Arial"/>
          <w:snapToGrid w:val="0"/>
          <w:color w:val="000000"/>
          <w:kern w:val="0"/>
          <w:sz w:val="21"/>
          <w:szCs w:val="21"/>
          <w:lang w:val="en-US" w:eastAsia="en-US" w:bidi="ar-SA"/>
        </w:rPr>
        <w:id w:val="147456823"/>
        <w:docPartObj>
          <w:docPartGallery w:val="Table of Contents"/>
          <w:docPartUnique/>
        </w:docPartObj>
      </w:sdtPr>
      <w:sdtEndPr>
        <w:rPr>
          <w:rFonts w:ascii="Times New Roman" w:hAnsi="Times New Roman" w:eastAsia="Times New Roman" w:cs="Times New Roman"/>
          <w:bCs/>
          <w:snapToGrid w:val="0"/>
          <w:color w:val="000000"/>
          <w:spacing w:val="-19"/>
          <w:kern w:val="0"/>
          <w:sz w:val="21"/>
          <w:szCs w:val="28"/>
          <w:lang w:val="en-US" w:eastAsia="en-US" w:bidi="ar-SA"/>
        </w:rPr>
      </w:sdtEndPr>
      <w:sdtContent>
        <w:p w14:paraId="5ECBF339">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20126346">
          <w:pPr>
            <w:pStyle w:val="17"/>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
              <w:bCs/>
              <w:spacing w:val="-19"/>
              <w:sz w:val="28"/>
              <w:szCs w:val="28"/>
            </w:rPr>
            <w:fldChar w:fldCharType="begin"/>
          </w:r>
          <w:r>
            <w:rPr>
              <w:rFonts w:ascii="Times New Roman" w:hAnsi="Times New Roman" w:eastAsia="Times New Roman" w:cs="Times New Roman"/>
              <w:b/>
              <w:bCs/>
              <w:spacing w:val="-19"/>
              <w:sz w:val="28"/>
              <w:szCs w:val="28"/>
            </w:rPr>
            <w:instrText xml:space="preserve">TOC \o "1-3" \h \u </w:instrText>
          </w:r>
          <w:r>
            <w:rPr>
              <w:rFonts w:ascii="Times New Roman" w:hAnsi="Times New Roman" w:eastAsia="Times New Roman" w:cs="Times New Roman"/>
              <w:b/>
              <w:bCs/>
              <w:spacing w:val="-19"/>
              <w:sz w:val="28"/>
              <w:szCs w:val="28"/>
            </w:rPr>
            <w:fldChar w:fldCharType="separate"/>
          </w: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_Toc9354 </w:instrText>
          </w:r>
          <w:r>
            <w:rPr>
              <w:rFonts w:ascii="Times New Roman" w:hAnsi="Times New Roman" w:eastAsia="Times New Roman" w:cs="Times New Roman"/>
              <w:bCs/>
              <w:spacing w:val="-19"/>
              <w:szCs w:val="28"/>
            </w:rPr>
            <w:fldChar w:fldCharType="separate"/>
          </w:r>
          <w:r>
            <w:rPr>
              <w:rFonts w:hint="eastAsia"/>
              <w:lang w:val="en-US" w:eastAsia="zh-CN"/>
            </w:rPr>
            <w:t>服务可用性和业务连续性管理制度</w:t>
          </w:r>
          <w:r>
            <w:tab/>
          </w:r>
          <w:r>
            <w:fldChar w:fldCharType="begin"/>
          </w:r>
          <w:r>
            <w:instrText xml:space="preserve"> PAGEREF _Toc9354 \h </w:instrText>
          </w:r>
          <w:r>
            <w:fldChar w:fldCharType="separate"/>
          </w:r>
          <w:r>
            <w:t>1</w:t>
          </w:r>
          <w:r>
            <w:fldChar w:fldCharType="end"/>
          </w:r>
          <w:r>
            <w:rPr>
              <w:rFonts w:ascii="Times New Roman" w:hAnsi="Times New Roman" w:eastAsia="Times New Roman" w:cs="Times New Roman"/>
              <w:bCs/>
              <w:spacing w:val="-19"/>
              <w:szCs w:val="28"/>
            </w:rPr>
            <w:fldChar w:fldCharType="end"/>
          </w:r>
        </w:p>
        <w:p w14:paraId="260C8C3F">
          <w:pPr>
            <w:pStyle w:val="17"/>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_Toc28243 </w:instrText>
          </w:r>
          <w:r>
            <w:rPr>
              <w:rFonts w:ascii="Times New Roman" w:hAnsi="Times New Roman" w:eastAsia="Times New Roman" w:cs="Times New Roman"/>
              <w:bCs/>
              <w:spacing w:val="-19"/>
              <w:szCs w:val="28"/>
            </w:rPr>
            <w:fldChar w:fldCharType="separate"/>
          </w:r>
          <w:r>
            <w:t>江苏云储智能科技有限公司</w:t>
          </w:r>
          <w:r>
            <w:tab/>
          </w:r>
          <w:r>
            <w:fldChar w:fldCharType="begin"/>
          </w:r>
          <w:r>
            <w:instrText xml:space="preserve"> PAGEREF _Toc28243 \h </w:instrText>
          </w:r>
          <w:r>
            <w:fldChar w:fldCharType="separate"/>
          </w:r>
          <w:r>
            <w:t>1</w:t>
          </w:r>
          <w:r>
            <w:fldChar w:fldCharType="end"/>
          </w:r>
          <w:r>
            <w:rPr>
              <w:rFonts w:ascii="Times New Roman" w:hAnsi="Times New Roman" w:eastAsia="Times New Roman" w:cs="Times New Roman"/>
              <w:bCs/>
              <w:spacing w:val="-19"/>
              <w:szCs w:val="28"/>
            </w:rPr>
            <w:fldChar w:fldCharType="end"/>
          </w:r>
        </w:p>
        <w:p w14:paraId="7EFF76B8">
          <w:pPr>
            <w:pStyle w:val="17"/>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_Toc20043 </w:instrText>
          </w:r>
          <w:r>
            <w:rPr>
              <w:rFonts w:ascii="Times New Roman" w:hAnsi="Times New Roman" w:eastAsia="Times New Roman" w:cs="Times New Roman"/>
              <w:bCs/>
              <w:spacing w:val="-19"/>
              <w:szCs w:val="28"/>
            </w:rPr>
            <w:fldChar w:fldCharType="separate"/>
          </w:r>
          <w:r>
            <w:rPr>
              <w:rFonts w:ascii="宋体" w:hAnsi="宋体" w:eastAsia="宋体" w:cs="宋体"/>
              <w:spacing w:val="-2"/>
              <w:szCs w:val="21"/>
            </w:rPr>
            <w:t>文档信息</w:t>
          </w:r>
          <w:r>
            <w:tab/>
          </w:r>
          <w:r>
            <w:fldChar w:fldCharType="begin"/>
          </w:r>
          <w:r>
            <w:instrText xml:space="preserve"> PAGEREF _Toc20043 \h </w:instrText>
          </w:r>
          <w:r>
            <w:fldChar w:fldCharType="separate"/>
          </w:r>
          <w:r>
            <w:t>2</w:t>
          </w:r>
          <w:r>
            <w:fldChar w:fldCharType="end"/>
          </w:r>
          <w:r>
            <w:rPr>
              <w:rFonts w:ascii="Times New Roman" w:hAnsi="Times New Roman" w:eastAsia="Times New Roman" w:cs="Times New Roman"/>
              <w:bCs/>
              <w:spacing w:val="-19"/>
              <w:szCs w:val="28"/>
            </w:rPr>
            <w:fldChar w:fldCharType="end"/>
          </w:r>
        </w:p>
        <w:p w14:paraId="25CCC6E9">
          <w:pPr>
            <w:pStyle w:val="17"/>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_Toc26713 </w:instrText>
          </w:r>
          <w:r>
            <w:rPr>
              <w:rFonts w:ascii="Times New Roman" w:hAnsi="Times New Roman" w:eastAsia="Times New Roman" w:cs="Times New Roman"/>
              <w:bCs/>
              <w:spacing w:val="-19"/>
              <w:szCs w:val="28"/>
            </w:rPr>
            <w:fldChar w:fldCharType="separate"/>
          </w:r>
          <w:r>
            <w:rPr>
              <w:rFonts w:hint="default"/>
            </w:rPr>
            <w:t xml:space="preserve">1. </w:t>
          </w:r>
          <w:r>
            <w:t>目的</w:t>
          </w:r>
          <w:r>
            <w:tab/>
          </w:r>
          <w:r>
            <w:fldChar w:fldCharType="begin"/>
          </w:r>
          <w:r>
            <w:instrText xml:space="preserve"> PAGEREF _Toc26713 \h </w:instrText>
          </w:r>
          <w:r>
            <w:fldChar w:fldCharType="separate"/>
          </w:r>
          <w:r>
            <w:t>4</w:t>
          </w:r>
          <w:r>
            <w:fldChar w:fldCharType="end"/>
          </w:r>
          <w:r>
            <w:rPr>
              <w:rFonts w:ascii="Times New Roman" w:hAnsi="Times New Roman" w:eastAsia="Times New Roman" w:cs="Times New Roman"/>
              <w:bCs/>
              <w:spacing w:val="-19"/>
              <w:szCs w:val="28"/>
            </w:rPr>
            <w:fldChar w:fldCharType="end"/>
          </w:r>
        </w:p>
        <w:p w14:paraId="0096B16B">
          <w:pPr>
            <w:pStyle w:val="17"/>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_Toc22144 </w:instrText>
          </w:r>
          <w:r>
            <w:rPr>
              <w:rFonts w:ascii="Times New Roman" w:hAnsi="Times New Roman" w:eastAsia="Times New Roman" w:cs="Times New Roman"/>
              <w:bCs/>
              <w:spacing w:val="-19"/>
              <w:szCs w:val="28"/>
            </w:rPr>
            <w:fldChar w:fldCharType="separate"/>
          </w:r>
          <w:r>
            <w:rPr>
              <w:rFonts w:hint="default"/>
            </w:rPr>
            <w:t xml:space="preserve">2. </w:t>
          </w:r>
          <w:r>
            <w:t>范围</w:t>
          </w:r>
          <w:r>
            <w:tab/>
          </w:r>
          <w:r>
            <w:fldChar w:fldCharType="begin"/>
          </w:r>
          <w:r>
            <w:instrText xml:space="preserve"> PAGEREF _Toc22144 \h </w:instrText>
          </w:r>
          <w:r>
            <w:fldChar w:fldCharType="separate"/>
          </w:r>
          <w:r>
            <w:t>4</w:t>
          </w:r>
          <w:r>
            <w:fldChar w:fldCharType="end"/>
          </w:r>
          <w:r>
            <w:rPr>
              <w:rFonts w:ascii="Times New Roman" w:hAnsi="Times New Roman" w:eastAsia="Times New Roman" w:cs="Times New Roman"/>
              <w:bCs/>
              <w:spacing w:val="-19"/>
              <w:szCs w:val="28"/>
            </w:rPr>
            <w:fldChar w:fldCharType="end"/>
          </w:r>
        </w:p>
        <w:p w14:paraId="43B17B4B">
          <w:pPr>
            <w:pStyle w:val="17"/>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_Toc22663 </w:instrText>
          </w:r>
          <w:r>
            <w:rPr>
              <w:rFonts w:ascii="Times New Roman" w:hAnsi="Times New Roman" w:eastAsia="Times New Roman" w:cs="Times New Roman"/>
              <w:bCs/>
              <w:spacing w:val="-19"/>
              <w:szCs w:val="28"/>
            </w:rPr>
            <w:fldChar w:fldCharType="separate"/>
          </w:r>
          <w:r>
            <w:rPr>
              <w:rFonts w:hint="default"/>
            </w:rPr>
            <w:t xml:space="preserve">3. </w:t>
          </w:r>
          <w:r>
            <w:t>定义</w:t>
          </w:r>
          <w:r>
            <w:tab/>
          </w:r>
          <w:r>
            <w:fldChar w:fldCharType="begin"/>
          </w:r>
          <w:r>
            <w:instrText xml:space="preserve"> PAGEREF _Toc22663 \h </w:instrText>
          </w:r>
          <w:r>
            <w:fldChar w:fldCharType="separate"/>
          </w:r>
          <w:r>
            <w:t>4</w:t>
          </w:r>
          <w:r>
            <w:fldChar w:fldCharType="end"/>
          </w:r>
          <w:r>
            <w:rPr>
              <w:rFonts w:ascii="Times New Roman" w:hAnsi="Times New Roman" w:eastAsia="Times New Roman" w:cs="Times New Roman"/>
              <w:bCs/>
              <w:spacing w:val="-19"/>
              <w:szCs w:val="28"/>
            </w:rPr>
            <w:fldChar w:fldCharType="end"/>
          </w:r>
        </w:p>
        <w:p w14:paraId="5DA7045F">
          <w:pPr>
            <w:pStyle w:val="17"/>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_Toc10416 </w:instrText>
          </w:r>
          <w:r>
            <w:rPr>
              <w:rFonts w:ascii="Times New Roman" w:hAnsi="Times New Roman" w:eastAsia="Times New Roman" w:cs="Times New Roman"/>
              <w:bCs/>
              <w:spacing w:val="-19"/>
              <w:szCs w:val="28"/>
            </w:rPr>
            <w:fldChar w:fldCharType="separate"/>
          </w:r>
          <w:r>
            <w:rPr>
              <w:rFonts w:hint="default"/>
            </w:rPr>
            <w:t xml:space="preserve">4. </w:t>
          </w:r>
          <w:r>
            <w:t>职责</w:t>
          </w:r>
          <w:r>
            <w:tab/>
          </w:r>
          <w:r>
            <w:fldChar w:fldCharType="begin"/>
          </w:r>
          <w:r>
            <w:instrText xml:space="preserve"> PAGEREF _Toc10416 \h </w:instrText>
          </w:r>
          <w:r>
            <w:fldChar w:fldCharType="separate"/>
          </w:r>
          <w:r>
            <w:t>5</w:t>
          </w:r>
          <w:r>
            <w:fldChar w:fldCharType="end"/>
          </w:r>
          <w:r>
            <w:rPr>
              <w:rFonts w:ascii="Times New Roman" w:hAnsi="Times New Roman" w:eastAsia="Times New Roman" w:cs="Times New Roman"/>
              <w:bCs/>
              <w:spacing w:val="-19"/>
              <w:szCs w:val="28"/>
            </w:rPr>
            <w:fldChar w:fldCharType="end"/>
          </w:r>
        </w:p>
        <w:p w14:paraId="6635DE73">
          <w:pPr>
            <w:pStyle w:val="18"/>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_Toc17001 </w:instrText>
          </w:r>
          <w:r>
            <w:rPr>
              <w:rFonts w:ascii="Times New Roman" w:hAnsi="Times New Roman" w:eastAsia="Times New Roman" w:cs="Times New Roman"/>
              <w:bCs/>
              <w:spacing w:val="-19"/>
              <w:szCs w:val="28"/>
            </w:rPr>
            <w:fldChar w:fldCharType="separate"/>
          </w:r>
          <w:r>
            <w:rPr>
              <w:rFonts w:hint="default"/>
            </w:rPr>
            <w:t xml:space="preserve">4.1. </w:t>
          </w:r>
          <w:r>
            <w:t>运维部</w:t>
          </w:r>
          <w:r>
            <w:tab/>
          </w:r>
          <w:r>
            <w:fldChar w:fldCharType="begin"/>
          </w:r>
          <w:r>
            <w:instrText xml:space="preserve"> PAGEREF _Toc17001 \h </w:instrText>
          </w:r>
          <w:r>
            <w:fldChar w:fldCharType="separate"/>
          </w:r>
          <w:r>
            <w:t>5</w:t>
          </w:r>
          <w:r>
            <w:fldChar w:fldCharType="end"/>
          </w:r>
          <w:r>
            <w:rPr>
              <w:rFonts w:ascii="Times New Roman" w:hAnsi="Times New Roman" w:eastAsia="Times New Roman" w:cs="Times New Roman"/>
              <w:bCs/>
              <w:spacing w:val="-19"/>
              <w:szCs w:val="28"/>
            </w:rPr>
            <w:fldChar w:fldCharType="end"/>
          </w:r>
        </w:p>
        <w:p w14:paraId="483E604C">
          <w:pPr>
            <w:pStyle w:val="17"/>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_Toc28623 </w:instrText>
          </w:r>
          <w:r>
            <w:rPr>
              <w:rFonts w:ascii="Times New Roman" w:hAnsi="Times New Roman" w:eastAsia="Times New Roman" w:cs="Times New Roman"/>
              <w:bCs/>
              <w:spacing w:val="-19"/>
              <w:szCs w:val="28"/>
            </w:rPr>
            <w:fldChar w:fldCharType="separate"/>
          </w:r>
          <w:r>
            <w:rPr>
              <w:rFonts w:hint="default"/>
            </w:rPr>
            <w:t xml:space="preserve">5. </w:t>
          </w:r>
          <w:r>
            <w:t>流程</w:t>
          </w:r>
          <w:r>
            <w:tab/>
          </w:r>
          <w:r>
            <w:fldChar w:fldCharType="begin"/>
          </w:r>
          <w:r>
            <w:instrText xml:space="preserve"> PAGEREF _Toc28623 \h </w:instrText>
          </w:r>
          <w:r>
            <w:fldChar w:fldCharType="separate"/>
          </w:r>
          <w:r>
            <w:t>5</w:t>
          </w:r>
          <w:r>
            <w:fldChar w:fldCharType="end"/>
          </w:r>
          <w:r>
            <w:rPr>
              <w:rFonts w:ascii="Times New Roman" w:hAnsi="Times New Roman" w:eastAsia="Times New Roman" w:cs="Times New Roman"/>
              <w:bCs/>
              <w:spacing w:val="-19"/>
              <w:szCs w:val="28"/>
            </w:rPr>
            <w:fldChar w:fldCharType="end"/>
          </w:r>
        </w:p>
        <w:p w14:paraId="77888BB5">
          <w:pPr>
            <w:pStyle w:val="18"/>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_Toc27734 </w:instrText>
          </w:r>
          <w:r>
            <w:rPr>
              <w:rFonts w:ascii="Times New Roman" w:hAnsi="Times New Roman" w:eastAsia="Times New Roman" w:cs="Times New Roman"/>
              <w:bCs/>
              <w:spacing w:val="-19"/>
              <w:szCs w:val="28"/>
            </w:rPr>
            <w:fldChar w:fldCharType="separate"/>
          </w:r>
          <w:r>
            <w:rPr>
              <w:rFonts w:hint="default"/>
              <w:lang w:val="en-US" w:eastAsia="zh-CN"/>
            </w:rPr>
            <w:t xml:space="preserve">5.1. </w:t>
          </w:r>
          <w:r>
            <w:rPr>
              <w:rFonts w:hint="eastAsia"/>
              <w:lang w:val="en-US" w:eastAsia="zh-CN"/>
            </w:rPr>
            <w:t>服务可用性</w:t>
          </w:r>
          <w:r>
            <w:tab/>
          </w:r>
          <w:r>
            <w:fldChar w:fldCharType="begin"/>
          </w:r>
          <w:r>
            <w:instrText xml:space="preserve"> PAGEREF _Toc27734 \h </w:instrText>
          </w:r>
          <w:r>
            <w:fldChar w:fldCharType="separate"/>
          </w:r>
          <w:r>
            <w:t>5</w:t>
          </w:r>
          <w:r>
            <w:fldChar w:fldCharType="end"/>
          </w:r>
          <w:r>
            <w:rPr>
              <w:rFonts w:ascii="Times New Roman" w:hAnsi="Times New Roman" w:eastAsia="Times New Roman" w:cs="Times New Roman"/>
              <w:bCs/>
              <w:spacing w:val="-19"/>
              <w:szCs w:val="28"/>
            </w:rPr>
            <w:fldChar w:fldCharType="end"/>
          </w:r>
        </w:p>
        <w:p w14:paraId="72728956">
          <w:pPr>
            <w:pStyle w:val="14"/>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_Toc19272 </w:instrText>
          </w:r>
          <w:r>
            <w:rPr>
              <w:rFonts w:ascii="Times New Roman" w:hAnsi="Times New Roman" w:eastAsia="Times New Roman" w:cs="Times New Roman"/>
              <w:bCs/>
              <w:spacing w:val="-19"/>
              <w:szCs w:val="28"/>
            </w:rPr>
            <w:fldChar w:fldCharType="separate"/>
          </w:r>
          <w:r>
            <w:rPr>
              <w:rFonts w:hint="default"/>
            </w:rPr>
            <w:t xml:space="preserve">5.1.1. </w:t>
          </w:r>
          <w:r>
            <w:t>识别可用性需求</w:t>
          </w:r>
          <w:r>
            <w:tab/>
          </w:r>
          <w:r>
            <w:fldChar w:fldCharType="begin"/>
          </w:r>
          <w:r>
            <w:instrText xml:space="preserve"> PAGEREF _Toc19272 \h </w:instrText>
          </w:r>
          <w:r>
            <w:fldChar w:fldCharType="separate"/>
          </w:r>
          <w:r>
            <w:t>5</w:t>
          </w:r>
          <w:r>
            <w:fldChar w:fldCharType="end"/>
          </w:r>
          <w:r>
            <w:rPr>
              <w:rFonts w:ascii="Times New Roman" w:hAnsi="Times New Roman" w:eastAsia="Times New Roman" w:cs="Times New Roman"/>
              <w:bCs/>
              <w:spacing w:val="-19"/>
              <w:szCs w:val="28"/>
            </w:rPr>
            <w:fldChar w:fldCharType="end"/>
          </w:r>
        </w:p>
        <w:p w14:paraId="149C76EC">
          <w:pPr>
            <w:pStyle w:val="14"/>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_Toc18643 </w:instrText>
          </w:r>
          <w:r>
            <w:rPr>
              <w:rFonts w:ascii="Times New Roman" w:hAnsi="Times New Roman" w:eastAsia="Times New Roman" w:cs="Times New Roman"/>
              <w:bCs/>
              <w:spacing w:val="-19"/>
              <w:szCs w:val="28"/>
            </w:rPr>
            <w:fldChar w:fldCharType="separate"/>
          </w:r>
          <w:r>
            <w:rPr>
              <w:rFonts w:hint="default"/>
            </w:rPr>
            <w:t xml:space="preserve">5.1.1. </w:t>
          </w:r>
          <w:r>
            <w:t>可用性设计</w:t>
          </w:r>
          <w:r>
            <w:tab/>
          </w:r>
          <w:r>
            <w:fldChar w:fldCharType="begin"/>
          </w:r>
          <w:r>
            <w:instrText xml:space="preserve"> PAGEREF _Toc18643 \h </w:instrText>
          </w:r>
          <w:r>
            <w:fldChar w:fldCharType="separate"/>
          </w:r>
          <w:r>
            <w:t>6</w:t>
          </w:r>
          <w:r>
            <w:fldChar w:fldCharType="end"/>
          </w:r>
          <w:r>
            <w:rPr>
              <w:rFonts w:ascii="Times New Roman" w:hAnsi="Times New Roman" w:eastAsia="Times New Roman" w:cs="Times New Roman"/>
              <w:bCs/>
              <w:spacing w:val="-19"/>
              <w:szCs w:val="28"/>
            </w:rPr>
            <w:fldChar w:fldCharType="end"/>
          </w:r>
        </w:p>
        <w:p w14:paraId="5FD3D50D">
          <w:pPr>
            <w:pStyle w:val="14"/>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_Toc31040 </w:instrText>
          </w:r>
          <w:r>
            <w:rPr>
              <w:rFonts w:ascii="Times New Roman" w:hAnsi="Times New Roman" w:eastAsia="Times New Roman" w:cs="Times New Roman"/>
              <w:bCs/>
              <w:spacing w:val="-19"/>
              <w:szCs w:val="28"/>
            </w:rPr>
            <w:fldChar w:fldCharType="separate"/>
          </w:r>
          <w:r>
            <w:rPr>
              <w:rFonts w:hint="default"/>
            </w:rPr>
            <w:t xml:space="preserve">5.1.2. </w:t>
          </w:r>
          <w:r>
            <w:t>恢复方案设计</w:t>
          </w:r>
          <w:r>
            <w:tab/>
          </w:r>
          <w:r>
            <w:fldChar w:fldCharType="begin"/>
          </w:r>
          <w:r>
            <w:instrText xml:space="preserve"> PAGEREF _Toc31040 \h </w:instrText>
          </w:r>
          <w:r>
            <w:fldChar w:fldCharType="separate"/>
          </w:r>
          <w:r>
            <w:t>6</w:t>
          </w:r>
          <w:r>
            <w:fldChar w:fldCharType="end"/>
          </w:r>
          <w:r>
            <w:rPr>
              <w:rFonts w:ascii="Times New Roman" w:hAnsi="Times New Roman" w:eastAsia="Times New Roman" w:cs="Times New Roman"/>
              <w:bCs/>
              <w:spacing w:val="-19"/>
              <w:szCs w:val="28"/>
            </w:rPr>
            <w:fldChar w:fldCharType="end"/>
          </w:r>
        </w:p>
        <w:p w14:paraId="1F3FE6D9">
          <w:pPr>
            <w:pStyle w:val="14"/>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_Toc17468 </w:instrText>
          </w:r>
          <w:r>
            <w:rPr>
              <w:rFonts w:ascii="Times New Roman" w:hAnsi="Times New Roman" w:eastAsia="Times New Roman" w:cs="Times New Roman"/>
              <w:bCs/>
              <w:spacing w:val="-19"/>
              <w:szCs w:val="28"/>
            </w:rPr>
            <w:fldChar w:fldCharType="separate"/>
          </w:r>
          <w:r>
            <w:rPr>
              <w:rFonts w:hint="default"/>
            </w:rPr>
            <w:t xml:space="preserve">5.1.3. </w:t>
          </w:r>
          <w:r>
            <w:t>维护管理</w:t>
          </w:r>
          <w:r>
            <w:tab/>
          </w:r>
          <w:r>
            <w:fldChar w:fldCharType="begin"/>
          </w:r>
          <w:r>
            <w:instrText xml:space="preserve"> PAGEREF _Toc17468 \h </w:instrText>
          </w:r>
          <w:r>
            <w:fldChar w:fldCharType="separate"/>
          </w:r>
          <w:r>
            <w:t>7</w:t>
          </w:r>
          <w:r>
            <w:fldChar w:fldCharType="end"/>
          </w:r>
          <w:r>
            <w:rPr>
              <w:rFonts w:ascii="Times New Roman" w:hAnsi="Times New Roman" w:eastAsia="Times New Roman" w:cs="Times New Roman"/>
              <w:bCs/>
              <w:spacing w:val="-19"/>
              <w:szCs w:val="28"/>
            </w:rPr>
            <w:fldChar w:fldCharType="end"/>
          </w:r>
        </w:p>
        <w:p w14:paraId="065BB89D">
          <w:pPr>
            <w:pStyle w:val="14"/>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_Toc2096 </w:instrText>
          </w:r>
          <w:r>
            <w:rPr>
              <w:rFonts w:ascii="Times New Roman" w:hAnsi="Times New Roman" w:eastAsia="Times New Roman" w:cs="Times New Roman"/>
              <w:bCs/>
              <w:spacing w:val="-19"/>
              <w:szCs w:val="28"/>
            </w:rPr>
            <w:fldChar w:fldCharType="separate"/>
          </w:r>
          <w:r>
            <w:rPr>
              <w:rFonts w:hint="default"/>
            </w:rPr>
            <w:t xml:space="preserve">5.1.4. </w:t>
          </w:r>
          <w:r>
            <w:t>制定《可用性计划》</w:t>
          </w:r>
          <w:r>
            <w:tab/>
          </w:r>
          <w:r>
            <w:fldChar w:fldCharType="begin"/>
          </w:r>
          <w:r>
            <w:instrText xml:space="preserve"> PAGEREF _Toc2096 \h </w:instrText>
          </w:r>
          <w:r>
            <w:fldChar w:fldCharType="separate"/>
          </w:r>
          <w:r>
            <w:t>7</w:t>
          </w:r>
          <w:r>
            <w:fldChar w:fldCharType="end"/>
          </w:r>
          <w:r>
            <w:rPr>
              <w:rFonts w:ascii="Times New Roman" w:hAnsi="Times New Roman" w:eastAsia="Times New Roman" w:cs="Times New Roman"/>
              <w:bCs/>
              <w:spacing w:val="-19"/>
              <w:szCs w:val="28"/>
            </w:rPr>
            <w:fldChar w:fldCharType="end"/>
          </w:r>
        </w:p>
        <w:p w14:paraId="4CDF6882">
          <w:pPr>
            <w:pStyle w:val="14"/>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_Toc24714 </w:instrText>
          </w:r>
          <w:r>
            <w:rPr>
              <w:rFonts w:ascii="Times New Roman" w:hAnsi="Times New Roman" w:eastAsia="Times New Roman" w:cs="Times New Roman"/>
              <w:bCs/>
              <w:spacing w:val="-19"/>
              <w:szCs w:val="28"/>
            </w:rPr>
            <w:fldChar w:fldCharType="separate"/>
          </w:r>
          <w:r>
            <w:rPr>
              <w:rFonts w:hint="default"/>
            </w:rPr>
            <w:t xml:space="preserve">5.1.5. </w:t>
          </w:r>
          <w:r>
            <w:t>监控、评价和报告</w:t>
          </w:r>
          <w:r>
            <w:tab/>
          </w:r>
          <w:r>
            <w:fldChar w:fldCharType="begin"/>
          </w:r>
          <w:r>
            <w:instrText xml:space="preserve"> PAGEREF _Toc24714 \h </w:instrText>
          </w:r>
          <w:r>
            <w:fldChar w:fldCharType="separate"/>
          </w:r>
          <w:r>
            <w:t>8</w:t>
          </w:r>
          <w:r>
            <w:fldChar w:fldCharType="end"/>
          </w:r>
          <w:r>
            <w:rPr>
              <w:rFonts w:ascii="Times New Roman" w:hAnsi="Times New Roman" w:eastAsia="Times New Roman" w:cs="Times New Roman"/>
              <w:bCs/>
              <w:spacing w:val="-19"/>
              <w:szCs w:val="28"/>
            </w:rPr>
            <w:fldChar w:fldCharType="end"/>
          </w:r>
        </w:p>
        <w:p w14:paraId="3982D9D2">
          <w:pPr>
            <w:pStyle w:val="18"/>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_Toc29189 </w:instrText>
          </w:r>
          <w:r>
            <w:rPr>
              <w:rFonts w:ascii="Times New Roman" w:hAnsi="Times New Roman" w:eastAsia="Times New Roman" w:cs="Times New Roman"/>
              <w:bCs/>
              <w:spacing w:val="-19"/>
              <w:szCs w:val="28"/>
            </w:rPr>
            <w:fldChar w:fldCharType="separate"/>
          </w:r>
          <w:r>
            <w:rPr>
              <w:rFonts w:hint="default"/>
              <w:lang w:val="en-US" w:eastAsia="zh-CN"/>
            </w:rPr>
            <w:t xml:space="preserve">5.2. </w:t>
          </w:r>
          <w:r>
            <w:rPr>
              <w:rFonts w:hint="eastAsia"/>
              <w:lang w:val="en-US" w:eastAsia="zh-CN"/>
            </w:rPr>
            <w:t>业务连续性</w:t>
          </w:r>
          <w:r>
            <w:tab/>
          </w:r>
          <w:r>
            <w:fldChar w:fldCharType="begin"/>
          </w:r>
          <w:r>
            <w:instrText xml:space="preserve"> PAGEREF _Toc29189 \h </w:instrText>
          </w:r>
          <w:r>
            <w:fldChar w:fldCharType="separate"/>
          </w:r>
          <w:r>
            <w:t>8</w:t>
          </w:r>
          <w:r>
            <w:fldChar w:fldCharType="end"/>
          </w:r>
          <w:r>
            <w:rPr>
              <w:rFonts w:ascii="Times New Roman" w:hAnsi="Times New Roman" w:eastAsia="Times New Roman" w:cs="Times New Roman"/>
              <w:bCs/>
              <w:spacing w:val="-19"/>
              <w:szCs w:val="28"/>
            </w:rPr>
            <w:fldChar w:fldCharType="end"/>
          </w:r>
        </w:p>
        <w:p w14:paraId="0EFA1EC7">
          <w:pPr>
            <w:pStyle w:val="14"/>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_Toc6255 </w:instrText>
          </w:r>
          <w:r>
            <w:rPr>
              <w:rFonts w:ascii="Times New Roman" w:hAnsi="Times New Roman" w:eastAsia="Times New Roman" w:cs="Times New Roman"/>
              <w:bCs/>
              <w:spacing w:val="-19"/>
              <w:szCs w:val="28"/>
            </w:rPr>
            <w:fldChar w:fldCharType="separate"/>
          </w:r>
          <w:r>
            <w:rPr>
              <w:rFonts w:hint="default"/>
            </w:rPr>
            <w:t xml:space="preserve">5.2.1. </w:t>
          </w:r>
          <w:r>
            <w:t>初始化阶段</w:t>
          </w:r>
          <w:r>
            <w:tab/>
          </w:r>
          <w:r>
            <w:fldChar w:fldCharType="begin"/>
          </w:r>
          <w:r>
            <w:instrText xml:space="preserve"> PAGEREF _Toc6255 \h </w:instrText>
          </w:r>
          <w:r>
            <w:fldChar w:fldCharType="separate"/>
          </w:r>
          <w:r>
            <w:t>8</w:t>
          </w:r>
          <w:r>
            <w:fldChar w:fldCharType="end"/>
          </w:r>
          <w:r>
            <w:rPr>
              <w:rFonts w:ascii="Times New Roman" w:hAnsi="Times New Roman" w:eastAsia="Times New Roman" w:cs="Times New Roman"/>
              <w:bCs/>
              <w:spacing w:val="-19"/>
              <w:szCs w:val="28"/>
            </w:rPr>
            <w:fldChar w:fldCharType="end"/>
          </w:r>
        </w:p>
        <w:p w14:paraId="45F83827">
          <w:pPr>
            <w:pStyle w:val="14"/>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_Toc21847 </w:instrText>
          </w:r>
          <w:r>
            <w:rPr>
              <w:rFonts w:ascii="Times New Roman" w:hAnsi="Times New Roman" w:eastAsia="Times New Roman" w:cs="Times New Roman"/>
              <w:bCs/>
              <w:spacing w:val="-19"/>
              <w:szCs w:val="28"/>
            </w:rPr>
            <w:fldChar w:fldCharType="separate"/>
          </w:r>
          <w:r>
            <w:rPr>
              <w:rFonts w:hint="default"/>
            </w:rPr>
            <w:t xml:space="preserve">5.2.2. </w:t>
          </w:r>
          <w:r>
            <w:t>分析规划阶段</w:t>
          </w:r>
          <w:r>
            <w:tab/>
          </w:r>
          <w:r>
            <w:fldChar w:fldCharType="begin"/>
          </w:r>
          <w:r>
            <w:instrText xml:space="preserve"> PAGEREF _Toc21847 \h </w:instrText>
          </w:r>
          <w:r>
            <w:fldChar w:fldCharType="separate"/>
          </w:r>
          <w:r>
            <w:t>8</w:t>
          </w:r>
          <w:r>
            <w:fldChar w:fldCharType="end"/>
          </w:r>
          <w:r>
            <w:rPr>
              <w:rFonts w:ascii="Times New Roman" w:hAnsi="Times New Roman" w:eastAsia="Times New Roman" w:cs="Times New Roman"/>
              <w:bCs/>
              <w:spacing w:val="-19"/>
              <w:szCs w:val="28"/>
            </w:rPr>
            <w:fldChar w:fldCharType="end"/>
          </w:r>
        </w:p>
        <w:p w14:paraId="2F37F78D">
          <w:pPr>
            <w:pStyle w:val="14"/>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_Toc3097 </w:instrText>
          </w:r>
          <w:r>
            <w:rPr>
              <w:rFonts w:ascii="Times New Roman" w:hAnsi="Times New Roman" w:eastAsia="Times New Roman" w:cs="Times New Roman"/>
              <w:bCs/>
              <w:spacing w:val="-19"/>
              <w:szCs w:val="28"/>
            </w:rPr>
            <w:fldChar w:fldCharType="separate"/>
          </w:r>
          <w:r>
            <w:rPr>
              <w:rFonts w:hint="default"/>
            </w:rPr>
            <w:t xml:space="preserve">5.2.3. </w:t>
          </w:r>
          <w:r>
            <w:t>实施阶段</w:t>
          </w:r>
          <w:r>
            <w:tab/>
          </w:r>
          <w:r>
            <w:fldChar w:fldCharType="begin"/>
          </w:r>
          <w:r>
            <w:instrText xml:space="preserve"> PAGEREF _Toc3097 \h </w:instrText>
          </w:r>
          <w:r>
            <w:fldChar w:fldCharType="separate"/>
          </w:r>
          <w:r>
            <w:t>10</w:t>
          </w:r>
          <w:r>
            <w:fldChar w:fldCharType="end"/>
          </w:r>
          <w:r>
            <w:rPr>
              <w:rFonts w:ascii="Times New Roman" w:hAnsi="Times New Roman" w:eastAsia="Times New Roman" w:cs="Times New Roman"/>
              <w:bCs/>
              <w:spacing w:val="-19"/>
              <w:szCs w:val="28"/>
            </w:rPr>
            <w:fldChar w:fldCharType="end"/>
          </w:r>
        </w:p>
        <w:p w14:paraId="4B115CC3">
          <w:pPr>
            <w:pStyle w:val="14"/>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_Toc26000 </w:instrText>
          </w:r>
          <w:r>
            <w:rPr>
              <w:rFonts w:ascii="Times New Roman" w:hAnsi="Times New Roman" w:eastAsia="Times New Roman" w:cs="Times New Roman"/>
              <w:bCs/>
              <w:spacing w:val="-19"/>
              <w:szCs w:val="28"/>
            </w:rPr>
            <w:fldChar w:fldCharType="separate"/>
          </w:r>
          <w:r>
            <w:rPr>
              <w:rFonts w:hint="default"/>
            </w:rPr>
            <w:t xml:space="preserve">5.2.4. </w:t>
          </w:r>
          <w:r>
            <w:t>运作阶段</w:t>
          </w:r>
          <w:r>
            <w:tab/>
          </w:r>
          <w:r>
            <w:fldChar w:fldCharType="begin"/>
          </w:r>
          <w:r>
            <w:instrText xml:space="preserve"> PAGEREF _Toc26000 \h </w:instrText>
          </w:r>
          <w:r>
            <w:fldChar w:fldCharType="separate"/>
          </w:r>
          <w:r>
            <w:t>10</w:t>
          </w:r>
          <w:r>
            <w:fldChar w:fldCharType="end"/>
          </w:r>
          <w:r>
            <w:rPr>
              <w:rFonts w:ascii="Times New Roman" w:hAnsi="Times New Roman" w:eastAsia="Times New Roman" w:cs="Times New Roman"/>
              <w:bCs/>
              <w:spacing w:val="-19"/>
              <w:szCs w:val="28"/>
            </w:rPr>
            <w:fldChar w:fldCharType="end"/>
          </w:r>
        </w:p>
        <w:p w14:paraId="7AF7A083">
          <w:pPr>
            <w:pStyle w:val="17"/>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_Toc19812 </w:instrText>
          </w:r>
          <w:r>
            <w:rPr>
              <w:rFonts w:ascii="Times New Roman" w:hAnsi="Times New Roman" w:eastAsia="Times New Roman" w:cs="Times New Roman"/>
              <w:bCs/>
              <w:spacing w:val="-19"/>
              <w:szCs w:val="28"/>
            </w:rPr>
            <w:fldChar w:fldCharType="separate"/>
          </w:r>
          <w:r>
            <w:rPr>
              <w:rFonts w:hint="default"/>
            </w:rPr>
            <w:t xml:space="preserve">6. </w:t>
          </w:r>
          <w:r>
            <w:t>与其他流程的关系</w:t>
          </w:r>
          <w:r>
            <w:tab/>
          </w:r>
          <w:r>
            <w:fldChar w:fldCharType="begin"/>
          </w:r>
          <w:r>
            <w:instrText xml:space="preserve"> PAGEREF _Toc19812 \h </w:instrText>
          </w:r>
          <w:r>
            <w:fldChar w:fldCharType="separate"/>
          </w:r>
          <w:r>
            <w:t>11</w:t>
          </w:r>
          <w:r>
            <w:fldChar w:fldCharType="end"/>
          </w:r>
          <w:r>
            <w:rPr>
              <w:rFonts w:ascii="Times New Roman" w:hAnsi="Times New Roman" w:eastAsia="Times New Roman" w:cs="Times New Roman"/>
              <w:bCs/>
              <w:spacing w:val="-19"/>
              <w:szCs w:val="28"/>
            </w:rPr>
            <w:fldChar w:fldCharType="end"/>
          </w:r>
        </w:p>
        <w:p w14:paraId="17623156">
          <w:pPr>
            <w:pStyle w:val="18"/>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_Toc12523 </w:instrText>
          </w:r>
          <w:r>
            <w:rPr>
              <w:rFonts w:ascii="Times New Roman" w:hAnsi="Times New Roman" w:eastAsia="Times New Roman" w:cs="Times New Roman"/>
              <w:bCs/>
              <w:spacing w:val="-19"/>
              <w:szCs w:val="28"/>
            </w:rPr>
            <w:fldChar w:fldCharType="separate"/>
          </w:r>
          <w:r>
            <w:rPr>
              <w:rFonts w:hint="default"/>
            </w:rPr>
            <w:t xml:space="preserve">6.1. </w:t>
          </w:r>
          <w:r>
            <w:t>与事件管理流程的关系</w:t>
          </w:r>
          <w:r>
            <w:tab/>
          </w:r>
          <w:r>
            <w:fldChar w:fldCharType="begin"/>
          </w:r>
          <w:r>
            <w:instrText xml:space="preserve"> PAGEREF _Toc12523 \h </w:instrText>
          </w:r>
          <w:r>
            <w:fldChar w:fldCharType="separate"/>
          </w:r>
          <w:r>
            <w:t>11</w:t>
          </w:r>
          <w:r>
            <w:fldChar w:fldCharType="end"/>
          </w:r>
          <w:r>
            <w:rPr>
              <w:rFonts w:ascii="Times New Roman" w:hAnsi="Times New Roman" w:eastAsia="Times New Roman" w:cs="Times New Roman"/>
              <w:bCs/>
              <w:spacing w:val="-19"/>
              <w:szCs w:val="28"/>
            </w:rPr>
            <w:fldChar w:fldCharType="end"/>
          </w:r>
        </w:p>
        <w:p w14:paraId="3890D6CF">
          <w:pPr>
            <w:pStyle w:val="18"/>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_Toc3649 </w:instrText>
          </w:r>
          <w:r>
            <w:rPr>
              <w:rFonts w:ascii="Times New Roman" w:hAnsi="Times New Roman" w:eastAsia="Times New Roman" w:cs="Times New Roman"/>
              <w:bCs/>
              <w:spacing w:val="-19"/>
              <w:szCs w:val="28"/>
            </w:rPr>
            <w:fldChar w:fldCharType="separate"/>
          </w:r>
          <w:r>
            <w:rPr>
              <w:rFonts w:hint="default"/>
            </w:rPr>
            <w:t xml:space="preserve">6.2. </w:t>
          </w:r>
          <w:r>
            <w:t>与问题管理流程的关系</w:t>
          </w:r>
          <w:r>
            <w:tab/>
          </w:r>
          <w:r>
            <w:fldChar w:fldCharType="begin"/>
          </w:r>
          <w:r>
            <w:instrText xml:space="preserve"> PAGEREF _Toc3649 \h </w:instrText>
          </w:r>
          <w:r>
            <w:fldChar w:fldCharType="separate"/>
          </w:r>
          <w:r>
            <w:t>11</w:t>
          </w:r>
          <w:r>
            <w:fldChar w:fldCharType="end"/>
          </w:r>
          <w:r>
            <w:rPr>
              <w:rFonts w:ascii="Times New Roman" w:hAnsi="Times New Roman" w:eastAsia="Times New Roman" w:cs="Times New Roman"/>
              <w:bCs/>
              <w:spacing w:val="-19"/>
              <w:szCs w:val="28"/>
            </w:rPr>
            <w:fldChar w:fldCharType="end"/>
          </w:r>
        </w:p>
        <w:p w14:paraId="311F3CCC">
          <w:pPr>
            <w:pStyle w:val="18"/>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_Toc5036 </w:instrText>
          </w:r>
          <w:r>
            <w:rPr>
              <w:rFonts w:ascii="Times New Roman" w:hAnsi="Times New Roman" w:eastAsia="Times New Roman" w:cs="Times New Roman"/>
              <w:bCs/>
              <w:spacing w:val="-19"/>
              <w:szCs w:val="28"/>
            </w:rPr>
            <w:fldChar w:fldCharType="separate"/>
          </w:r>
          <w:r>
            <w:rPr>
              <w:rFonts w:hint="default"/>
            </w:rPr>
            <w:t xml:space="preserve">6.3. </w:t>
          </w:r>
          <w:r>
            <w:t>与变更、发布管理流程的关系</w:t>
          </w:r>
          <w:r>
            <w:tab/>
          </w:r>
          <w:r>
            <w:fldChar w:fldCharType="begin"/>
          </w:r>
          <w:r>
            <w:instrText xml:space="preserve"> PAGEREF _Toc5036 \h </w:instrText>
          </w:r>
          <w:r>
            <w:fldChar w:fldCharType="separate"/>
          </w:r>
          <w:r>
            <w:t>11</w:t>
          </w:r>
          <w:r>
            <w:fldChar w:fldCharType="end"/>
          </w:r>
          <w:r>
            <w:rPr>
              <w:rFonts w:ascii="Times New Roman" w:hAnsi="Times New Roman" w:eastAsia="Times New Roman" w:cs="Times New Roman"/>
              <w:bCs/>
              <w:spacing w:val="-19"/>
              <w:szCs w:val="28"/>
            </w:rPr>
            <w:fldChar w:fldCharType="end"/>
          </w:r>
        </w:p>
        <w:p w14:paraId="1B7028F2">
          <w:pPr>
            <w:pStyle w:val="18"/>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_Toc19349 </w:instrText>
          </w:r>
          <w:r>
            <w:rPr>
              <w:rFonts w:ascii="Times New Roman" w:hAnsi="Times New Roman" w:eastAsia="Times New Roman" w:cs="Times New Roman"/>
              <w:bCs/>
              <w:spacing w:val="-19"/>
              <w:szCs w:val="28"/>
            </w:rPr>
            <w:fldChar w:fldCharType="separate"/>
          </w:r>
          <w:r>
            <w:rPr>
              <w:rFonts w:hint="default"/>
            </w:rPr>
            <w:t xml:space="preserve">6.4. </w:t>
          </w:r>
          <w:r>
            <w:t>与配置管理流程的关系</w:t>
          </w:r>
          <w:r>
            <w:tab/>
          </w:r>
          <w:r>
            <w:fldChar w:fldCharType="begin"/>
          </w:r>
          <w:r>
            <w:instrText xml:space="preserve"> PAGEREF _Toc19349 \h </w:instrText>
          </w:r>
          <w:r>
            <w:fldChar w:fldCharType="separate"/>
          </w:r>
          <w:r>
            <w:t>11</w:t>
          </w:r>
          <w:r>
            <w:fldChar w:fldCharType="end"/>
          </w:r>
          <w:r>
            <w:rPr>
              <w:rFonts w:ascii="Times New Roman" w:hAnsi="Times New Roman" w:eastAsia="Times New Roman" w:cs="Times New Roman"/>
              <w:bCs/>
              <w:spacing w:val="-19"/>
              <w:szCs w:val="28"/>
            </w:rPr>
            <w:fldChar w:fldCharType="end"/>
          </w:r>
        </w:p>
        <w:p w14:paraId="373D895C">
          <w:pPr>
            <w:pStyle w:val="17"/>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_Toc10769 </w:instrText>
          </w:r>
          <w:r>
            <w:rPr>
              <w:rFonts w:ascii="Times New Roman" w:hAnsi="Times New Roman" w:eastAsia="Times New Roman" w:cs="Times New Roman"/>
              <w:bCs/>
              <w:spacing w:val="-19"/>
              <w:szCs w:val="28"/>
            </w:rPr>
            <w:fldChar w:fldCharType="separate"/>
          </w:r>
          <w:r>
            <w:rPr>
              <w:rFonts w:hint="default"/>
              <w:lang w:val="en-US" w:eastAsia="zh-CN"/>
            </w:rPr>
            <w:t>7. 关键指标</w:t>
          </w:r>
          <w:r>
            <w:tab/>
          </w:r>
          <w:r>
            <w:fldChar w:fldCharType="begin"/>
          </w:r>
          <w:r>
            <w:instrText xml:space="preserve"> PAGEREF _Toc10769 \h </w:instrText>
          </w:r>
          <w:r>
            <w:fldChar w:fldCharType="separate"/>
          </w:r>
          <w:r>
            <w:t>12</w:t>
          </w:r>
          <w:r>
            <w:fldChar w:fldCharType="end"/>
          </w:r>
          <w:r>
            <w:rPr>
              <w:rFonts w:ascii="Times New Roman" w:hAnsi="Times New Roman" w:eastAsia="Times New Roman" w:cs="Times New Roman"/>
              <w:bCs/>
              <w:spacing w:val="-19"/>
              <w:szCs w:val="28"/>
            </w:rPr>
            <w:fldChar w:fldCharType="end"/>
          </w:r>
        </w:p>
        <w:p w14:paraId="4FD183E1">
          <w:pPr>
            <w:pStyle w:val="17"/>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_Toc8164 </w:instrText>
          </w:r>
          <w:r>
            <w:rPr>
              <w:rFonts w:ascii="Times New Roman" w:hAnsi="Times New Roman" w:eastAsia="Times New Roman" w:cs="Times New Roman"/>
              <w:bCs/>
              <w:spacing w:val="-19"/>
              <w:szCs w:val="28"/>
            </w:rPr>
            <w:fldChar w:fldCharType="separate"/>
          </w:r>
          <w:r>
            <w:rPr>
              <w:rFonts w:hint="default"/>
            </w:rPr>
            <w:t xml:space="preserve">8. </w:t>
          </w:r>
          <w:r>
            <w:t>相关文件</w:t>
          </w:r>
          <w:r>
            <w:tab/>
          </w:r>
          <w:r>
            <w:fldChar w:fldCharType="begin"/>
          </w:r>
          <w:r>
            <w:instrText xml:space="preserve"> PAGEREF _Toc8164 \h </w:instrText>
          </w:r>
          <w:r>
            <w:fldChar w:fldCharType="separate"/>
          </w:r>
          <w:r>
            <w:t>12</w:t>
          </w:r>
          <w:r>
            <w:fldChar w:fldCharType="end"/>
          </w:r>
          <w:r>
            <w:rPr>
              <w:rFonts w:ascii="Times New Roman" w:hAnsi="Times New Roman" w:eastAsia="Times New Roman" w:cs="Times New Roman"/>
              <w:bCs/>
              <w:spacing w:val="-19"/>
              <w:szCs w:val="28"/>
            </w:rPr>
            <w:fldChar w:fldCharType="end"/>
          </w:r>
        </w:p>
        <w:p w14:paraId="7AE94976">
          <w:pPr>
            <w:pStyle w:val="17"/>
            <w:keepNext w:val="0"/>
            <w:keepLines w:val="0"/>
            <w:pageBreakBefore w:val="0"/>
            <w:widowControl w:val="0"/>
            <w:tabs>
              <w:tab w:val="right" w:leader="dot" w:pos="9256"/>
            </w:tabs>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_Toc24262 </w:instrText>
          </w:r>
          <w:r>
            <w:rPr>
              <w:rFonts w:ascii="Times New Roman" w:hAnsi="Times New Roman" w:eastAsia="Times New Roman" w:cs="Times New Roman"/>
              <w:bCs/>
              <w:spacing w:val="-19"/>
              <w:szCs w:val="28"/>
            </w:rPr>
            <w:fldChar w:fldCharType="separate"/>
          </w:r>
          <w:r>
            <w:rPr>
              <w:rFonts w:hint="default"/>
            </w:rPr>
            <w:t xml:space="preserve">9. </w:t>
          </w:r>
          <w:r>
            <w:t>记录</w:t>
          </w:r>
          <w:r>
            <w:tab/>
          </w:r>
          <w:r>
            <w:fldChar w:fldCharType="begin"/>
          </w:r>
          <w:r>
            <w:instrText xml:space="preserve"> PAGEREF _Toc24262 \h </w:instrText>
          </w:r>
          <w:r>
            <w:fldChar w:fldCharType="separate"/>
          </w:r>
          <w:r>
            <w:t>12</w:t>
          </w:r>
          <w:r>
            <w:fldChar w:fldCharType="end"/>
          </w:r>
          <w:r>
            <w:rPr>
              <w:rFonts w:ascii="Times New Roman" w:hAnsi="Times New Roman" w:eastAsia="Times New Roman" w:cs="Times New Roman"/>
              <w:bCs/>
              <w:spacing w:val="-19"/>
              <w:szCs w:val="28"/>
            </w:rPr>
            <w:fldChar w:fldCharType="end"/>
          </w:r>
        </w:p>
        <w:p w14:paraId="7246DB7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Times New Roman" w:hAnsi="Times New Roman" w:eastAsia="Times New Roman" w:cs="Times New Roman"/>
              <w:bCs/>
              <w:spacing w:val="-19"/>
              <w:szCs w:val="28"/>
            </w:rPr>
          </w:pPr>
          <w:r>
            <w:rPr>
              <w:rFonts w:ascii="Times New Roman" w:hAnsi="Times New Roman" w:eastAsia="Times New Roman" w:cs="Times New Roman"/>
              <w:bCs/>
              <w:spacing w:val="-19"/>
              <w:szCs w:val="28"/>
            </w:rPr>
            <w:fldChar w:fldCharType="end"/>
          </w:r>
        </w:p>
        <w:p w14:paraId="0BB71D1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Times New Roman" w:hAnsi="Times New Roman" w:eastAsia="Times New Roman" w:cs="Times New Roman"/>
              <w:bCs/>
              <w:spacing w:val="-19"/>
              <w:szCs w:val="28"/>
            </w:rPr>
          </w:pPr>
          <w:r>
            <w:rPr>
              <w:rFonts w:ascii="Times New Roman" w:hAnsi="Times New Roman" w:eastAsia="Times New Roman" w:cs="Times New Roman"/>
              <w:bCs/>
              <w:spacing w:val="-19"/>
              <w:szCs w:val="28"/>
            </w:rPr>
            <w:br w:type="page"/>
          </w:r>
        </w:p>
        <w:p w14:paraId="61CF34E3">
          <w:pPr>
            <w:keepNext w:val="0"/>
            <w:keepLines w:val="0"/>
            <w:pageBreakBefore w:val="0"/>
            <w:widowControl w:val="0"/>
            <w:kinsoku w:val="0"/>
            <w:wordWrap/>
            <w:overflowPunct/>
            <w:topLinePunct w:val="0"/>
            <w:autoSpaceDE w:val="0"/>
            <w:autoSpaceDN w:val="0"/>
            <w:bidi w:val="0"/>
            <w:adjustRightInd w:val="0"/>
            <w:snapToGrid w:val="0"/>
            <w:textAlignment w:val="baseline"/>
          </w:pPr>
        </w:p>
      </w:sdtContent>
    </w:sdt>
    <w:p w14:paraId="08F9286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26713"/>
      <w:r>
        <w:t>目的</w:t>
      </w:r>
      <w:bookmarkEnd w:id="3"/>
    </w:p>
    <w:p w14:paraId="72FCB0F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rPr>
      </w:pPr>
      <w:r>
        <w:rPr>
          <w:rFonts w:hint="eastAsia" w:ascii="宋体" w:hAnsi="宋体" w:eastAsia="宋体" w:cs="宋体"/>
        </w:rPr>
        <w:t>为确保公司核心IT服务在面临各种中断性事件（如硬件故障、自然灾害、网络攻击、人为错误等）时，能够保持预定的可用性水平，并能够快速、有效地恢复，最大限度地减少对业务运营的影响和损失，特制定本制度。</w:t>
      </w:r>
    </w:p>
    <w:p w14:paraId="534F752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bookmark4"/>
      <w:bookmarkEnd w:id="4"/>
      <w:bookmarkStart w:id="5" w:name="bookmark5"/>
      <w:bookmarkEnd w:id="5"/>
      <w:bookmarkStart w:id="6" w:name="_Toc22144"/>
      <w:r>
        <w:t>范围</w:t>
      </w:r>
      <w:bookmarkEnd w:id="6"/>
    </w:p>
    <w:p w14:paraId="4B050323">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本程序适用于为满足服务预定可用性目标</w:t>
      </w:r>
      <w:r>
        <w:rPr>
          <w:rFonts w:hint="eastAsia"/>
          <w:lang w:val="en-US" w:eastAsia="zh-CN"/>
        </w:rPr>
        <w:t>和连续性目标</w:t>
      </w:r>
      <w:r>
        <w:t>所进行的管理。</w:t>
      </w:r>
    </w:p>
    <w:p w14:paraId="13762B18">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所有新增运维服务以及当前已经签订服务级别需求（SLR）和服务级别协议（SLA）的运维服务；</w:t>
      </w:r>
    </w:p>
    <w:p w14:paraId="4F75F384">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那些不一定签订正式的《服务级别协议》但对组织业务却极为关键的运维服务；</w:t>
      </w:r>
    </w:p>
    <w:p w14:paraId="2B1D984E">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可能影响可用性的IT基础设施和IT支持部门的所有方面，包括培训、政策、流程的有效性</w:t>
      </w:r>
      <w:r>
        <w:rPr>
          <w:rFonts w:hint="eastAsia"/>
          <w:lang w:val="en-US" w:eastAsia="zh-CN"/>
        </w:rPr>
        <w:t>以及</w:t>
      </w:r>
      <w:r>
        <w:t>程序和工具等。</w:t>
      </w:r>
    </w:p>
    <w:p w14:paraId="181D08AD">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val="en-US" w:eastAsia="zh-CN"/>
        </w:rPr>
        <w:t>导致连续性发生的条件:</w:t>
      </w:r>
      <w:r>
        <w:t>包括火灾、大规模断电、硬件瘫痪、自然灾害、失窃、暴力破坏、人力资源危机等意外事件，可能中断运维服务并且影响组织的正常业务运营，最终导致业务损失。</w:t>
      </w:r>
    </w:p>
    <w:p w14:paraId="3BC8D1A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bookmark7"/>
      <w:bookmarkEnd w:id="7"/>
      <w:bookmarkStart w:id="8" w:name="bookmark6"/>
      <w:bookmarkEnd w:id="8"/>
      <w:bookmarkStart w:id="9" w:name="_Toc22663"/>
      <w:r>
        <w:t>定义</w:t>
      </w:r>
      <w:bookmarkEnd w:id="9"/>
    </w:p>
    <w:p w14:paraId="739656F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可用性：可用性是指一个组件或一种服务在设定的某个时刻或某段时间内发挥其应用功能的能力，因此，高可用性意味着服务对客户是持续可用的，宕机时间少且可迅速恢复，表示方法：</w:t>
      </w:r>
    </w:p>
    <w:p w14:paraId="3E0FB54A">
      <w:pPr>
        <w:pStyle w:val="4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用绝对数来表示，如可用时段为8：00到18：00；</w:t>
      </w:r>
    </w:p>
    <w:p w14:paraId="687D468A">
      <w:pPr>
        <w:pStyle w:val="4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用相对数来表示，如平均可用性级别最低为99%</w:t>
      </w:r>
      <w:r>
        <w:rPr>
          <w:rFonts w:hint="eastAsia"/>
          <w:lang w:eastAsia="zh-CN"/>
        </w:rPr>
        <w:t>；</w:t>
      </w:r>
    </w:p>
    <w:p w14:paraId="22A3D896">
      <w:pPr>
        <w:pStyle w:val="4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两者的结合，如在开发时间内平均可用性级别为99％。</w:t>
      </w:r>
    </w:p>
    <w:p w14:paraId="22273D6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决定因素：</w:t>
      </w:r>
    </w:p>
    <w:p w14:paraId="52A6DB85">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IT基础架构的复杂程度；</w:t>
      </w:r>
    </w:p>
    <w:p w14:paraId="75BC060A">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快捷有效地对故障作出反应的能力；</w:t>
      </w:r>
    </w:p>
    <w:p w14:paraId="64D0981C">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组件的可靠性；</w:t>
      </w:r>
    </w:p>
    <w:p w14:paraId="54223306">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运营级管理流程的质量和范围；</w:t>
      </w:r>
    </w:p>
    <w:p w14:paraId="35795FB0">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由支持部门和供应商提供的维护的质量；</w:t>
      </w:r>
    </w:p>
    <w:p w14:paraId="0149DF67">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IT基础架构的弹性。</w:t>
      </w:r>
    </w:p>
    <w:p w14:paraId="11DB3D3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bookmarkStart w:id="10" w:name="bookmark9"/>
      <w:bookmarkEnd w:id="10"/>
      <w:bookmarkStart w:id="11" w:name="bookmark8"/>
      <w:bookmarkEnd w:id="11"/>
      <w:r>
        <w:t>业务连续性</w:t>
      </w:r>
      <w:r>
        <w:rPr>
          <w:rFonts w:hint="eastAsia"/>
          <w:lang w:eastAsia="zh-CN"/>
        </w:rPr>
        <w:t>：</w:t>
      </w:r>
      <w:r>
        <w:t>是一个综合性的管理过程，它旨在识别组织所面临的潜在威胁，以及这些威胁一旦发生对业务运营可能带来的冲击，并为此建立有效的响应框架和恢复能力，以保护关键利益相关方的利益、保障核心业务功能的持续运作，并维护组织的声誉和品牌价值</w:t>
      </w:r>
      <w:r>
        <w:rPr>
          <w:rFonts w:hint="eastAsia"/>
          <w:lang w:eastAsia="zh-CN"/>
        </w:rPr>
        <w:t>。</w:t>
      </w:r>
    </w:p>
    <w:p w14:paraId="5039A46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10416"/>
      <w:r>
        <w:t>职责</w:t>
      </w:r>
      <w:bookmarkEnd w:id="12"/>
    </w:p>
    <w:p w14:paraId="68E19279">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17001"/>
      <w:r>
        <w:t>运维部</w:t>
      </w:r>
      <w:bookmarkEnd w:id="13"/>
    </w:p>
    <w:p w14:paraId="6EC5B0D0">
      <w:pPr>
        <w:pStyle w:val="4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确保运维服务在经过设计后，实际的服务级别（以可用性、可靠性、可服务性、</w:t>
      </w:r>
      <w:r>
        <w:rPr>
          <w:rFonts w:hint="eastAsia"/>
          <w:lang w:val="en-US" w:eastAsia="zh-CN"/>
        </w:rPr>
        <w:t>连续性</w:t>
      </w:r>
      <w:r>
        <w:t>等指标表示）能够符合约定的服务级别；制定《</w:t>
      </w:r>
      <w:r>
        <w:rPr>
          <w:rFonts w:hint="eastAsia"/>
          <w:lang w:val="en-US" w:eastAsia="zh-CN"/>
        </w:rPr>
        <w:t>服务</w:t>
      </w:r>
      <w:r>
        <w:t>可用性</w:t>
      </w:r>
      <w:r>
        <w:rPr>
          <w:rFonts w:hint="eastAsia"/>
          <w:lang w:val="en-US" w:eastAsia="zh-CN"/>
        </w:rPr>
        <w:t>和业务连续性</w:t>
      </w:r>
      <w:r>
        <w:t>计划》；</w:t>
      </w:r>
    </w:p>
    <w:p w14:paraId="6A573AB1">
      <w:pPr>
        <w:pStyle w:val="4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撰写可用性报告；</w:t>
      </w:r>
    </w:p>
    <w:p w14:paraId="3889D014">
      <w:pPr>
        <w:pStyle w:val="4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优化IT基础架构的可用性，从而为提供给企业的服务实施成本合理的改进</w:t>
      </w:r>
      <w:r>
        <w:rPr>
          <w:rFonts w:hint="eastAsia"/>
          <w:lang w:eastAsia="zh-CN"/>
        </w:rPr>
        <w:t>；</w:t>
      </w:r>
    </w:p>
    <w:p w14:paraId="26444DE9">
      <w:pPr>
        <w:pStyle w:val="4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实施和维护运维服务服务过程中的连续性管理，根据风险评估结果，制定并管理连续性计划</w:t>
      </w:r>
      <w:r>
        <w:rPr>
          <w:rFonts w:hint="eastAsia"/>
          <w:lang w:eastAsia="zh-CN"/>
        </w:rPr>
        <w:t>。</w:t>
      </w:r>
    </w:p>
    <w:p w14:paraId="24C802B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bookmark11"/>
      <w:bookmarkEnd w:id="14"/>
      <w:bookmarkStart w:id="15" w:name="bookmark10"/>
      <w:bookmarkEnd w:id="15"/>
      <w:bookmarkStart w:id="16" w:name="_Toc28623"/>
      <w:r>
        <w:t>流程</w:t>
      </w:r>
      <w:bookmarkEnd w:id="16"/>
    </w:p>
    <w:p w14:paraId="0A1E1A7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7734"/>
      <w:r>
        <w:rPr>
          <w:rFonts w:hint="eastAsia"/>
          <w:lang w:val="en-US" w:eastAsia="zh-CN"/>
        </w:rPr>
        <w:t>服务可用性</w:t>
      </w:r>
      <w:bookmarkEnd w:id="17"/>
    </w:p>
    <w:p w14:paraId="059B283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一旦客户确定了一项服务的可用性要求，运维管理部就可以确定一系列输入要求，以满足要求的服务级别。</w:t>
      </w:r>
    </w:p>
    <w:p w14:paraId="3D78C1A1">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bookmark13"/>
      <w:bookmarkEnd w:id="18"/>
      <w:bookmarkStart w:id="19" w:name="bookmark12"/>
      <w:bookmarkEnd w:id="19"/>
      <w:bookmarkStart w:id="20" w:name="bookmark15"/>
      <w:bookmarkEnd w:id="20"/>
      <w:bookmarkStart w:id="21" w:name="bookmark14"/>
      <w:bookmarkEnd w:id="21"/>
      <w:bookmarkStart w:id="22" w:name="_Toc19272"/>
      <w:r>
        <w:t>识别可用性需求</w:t>
      </w:r>
      <w:bookmarkEnd w:id="22"/>
    </w:p>
    <w:p w14:paraId="25C7BC3B">
      <w:pPr>
        <w:pStyle w:val="44"/>
        <w:keepNext w:val="0"/>
        <w:keepLines w:val="0"/>
        <w:pageBreakBefore w:val="0"/>
        <w:widowControl w:val="0"/>
        <w:kinsoku w:val="0"/>
        <w:wordWrap/>
        <w:overflowPunct/>
        <w:topLinePunct w:val="0"/>
        <w:autoSpaceDE w:val="0"/>
        <w:autoSpaceDN w:val="0"/>
        <w:bidi w:val="0"/>
        <w:adjustRightInd w:val="0"/>
        <w:snapToGrid w:val="0"/>
        <w:textAlignment w:val="baseline"/>
      </w:pPr>
      <w:r>
        <w:t>需求识别时间</w:t>
      </w:r>
    </w:p>
    <w:p w14:paraId="020A4301">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在签订《服务级别协议》之前进行；</w:t>
      </w:r>
    </w:p>
    <w:p w14:paraId="5AE4E113">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需考虑新的运维服务和需要对现有服务</w:t>
      </w:r>
      <w:r>
        <w:rPr>
          <w:rFonts w:hint="eastAsia"/>
          <w:lang w:val="en-US" w:eastAsia="zh-CN"/>
        </w:rPr>
        <w:t>做出</w:t>
      </w:r>
      <w:r>
        <w:t>的变更两个方面；</w:t>
      </w:r>
    </w:p>
    <w:p w14:paraId="730DD478">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应当在尽可能早的阶段确定是否能够满足这些需求以及怎样满足这些需求。</w:t>
      </w:r>
    </w:p>
    <w:p w14:paraId="5F09BAF4">
      <w:pPr>
        <w:pStyle w:val="44"/>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bookmark16"/>
      <w:bookmarkEnd w:id="23"/>
      <w:bookmarkStart w:id="24" w:name="bookmark17"/>
      <w:bookmarkEnd w:id="24"/>
      <w:bookmarkStart w:id="25" w:name="bookmark18"/>
      <w:bookmarkEnd w:id="25"/>
      <w:bookmarkStart w:id="26" w:name="bookmark19"/>
      <w:bookmarkEnd w:id="26"/>
      <w:r>
        <w:t>需求识别应考虑内容</w:t>
      </w:r>
    </w:p>
    <w:p w14:paraId="090290CA">
      <w:pPr>
        <w:keepNext w:val="0"/>
        <w:keepLines w:val="0"/>
        <w:pageBreakBefore w:val="0"/>
        <w:widowControl w:val="0"/>
        <w:kinsoku w:val="0"/>
        <w:wordWrap/>
        <w:overflowPunct/>
        <w:topLinePunct w:val="0"/>
        <w:autoSpaceDE w:val="0"/>
        <w:autoSpaceDN w:val="0"/>
        <w:bidi w:val="0"/>
        <w:adjustRightInd w:val="0"/>
        <w:snapToGrid w:val="0"/>
        <w:spacing w:line="360" w:lineRule="auto"/>
        <w:ind w:left="468" w:right="0" w:hanging="468" w:hangingChars="200"/>
        <w:jc w:val="left"/>
        <w:textAlignment w:val="baseline"/>
        <w:rPr>
          <w:rFonts w:ascii="宋体" w:hAnsi="宋体" w:eastAsia="宋体" w:cs="宋体"/>
          <w:spacing w:val="-3"/>
          <w:sz w:val="24"/>
          <w:szCs w:val="24"/>
        </w:rPr>
      </w:pPr>
      <w:r>
        <w:rPr>
          <w:rFonts w:ascii="宋体" w:hAnsi="宋体" w:eastAsia="宋体" w:cs="宋体"/>
          <w:spacing w:val="-3"/>
          <w:sz w:val="24"/>
          <w:szCs w:val="24"/>
        </w:rPr>
        <w:t>关键业务功能；</w:t>
      </w:r>
    </w:p>
    <w:p w14:paraId="1F85C2E8">
      <w:pPr>
        <w:pStyle w:val="4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约定的运维服务中断时间；</w:t>
      </w:r>
    </w:p>
    <w:p w14:paraId="4E3F4DC4">
      <w:pPr>
        <w:pStyle w:val="4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bookmarkStart w:id="27" w:name="bookmark43"/>
      <w:bookmarkEnd w:id="27"/>
      <w:r>
        <w:t>可量化的可用性需求；</w:t>
      </w:r>
    </w:p>
    <w:p w14:paraId="08107FDB">
      <w:pPr>
        <w:pStyle w:val="4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非计划的运维服务中断对业务功能所产生的可量化的影响；</w:t>
      </w:r>
    </w:p>
    <w:p w14:paraId="7733E449">
      <w:pPr>
        <w:pStyle w:val="4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客户的业务运作时段；</w:t>
      </w:r>
    </w:p>
    <w:p w14:paraId="57C069E9">
      <w:pPr>
        <w:pStyle w:val="4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有关维护窗口期的约定。</w:t>
      </w:r>
    </w:p>
    <w:p w14:paraId="4A27FE8E">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28" w:name="_Toc18643"/>
      <w:r>
        <w:t>可用性设计</w:t>
      </w:r>
      <w:bookmarkEnd w:id="28"/>
    </w:p>
    <w:p w14:paraId="54A53543">
      <w:pPr>
        <w:pStyle w:val="4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那些影响可用性标准的薄弱环节应当尽早得到确认。有助于防止额外的开发成本、计划外的后期支出、单点故障、供应商收取的额外成本以及延迟的发布等情况发生。</w:t>
      </w:r>
    </w:p>
    <w:p w14:paraId="4254E4CD">
      <w:pPr>
        <w:pStyle w:val="4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基于适当的可用性标准的一个良好的可用性设计可以使得有可能与供应商签订有效的维护合同。设计过程中采用了一些技巧，如确认单点故障的组件故障影响度分析。</w:t>
      </w:r>
    </w:p>
    <w:p w14:paraId="408EFD7B">
      <w:pPr>
        <w:pStyle w:val="4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如果可用性标准不能够实现，最好的选择是确认设计是否可以进一步改进。</w:t>
      </w:r>
    </w:p>
    <w:p w14:paraId="1D96C15D">
      <w:pPr>
        <w:pStyle w:val="4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如果可用性需求特别难以达到，则应当考虑使用其它的容错技术、其它的服务流程（事件管理、问题管理和变更管理）或额外的服务管理资源。</w:t>
      </w:r>
    </w:p>
    <w:p w14:paraId="6A13279F">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29" w:name="bookmark21"/>
      <w:bookmarkEnd w:id="29"/>
      <w:bookmarkStart w:id="30" w:name="bookmark20"/>
      <w:bookmarkEnd w:id="30"/>
      <w:bookmarkStart w:id="31" w:name="_Toc31040"/>
      <w:r>
        <w:t>恢复方案设计</w:t>
      </w:r>
      <w:bookmarkEnd w:id="31"/>
    </w:p>
    <w:p w14:paraId="0649B624">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确保运维服务故障发生后，运维服务能在最短的时间内得以恢复以使正常的业务运营继续进行；</w:t>
      </w:r>
    </w:p>
    <w:p w14:paraId="54217905">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构建一个对故障具有高度弹性的IT基础设施即使不是不太可能，也可能会造成成本过于高昂；因此，在给定的成本约束下，IT基础设施满足可用性需求的能力常常取决于可以对运维服务故障进行及时有效恢复的能力。</w:t>
      </w:r>
    </w:p>
    <w:p w14:paraId="1E74D688">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设计恢复方案考虑因素：</w:t>
      </w:r>
    </w:p>
    <w:p w14:paraId="36D5DFE6">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确保业务与技术恢复流程是正确的；</w:t>
      </w:r>
    </w:p>
    <w:p w14:paraId="7E5C168B">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清晰定义负责主要事件的员工的职责。</w:t>
      </w:r>
    </w:p>
    <w:p w14:paraId="5E556F9B">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安全性问题</w:t>
      </w:r>
    </w:p>
    <w:p w14:paraId="1A6BF110">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安全性和可靠性是密切相关的，一个较差的信息安全设计会直接影响到服务的可用性。</w:t>
      </w:r>
    </w:p>
    <w:p w14:paraId="31DDAFF1">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bookmarkStart w:id="32" w:name="bookmark44"/>
      <w:bookmarkEnd w:id="32"/>
      <w:r>
        <w:t>高可用性要靠有效的信息安全来支撑。在规划阶段，应该考虑相关的安全问题，对安全问题可能给服务供应带来的影响也应当加以分析。</w:t>
      </w:r>
    </w:p>
    <w:p w14:paraId="17B19A1E">
      <w:pPr>
        <w:pStyle w:val="43"/>
        <w:keepNext w:val="0"/>
        <w:keepLines w:val="0"/>
        <w:pageBreakBefore w:val="0"/>
        <w:widowControl w:val="0"/>
        <w:kinsoku w:val="0"/>
        <w:wordWrap/>
        <w:overflowPunct/>
        <w:topLinePunct w:val="0"/>
        <w:autoSpaceDE w:val="0"/>
        <w:autoSpaceDN w:val="0"/>
        <w:bidi w:val="0"/>
        <w:adjustRightInd w:val="0"/>
        <w:snapToGrid w:val="0"/>
        <w:textAlignment w:val="baseline"/>
      </w:pPr>
      <w:r>
        <w:t>与安全问题相关的活动主要有：</w:t>
      </w:r>
    </w:p>
    <w:p w14:paraId="3D5E6938">
      <w:pPr>
        <w:pStyle w:val="4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确定谁将有权访问安全区域；</w:t>
      </w:r>
    </w:p>
    <w:p w14:paraId="42685026">
      <w:pPr>
        <w:pStyle w:val="4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确定需要作出哪项关键授权。</w:t>
      </w:r>
    </w:p>
    <w:p w14:paraId="754BA09C">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33" w:name="bookmark22"/>
      <w:bookmarkEnd w:id="33"/>
      <w:bookmarkStart w:id="34" w:name="bookmark23"/>
      <w:bookmarkEnd w:id="34"/>
      <w:bookmarkStart w:id="35" w:name="_Toc17468"/>
      <w:r>
        <w:t>维护管理</w:t>
      </w:r>
      <w:bookmarkEnd w:id="35"/>
    </w:p>
    <w:p w14:paraId="13BE927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IT组件都必须按照计划进行维护活动。有计划的维护活动可以使IT支持部门能够：实施预防性维护以避免故障的发生；</w:t>
      </w:r>
    </w:p>
    <w:p w14:paraId="0709035B">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及时进行软件和硬件升级以提供新的功能和额外的服务能力；</w:t>
      </w:r>
    </w:p>
    <w:p w14:paraId="13606B85">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根据业务需求对IT基础设施实施必要的变更；</w:t>
      </w:r>
    </w:p>
    <w:p w14:paraId="684B6AD0">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激活IT基础设施中新增的功能</w:t>
      </w:r>
      <w:r>
        <w:rPr>
          <w:rFonts w:hint="eastAsia"/>
          <w:lang w:eastAsia="zh-CN"/>
        </w:rPr>
        <w:t>；</w:t>
      </w:r>
    </w:p>
    <w:p w14:paraId="052B251A">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计划性维护活动涉及的首要问题是计划停机时间</w:t>
      </w:r>
      <w:r>
        <w:rPr>
          <w:rFonts w:hint="eastAsia"/>
          <w:lang w:eastAsia="zh-CN"/>
        </w:rPr>
        <w:t>；</w:t>
      </w:r>
    </w:p>
    <w:p w14:paraId="0C80F2FA">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在确定新增或改进后的运维服务的可用性需求时，需要明确计划性维护所需的停机时间以及由此导致的收入方面的损失</w:t>
      </w:r>
      <w:r>
        <w:rPr>
          <w:rFonts w:hint="eastAsia"/>
          <w:lang w:eastAsia="zh-CN"/>
        </w:rPr>
        <w:t>；</w:t>
      </w:r>
    </w:p>
    <w:p w14:paraId="389D54E8">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在运维服务1天24小时或一周7天都必须正常运作的情况下，可用性管理就必须在权衡计划停机时间需求和相应的业务损失之后确定最优的维护方案。</w:t>
      </w:r>
    </w:p>
    <w:p w14:paraId="319AC056">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36" w:name="bookmark24"/>
      <w:bookmarkEnd w:id="36"/>
      <w:bookmarkStart w:id="37" w:name="bookmark25"/>
      <w:bookmarkEnd w:id="37"/>
      <w:bookmarkStart w:id="38" w:name="_Toc2096"/>
      <w:r>
        <w:t>制定《可用性计划》</w:t>
      </w:r>
      <w:bookmarkEnd w:id="38"/>
    </w:p>
    <w:p w14:paraId="5DF229AD">
      <w:pPr>
        <w:pStyle w:val="4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pPr>
      <w:r>
        <w:t>为有效地实施有关可用性管理活动以改进IT组件及服务的可用性，必须制定明确的《可用性计划》。</w:t>
      </w:r>
    </w:p>
    <w:p w14:paraId="7E8A0AE1">
      <w:pPr>
        <w:pStyle w:val="4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pPr>
      <w:r>
        <w:t>《可用性计划》不仅需要关注技术方面的问题，还应对可用性管理的人员、流程、工具和技巧等方面进行考虑。在可用性管理的初始阶段，可用性计划与实施通常是紧密结合进行的，但这两者却又是不同的，不能将它们混淆。</w:t>
      </w:r>
    </w:p>
    <w:p w14:paraId="6F0F4D9A">
      <w:pPr>
        <w:pStyle w:val="4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pPr>
      <w:r>
        <w:t>《可用性计划》的计划周期应当覆盖协议约定时长。</w:t>
      </w:r>
    </w:p>
    <w:p w14:paraId="3AFE8681">
      <w:pPr>
        <w:pStyle w:val="4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pPr>
      <w:r>
        <w:t>《可用性计划》应当和《能力计划》和财务预算的周期保持一致。</w:t>
      </w:r>
    </w:p>
    <w:p w14:paraId="01EDE84F">
      <w:pPr>
        <w:keepNext w:val="0"/>
        <w:keepLines w:val="0"/>
        <w:pageBreakBefore w:val="0"/>
        <w:widowControl w:val="0"/>
        <w:kinsoku w:val="0"/>
        <w:wordWrap/>
        <w:overflowPunct/>
        <w:topLinePunct w:val="0"/>
        <w:autoSpaceDE w:val="0"/>
        <w:autoSpaceDN w:val="0"/>
        <w:bidi w:val="0"/>
        <w:adjustRightInd w:val="0"/>
        <w:snapToGrid w:val="0"/>
        <w:spacing w:line="360" w:lineRule="auto"/>
        <w:ind w:left="468" w:right="0" w:hanging="468" w:hangingChars="200"/>
        <w:jc w:val="left"/>
        <w:textAlignment w:val="baseline"/>
        <w:rPr>
          <w:rFonts w:ascii="宋体" w:hAnsi="宋体" w:eastAsia="宋体" w:cs="宋体"/>
          <w:spacing w:val="-3"/>
          <w:sz w:val="24"/>
          <w:szCs w:val="24"/>
        </w:rPr>
      </w:pPr>
      <w:r>
        <w:rPr>
          <w:rFonts w:ascii="宋体" w:hAnsi="宋体" w:eastAsia="宋体" w:cs="宋体"/>
          <w:spacing w:val="-3"/>
          <w:sz w:val="24"/>
          <w:szCs w:val="24"/>
        </w:rPr>
        <w:t>《可用性计划》一般包括以下部分：</w:t>
      </w:r>
    </w:p>
    <w:p w14:paraId="23B1776B">
      <w:pPr>
        <w:pStyle w:val="4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pPr>
      <w:r>
        <w:t>对目前状况可用性的评估；</w:t>
      </w:r>
    </w:p>
    <w:p w14:paraId="180A5F2E">
      <w:pPr>
        <w:pStyle w:val="4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pPr>
      <w:r>
        <w:t>改善现有服务活动的步骤；</w:t>
      </w:r>
    </w:p>
    <w:p w14:paraId="077D5A23">
      <w:pPr>
        <w:pStyle w:val="4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pPr>
      <w:r>
        <w:t>实施新服务与维护的一系列计划。</w:t>
      </w:r>
    </w:p>
    <w:p w14:paraId="77F0A861">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39" w:name="bookmark26"/>
      <w:bookmarkEnd w:id="39"/>
      <w:bookmarkStart w:id="40" w:name="bookmark27"/>
      <w:bookmarkEnd w:id="40"/>
      <w:r>
        <w:t xml:space="preserve"> </w:t>
      </w:r>
      <w:bookmarkStart w:id="41" w:name="_Toc24714"/>
      <w:r>
        <w:t>监控、评价和报告</w:t>
      </w:r>
      <w:bookmarkEnd w:id="41"/>
    </w:p>
    <w:p w14:paraId="33F48B94">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pPr>
      <w:r>
        <w:t>评价和报告是重要的可用性管理活动，它们为核实服务协议，解决问题和制定改进建议提供了基础。</w:t>
      </w:r>
    </w:p>
    <w:p w14:paraId="73BE5494">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pPr>
      <w:r>
        <w:t>可用性报告在每次服务报告中作相应说明，其中可以包括下列指标：</w:t>
      </w:r>
    </w:p>
    <w:p w14:paraId="4E96DBC0">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pPr>
      <w:r>
        <w:t>以平均修复时间（MTTR）、平均无故障时间（MTBF）和平均系统事件间隔时间表示的可用率（或不可用率）；</w:t>
      </w:r>
    </w:p>
    <w:p w14:paraId="16654E14">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总体正常运作时间和宕机时间；</w:t>
      </w:r>
    </w:p>
    <w:p w14:paraId="58C7EB78">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故障的次数；</w:t>
      </w:r>
    </w:p>
    <w:p w14:paraId="30164BA5">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有关故障可能实际或潜在地导致比约定数更高的不可用率的额外信息。</w:t>
      </w:r>
    </w:p>
    <w:p w14:paraId="7031D2A3">
      <w:pPr>
        <w:pStyle w:val="32"/>
        <w:keepNext w:val="0"/>
        <w:keepLines w:val="0"/>
        <w:pageBreakBefore w:val="0"/>
        <w:widowControl w:val="0"/>
        <w:numPr>
          <w:ilvl w:val="1"/>
          <w:numId w:val="8"/>
        </w:numPr>
        <w:kinsoku w:val="0"/>
        <w:wordWrap/>
        <w:overflowPunct/>
        <w:topLinePunct w:val="0"/>
        <w:autoSpaceDE w:val="0"/>
        <w:autoSpaceDN w:val="0"/>
        <w:bidi w:val="0"/>
        <w:adjustRightInd w:val="0"/>
        <w:snapToGrid w:val="0"/>
        <w:textAlignment w:val="baseline"/>
        <w:rPr>
          <w:rFonts w:hint="default"/>
          <w:lang w:val="en-US" w:eastAsia="zh-CN"/>
        </w:rPr>
      </w:pPr>
      <w:bookmarkStart w:id="42" w:name="_Toc29189"/>
      <w:r>
        <w:rPr>
          <w:rFonts w:hint="eastAsia"/>
          <w:lang w:val="en-US" w:eastAsia="zh-CN"/>
        </w:rPr>
        <w:t>业务连续性</w:t>
      </w:r>
      <w:bookmarkEnd w:id="42"/>
    </w:p>
    <w:p w14:paraId="6CF9E589">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43" w:name="_Toc6255"/>
      <w:r>
        <w:t>初始化阶段</w:t>
      </w:r>
      <w:bookmarkEnd w:id="43"/>
    </w:p>
    <w:p w14:paraId="60FEECE7">
      <w:pPr>
        <w:pStyle w:val="44"/>
        <w:keepNext w:val="0"/>
        <w:keepLines w:val="0"/>
        <w:pageBreakBefore w:val="0"/>
        <w:widowControl w:val="0"/>
        <w:numPr>
          <w:ilvl w:val="3"/>
          <w:numId w:val="8"/>
        </w:numPr>
        <w:kinsoku w:val="0"/>
        <w:wordWrap/>
        <w:overflowPunct/>
        <w:topLinePunct w:val="0"/>
        <w:autoSpaceDE w:val="0"/>
        <w:autoSpaceDN w:val="0"/>
        <w:bidi w:val="0"/>
        <w:adjustRightInd w:val="0"/>
        <w:snapToGrid w:val="0"/>
        <w:textAlignment w:val="baseline"/>
      </w:pPr>
      <w:bookmarkStart w:id="44" w:name="bookmark47"/>
      <w:bookmarkEnd w:id="44"/>
      <w:r>
        <w:t>定义组织策略</w:t>
      </w:r>
    </w:p>
    <w:p w14:paraId="2751DEC8">
      <w:pPr>
        <w:pStyle w:val="43"/>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pPr>
      <w:r>
        <w:t>有关运维服务连续性管理的政策应当尽早地制定并充分传达给组织内所有的相关人员，从而使他们意识到实施运维服务连续性管理的需求；同时管理层也需要明确表达他们的承诺。</w:t>
      </w:r>
    </w:p>
    <w:p w14:paraId="6A13A1DB">
      <w:pPr>
        <w:pStyle w:val="43"/>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eastAsia"/>
          <w:lang w:eastAsia="zh-CN"/>
        </w:rPr>
      </w:pPr>
      <w:r>
        <w:t>运用风险评估方法来估计运维服务风险发生的概率，为了管理这些风险，组织需要制定风险预防和风险恢复方案，这些措施应基于质量标准；安全管理指南和通用的组织策略</w:t>
      </w:r>
      <w:r>
        <w:rPr>
          <w:rFonts w:hint="eastAsia"/>
          <w:lang w:eastAsia="zh-CN"/>
        </w:rPr>
        <w:t>。</w:t>
      </w:r>
    </w:p>
    <w:p w14:paraId="3E7AC856">
      <w:pPr>
        <w:pStyle w:val="43"/>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pPr>
      <w:r>
        <w:t>确定适当的管理架构（清楚划分职责）和应对灾难的流程。</w:t>
      </w:r>
    </w:p>
    <w:p w14:paraId="4B2C2DB5">
      <w:pPr>
        <w:pStyle w:val="44"/>
        <w:keepNext w:val="0"/>
        <w:keepLines w:val="0"/>
        <w:pageBreakBefore w:val="0"/>
        <w:widowControl w:val="0"/>
        <w:numPr>
          <w:ilvl w:val="3"/>
          <w:numId w:val="8"/>
        </w:numPr>
        <w:kinsoku w:val="0"/>
        <w:wordWrap/>
        <w:overflowPunct/>
        <w:topLinePunct w:val="0"/>
        <w:autoSpaceDE w:val="0"/>
        <w:autoSpaceDN w:val="0"/>
        <w:bidi w:val="0"/>
        <w:adjustRightInd w:val="0"/>
        <w:snapToGrid w:val="0"/>
        <w:textAlignment w:val="baseline"/>
      </w:pPr>
      <w:r>
        <w:t>分配资源</w:t>
      </w:r>
    </w:p>
    <w:p w14:paraId="330CF3F0">
      <w:pPr>
        <w:pStyle w:val="43"/>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pPr>
      <w:r>
        <w:t>需要投入人力和物力建立一个运维服务连续性管理环境。</w:t>
      </w:r>
    </w:p>
    <w:p w14:paraId="5206792F">
      <w:pPr>
        <w:pStyle w:val="43"/>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pPr>
      <w:r>
        <w:t>组织需要对员工进行培训来保证员工有能力实施风险预防和灾难恢复措施。</w:t>
      </w:r>
    </w:p>
    <w:p w14:paraId="56E4F2B3">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45" w:name="_Toc21847"/>
      <w:r>
        <w:t>分析规划阶段</w:t>
      </w:r>
      <w:bookmarkEnd w:id="45"/>
    </w:p>
    <w:p w14:paraId="52BFE518">
      <w:pPr>
        <w:pStyle w:val="44"/>
        <w:keepNext w:val="0"/>
        <w:keepLines w:val="0"/>
        <w:pageBreakBefore w:val="0"/>
        <w:widowControl w:val="0"/>
        <w:numPr>
          <w:ilvl w:val="3"/>
          <w:numId w:val="8"/>
        </w:numPr>
        <w:kinsoku w:val="0"/>
        <w:wordWrap/>
        <w:overflowPunct/>
        <w:topLinePunct w:val="0"/>
        <w:autoSpaceDE w:val="0"/>
        <w:autoSpaceDN w:val="0"/>
        <w:bidi w:val="0"/>
        <w:adjustRightInd w:val="0"/>
        <w:snapToGrid w:val="0"/>
        <w:textAlignment w:val="baseline"/>
      </w:pPr>
      <w:bookmarkStart w:id="46" w:name="bookmark48"/>
      <w:bookmarkEnd w:id="46"/>
      <w:r>
        <w:t>业务影响分析</w:t>
      </w:r>
    </w:p>
    <w:p w14:paraId="5B999AFE">
      <w:pPr>
        <w:pStyle w:val="43"/>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pPr>
      <w:r>
        <w:t>在有些情况下，服务在灾难发生后仍可以继续运作一段时间，因而其重</w:t>
      </w:r>
      <w:bookmarkStart w:id="47" w:name="bookmark49"/>
      <w:bookmarkEnd w:id="47"/>
      <w:r>
        <w:t>点是恢复服务；而在其它情况下，没有运维服务的支持业务将完全不能运作，因而其重点将是预防</w:t>
      </w:r>
      <w:r>
        <w:rPr>
          <w:rFonts w:hint="eastAsia"/>
          <w:lang w:eastAsia="zh-CN"/>
        </w:rPr>
        <w:t>；</w:t>
      </w:r>
    </w:p>
    <w:p w14:paraId="0E993410">
      <w:pPr>
        <w:pStyle w:val="43"/>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pPr>
      <w:r>
        <w:t>服务分析：对某些不重要的服务而言，可以规定在灾难发生时使用能力和可用性有限的应急服务。但需要注意的是，即便是在灾难恢复期间，服务级别也只有在与客户达成协议之后才能进行修改。对于关键性服务来说，必须在进行预防和制定恢复方案之间选择某种平衡</w:t>
      </w:r>
      <w:r>
        <w:rPr>
          <w:rFonts w:hint="eastAsia"/>
          <w:lang w:eastAsia="zh-CN"/>
        </w:rPr>
        <w:t>；</w:t>
      </w:r>
    </w:p>
    <w:p w14:paraId="29FF996B">
      <w:pPr>
        <w:pStyle w:val="43"/>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pPr>
      <w:r>
        <w:t>基础架构分析：在完成服务分析之后，需要评估服务和 IT 资源之间的依赖关系，灾难恢复服务所需要的额外资源。</w:t>
      </w:r>
    </w:p>
    <w:p w14:paraId="79DB5ED8">
      <w:pPr>
        <w:pStyle w:val="44"/>
        <w:keepNext w:val="0"/>
        <w:keepLines w:val="0"/>
        <w:pageBreakBefore w:val="0"/>
        <w:widowControl w:val="0"/>
        <w:numPr>
          <w:ilvl w:val="3"/>
          <w:numId w:val="8"/>
        </w:numPr>
        <w:kinsoku w:val="0"/>
        <w:wordWrap/>
        <w:overflowPunct/>
        <w:topLinePunct w:val="0"/>
        <w:autoSpaceDE w:val="0"/>
        <w:autoSpaceDN w:val="0"/>
        <w:bidi w:val="0"/>
        <w:adjustRightInd w:val="0"/>
        <w:snapToGrid w:val="0"/>
        <w:textAlignment w:val="baseline"/>
      </w:pPr>
      <w:r>
        <w:t>风险评估</w:t>
      </w:r>
    </w:p>
    <w:p w14:paraId="42B30D7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通过确认业务中存在的威胁和薄弱环节以及相关的预防措施可以为管理层提供有价值的信息。</w:t>
      </w:r>
    </w:p>
    <w:p w14:paraId="28C499C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优先考虑使用各种预防措施。如果所有这类预防措施全都用上了，则有必要进一步确定是否还存在需要制定应急计划的残余风险。</w:t>
      </w:r>
    </w:p>
    <w:p w14:paraId="7E08DA68">
      <w:pPr>
        <w:pStyle w:val="43"/>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pPr>
      <w:r>
        <w:t>风险分析</w:t>
      </w:r>
    </w:p>
    <w:p w14:paraId="51185954">
      <w:pPr>
        <w:pStyle w:val="43"/>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必要确认相关的IT组件（资产），包括建筑物、系统和数据等；</w:t>
      </w:r>
    </w:p>
    <w:p w14:paraId="5925B0B2">
      <w:pPr>
        <w:pStyle w:val="43"/>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分析这些资产所面临的威胁以及这些威胁之间的相关程度，并估计灾难发生的可能性；</w:t>
      </w:r>
    </w:p>
    <w:p w14:paraId="3A3880FC">
      <w:pPr>
        <w:pStyle w:val="43"/>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要确认这些资产的薄弱环节，并进行分类；</w:t>
      </w:r>
    </w:p>
    <w:p w14:paraId="7CA51C5C">
      <w:pPr>
        <w:pStyle w:val="43"/>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根据各IT组件的具体情况评估威胁和薄弱环节，从而评估风险的级别。</w:t>
      </w:r>
    </w:p>
    <w:p w14:paraId="016AB709">
      <w:pPr>
        <w:keepNext w:val="0"/>
        <w:keepLines w:val="0"/>
        <w:pageBreakBefore w:val="0"/>
        <w:widowControl w:val="0"/>
        <w:numPr>
          <w:ilvl w:val="0"/>
          <w:numId w:val="1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3"/>
          <w:sz w:val="24"/>
          <w:szCs w:val="24"/>
        </w:rPr>
        <w:t>恢复方案</w:t>
      </w:r>
    </w:p>
    <w:p w14:paraId="5BBB6F36">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不采取任何措施，此方案应用于无需运维服务能独立运营的部门。</w:t>
      </w:r>
    </w:p>
    <w:p w14:paraId="46B49B0D">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回复至手工（基于纸质的）系统-这种方案对于那些对业务有关键性影响的服务来说是不可接受的，但对于那些不甚重要的、小的服务仍然是可行的。</w:t>
      </w:r>
    </w:p>
    <w:p w14:paraId="752EDE02">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bookmarkStart w:id="48" w:name="bookmark50"/>
      <w:bookmarkEnd w:id="48"/>
      <w:r>
        <w:t>互助协议安排-当两个组织具有类似的硬件并同意在灾难发生时互相提供相关设施时可以使用这种方案。</w:t>
      </w:r>
    </w:p>
    <w:p w14:paraId="607F9B4B">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逐渐恢复-这种方案使用于那些在一段时间（如72小时）内没有运维服务也能运作的企业。</w:t>
      </w:r>
    </w:p>
    <w:p w14:paraId="1F8BA2AB">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中期恢复-这种方案可以使服务在接入一个类似的运作环境后经历一段短暂的过渡期（24-72 小时）便可以继续正常运作。</w:t>
      </w:r>
    </w:p>
    <w:p w14:paraId="2D26DC5E">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内部式恢复（相互支撑）-如果企业有多个办公场所或可用于生产的专门的测试环境，可以采用这种内部式恢复方案。</w:t>
      </w:r>
    </w:p>
    <w:p w14:paraId="497B0829">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外部式恢复-由第三方恢复组织提供商业服务，这些组织通常是为多个客户服务的</w:t>
      </w:r>
    </w:p>
    <w:p w14:paraId="454C8185">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移动式恢复-这种方案所需的基础设施一般都是用一辆拖车装载着。</w:t>
      </w:r>
    </w:p>
    <w:p w14:paraId="2CB1741D">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立即恢复-这种方案提供了即时的或非常快速的恢复服务，如在不超过 24 小时之内</w:t>
      </w:r>
    </w:p>
    <w:p w14:paraId="2C0B0EDE">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针对分析结果应形成书面性的建议内容，汇总到《业务影响分析报告》中。</w:t>
      </w:r>
    </w:p>
    <w:p w14:paraId="3DC6E29B">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49" w:name="_Toc3097"/>
      <w:r>
        <w:t>实施阶段</w:t>
      </w:r>
      <w:bookmarkEnd w:id="49"/>
    </w:p>
    <w:p w14:paraId="76241A11">
      <w:pPr>
        <w:pStyle w:val="43"/>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pPr>
      <w:bookmarkStart w:id="50" w:name="bookmark51"/>
      <w:bookmarkEnd w:id="50"/>
      <w:r>
        <w:t>实施风险降低措施：故障发生直接影响服务的可用性，因此实施风险降低措施必须结合可用性管理进行。</w:t>
      </w:r>
    </w:p>
    <w:p w14:paraId="39ED228C">
      <w:pPr>
        <w:pStyle w:val="43"/>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pPr>
      <w:r>
        <w:t>实施备用方案：恢复方案的实施有赖于一系列的备用方案，包括场所、系统及供应商方面。对于备用方案需要进行测试、操作培训及维护以确保需要时可以立即启动备用方案。</w:t>
      </w:r>
    </w:p>
    <w:p w14:paraId="650317E7">
      <w:pPr>
        <w:pStyle w:val="43"/>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pPr>
      <w:r>
        <w:t>制定《连续性管理计划》，保证实施人员可以直接按照流程文档实施恢复方案：确保可以持续地提供有关关键系统、服务和设施的必要信息或在可接受的时段内能够恢复此类信息。</w:t>
      </w:r>
    </w:p>
    <w:p w14:paraId="755DB95D">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51" w:name="_Toc26000"/>
      <w:r>
        <w:t>运作阶段</w:t>
      </w:r>
      <w:bookmarkEnd w:id="51"/>
    </w:p>
    <w:p w14:paraId="22D2AD94">
      <w:pPr>
        <w:pStyle w:val="44"/>
        <w:keepNext w:val="0"/>
        <w:keepLines w:val="0"/>
        <w:pageBreakBefore w:val="0"/>
        <w:widowControl w:val="0"/>
        <w:numPr>
          <w:ilvl w:val="3"/>
          <w:numId w:val="8"/>
        </w:numPr>
        <w:kinsoku w:val="0"/>
        <w:wordWrap/>
        <w:overflowPunct/>
        <w:topLinePunct w:val="0"/>
        <w:autoSpaceDE w:val="0"/>
        <w:autoSpaceDN w:val="0"/>
        <w:bidi w:val="0"/>
        <w:adjustRightInd w:val="0"/>
        <w:snapToGrid w:val="0"/>
        <w:textAlignment w:val="baseline"/>
      </w:pPr>
      <w:bookmarkStart w:id="52" w:name="bookmark52"/>
      <w:bookmarkEnd w:id="52"/>
      <w:r>
        <w:t>连续性计划测试</w:t>
      </w:r>
    </w:p>
    <w:p w14:paraId="6412917E">
      <w:pPr>
        <w:pStyle w:val="43"/>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leftChars="0" w:hanging="425" w:firstLineChars="0"/>
        <w:textAlignment w:val="baseline"/>
      </w:pPr>
      <w:r>
        <w:t>运维</w:t>
      </w:r>
      <w:r>
        <w:rPr>
          <w:rFonts w:hint="eastAsia"/>
          <w:lang w:val="en-US" w:eastAsia="zh-CN"/>
        </w:rPr>
        <w:t>项目</w:t>
      </w:r>
      <w:r>
        <w:t>经理安排组织连续性计划范围内的人员编制测试计划并进行测试，测试完毕结果归并到《连续性管理计划测试报告》。</w:t>
      </w:r>
    </w:p>
    <w:p w14:paraId="7F94524E">
      <w:pPr>
        <w:pStyle w:val="43"/>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leftChars="0" w:hanging="425" w:firstLineChars="0"/>
        <w:textAlignment w:val="baseline"/>
      </w:pPr>
      <w:r>
        <w:t>根据服务需要，运维管理部经理会同公司领导对连续性管理计划测试结果进行评审，形成《连续性管理计划评审报告》，记录测试存在的问题，必要时修改《连续性管理计划》</w:t>
      </w:r>
      <w:r>
        <w:rPr>
          <w:rFonts w:hint="eastAsia"/>
          <w:lang w:eastAsia="zh-CN"/>
        </w:rPr>
        <w:t>。</w:t>
      </w:r>
    </w:p>
    <w:p w14:paraId="0BC4A02C">
      <w:pPr>
        <w:pStyle w:val="44"/>
        <w:keepNext w:val="0"/>
        <w:keepLines w:val="0"/>
        <w:pageBreakBefore w:val="0"/>
        <w:widowControl w:val="0"/>
        <w:numPr>
          <w:ilvl w:val="3"/>
          <w:numId w:val="8"/>
        </w:numPr>
        <w:kinsoku w:val="0"/>
        <w:wordWrap/>
        <w:overflowPunct/>
        <w:topLinePunct w:val="0"/>
        <w:autoSpaceDE w:val="0"/>
        <w:autoSpaceDN w:val="0"/>
        <w:bidi w:val="0"/>
        <w:adjustRightInd w:val="0"/>
        <w:snapToGrid w:val="0"/>
        <w:textAlignment w:val="baseline"/>
      </w:pPr>
      <w:r>
        <w:t>沟通和培训</w:t>
      </w:r>
    </w:p>
    <w:p w14:paraId="738DEB36">
      <w:pPr>
        <w:pStyle w:val="43"/>
        <w:keepNext w:val="0"/>
        <w:keepLines w:val="0"/>
        <w:pageBreakBefore w:val="0"/>
        <w:widowControl w:val="0"/>
        <w:numPr>
          <w:ilvl w:val="0"/>
          <w:numId w:val="24"/>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val="en-US" w:eastAsia="zh-CN"/>
        </w:rPr>
        <w:t>运维</w:t>
      </w:r>
      <w:r>
        <w:t>项目经理组织有关人员进行沟通或培训，确保有关人员知道自己的职责和任务。</w:t>
      </w:r>
    </w:p>
    <w:p w14:paraId="66F1F494">
      <w:pPr>
        <w:pStyle w:val="43"/>
        <w:keepNext w:val="0"/>
        <w:keepLines w:val="0"/>
        <w:pageBreakBefore w:val="0"/>
        <w:widowControl w:val="0"/>
        <w:numPr>
          <w:ilvl w:val="0"/>
          <w:numId w:val="24"/>
        </w:numPr>
        <w:kinsoku w:val="0"/>
        <w:wordWrap/>
        <w:overflowPunct/>
        <w:topLinePunct w:val="0"/>
        <w:autoSpaceDE w:val="0"/>
        <w:autoSpaceDN w:val="0"/>
        <w:bidi w:val="0"/>
        <w:adjustRightInd w:val="0"/>
        <w:snapToGrid w:val="0"/>
        <w:ind w:left="425" w:leftChars="0" w:hanging="425" w:firstLineChars="0"/>
        <w:textAlignment w:val="baseline"/>
      </w:pPr>
      <w:r>
        <w:t>必要时</w:t>
      </w:r>
      <w:r>
        <w:rPr>
          <w:rFonts w:hint="eastAsia"/>
          <w:lang w:val="en-US" w:eastAsia="zh-CN"/>
        </w:rPr>
        <w:t>运维</w:t>
      </w:r>
      <w:r>
        <w:t>项目经理对培训的效果进行评价。</w:t>
      </w:r>
    </w:p>
    <w:p w14:paraId="26289665">
      <w:pPr>
        <w:pStyle w:val="44"/>
        <w:keepNext w:val="0"/>
        <w:keepLines w:val="0"/>
        <w:pageBreakBefore w:val="0"/>
        <w:widowControl w:val="0"/>
        <w:numPr>
          <w:ilvl w:val="3"/>
          <w:numId w:val="8"/>
        </w:numPr>
        <w:kinsoku w:val="0"/>
        <w:wordWrap/>
        <w:overflowPunct/>
        <w:topLinePunct w:val="0"/>
        <w:autoSpaceDE w:val="0"/>
        <w:autoSpaceDN w:val="0"/>
        <w:bidi w:val="0"/>
        <w:adjustRightInd w:val="0"/>
        <w:snapToGrid w:val="0"/>
        <w:textAlignment w:val="baseline"/>
      </w:pPr>
      <w:r>
        <w:t>连续性计划维护</w:t>
      </w:r>
    </w:p>
    <w:p w14:paraId="062EB519">
      <w:pPr>
        <w:pStyle w:val="43"/>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pPr>
      <w:r>
        <w:t>对一线人员进行连续性方面的意识培养，使他们将维护连续性作为常规的工作。</w:t>
      </w:r>
    </w:p>
    <w:p w14:paraId="2205D49C">
      <w:pPr>
        <w:pStyle w:val="43"/>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pPr>
      <w:r>
        <w:t>对连续性流程进行定期评审以确保经常性的更新。</w:t>
      </w:r>
    </w:p>
    <w:p w14:paraId="046EF783">
      <w:pPr>
        <w:pStyle w:val="43"/>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pPr>
      <w:r>
        <w:t>每年至少应进行必要的连续性计划测试。</w:t>
      </w:r>
    </w:p>
    <w:p w14:paraId="19AA236D">
      <w:pPr>
        <w:pStyle w:val="43"/>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pPr>
      <w:r>
        <w:t>评审和测试以后需要进行日常的变更管理，因此也需要连续性得到及时更新。</w:t>
      </w:r>
    </w:p>
    <w:p w14:paraId="1681238D">
      <w:pPr>
        <w:pStyle w:val="43"/>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pPr>
      <w:r>
        <w:t>进行包括维护人员和销售人员的培训，以保证在必要的时候他们有能力完成业务恢复工作</w:t>
      </w:r>
    </w:p>
    <w:p w14:paraId="77768518">
      <w:pPr>
        <w:pStyle w:val="43"/>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pPr>
      <w:r>
        <w:t>保证连续性生命周期的最后程序得到市场中心经理和公司领导的确认，以保证连续性流程的运营流程得到顺利的执行。</w:t>
      </w:r>
    </w:p>
    <w:p w14:paraId="4B70D988">
      <w:pPr>
        <w:pStyle w:val="43"/>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t>公司定期对连续性计划所需得到人员、技术及基础设施进行检查、评价，以确保连续性计划的有效性。</w:t>
      </w:r>
    </w:p>
    <w:p w14:paraId="7F0B3322">
      <w:pPr>
        <w:pStyle w:val="3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bookmarkStart w:id="53" w:name="bookmark31"/>
      <w:bookmarkEnd w:id="53"/>
      <w:bookmarkStart w:id="54" w:name="bookmark29"/>
      <w:bookmarkEnd w:id="54"/>
      <w:bookmarkStart w:id="55" w:name="bookmark30"/>
      <w:bookmarkEnd w:id="55"/>
      <w:bookmarkStart w:id="56" w:name="bookmark28"/>
      <w:bookmarkEnd w:id="56"/>
      <w:bookmarkStart w:id="57" w:name="_Toc19812"/>
      <w:r>
        <w:t>与其他流程的关系</w:t>
      </w:r>
      <w:bookmarkEnd w:id="57"/>
    </w:p>
    <w:p w14:paraId="153D2DF8">
      <w:pPr>
        <w:pStyle w:val="32"/>
        <w:keepNext w:val="0"/>
        <w:keepLines w:val="0"/>
        <w:pageBreakBefore w:val="0"/>
        <w:widowControl w:val="0"/>
        <w:numPr>
          <w:ilvl w:val="1"/>
          <w:numId w:val="8"/>
        </w:numPr>
        <w:kinsoku w:val="0"/>
        <w:wordWrap/>
        <w:overflowPunct/>
        <w:topLinePunct w:val="0"/>
        <w:autoSpaceDE w:val="0"/>
        <w:autoSpaceDN w:val="0"/>
        <w:bidi w:val="0"/>
        <w:adjustRightInd w:val="0"/>
        <w:snapToGrid w:val="0"/>
        <w:textAlignment w:val="baseline"/>
      </w:pPr>
      <w:bookmarkStart w:id="58" w:name="_Toc12523"/>
      <w:r>
        <w:t>与事件管理流程的关系</w:t>
      </w:r>
      <w:bookmarkEnd w:id="58"/>
    </w:p>
    <w:p w14:paraId="2767ACA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可用性</w:t>
      </w:r>
      <w:r>
        <w:rPr>
          <w:rFonts w:hint="eastAsia"/>
          <w:lang w:eastAsia="zh-CN"/>
        </w:rPr>
        <w:t>、</w:t>
      </w:r>
      <w:r>
        <w:rPr>
          <w:rFonts w:hint="eastAsia"/>
          <w:lang w:val="en-US" w:eastAsia="zh-CN"/>
        </w:rPr>
        <w:t>连续性</w:t>
      </w:r>
      <w:r>
        <w:t>中断的发生，均应在事件管理流程中得到记录。</w:t>
      </w:r>
      <w:bookmarkStart w:id="59" w:name="bookmark33"/>
      <w:bookmarkEnd w:id="59"/>
      <w:bookmarkStart w:id="60" w:name="bookmark32"/>
      <w:bookmarkEnd w:id="60"/>
    </w:p>
    <w:p w14:paraId="0583104D">
      <w:pPr>
        <w:pStyle w:val="32"/>
        <w:keepNext w:val="0"/>
        <w:keepLines w:val="0"/>
        <w:pageBreakBefore w:val="0"/>
        <w:widowControl w:val="0"/>
        <w:numPr>
          <w:ilvl w:val="1"/>
          <w:numId w:val="8"/>
        </w:numPr>
        <w:kinsoku w:val="0"/>
        <w:wordWrap/>
        <w:overflowPunct/>
        <w:topLinePunct w:val="0"/>
        <w:autoSpaceDE w:val="0"/>
        <w:autoSpaceDN w:val="0"/>
        <w:bidi w:val="0"/>
        <w:adjustRightInd w:val="0"/>
        <w:snapToGrid w:val="0"/>
        <w:textAlignment w:val="baseline"/>
      </w:pPr>
      <w:bookmarkStart w:id="61" w:name="_Toc3649"/>
      <w:r>
        <w:t>与问题管理流程的关系</w:t>
      </w:r>
      <w:bookmarkEnd w:id="61"/>
    </w:p>
    <w:p w14:paraId="38CEAF5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系统相关隐患被识别，需要根源调查、处置，以提高可用性，可通过问题管理流程进行管理。</w:t>
      </w:r>
    </w:p>
    <w:p w14:paraId="1D8D1AD0">
      <w:pPr>
        <w:pStyle w:val="32"/>
        <w:keepNext w:val="0"/>
        <w:keepLines w:val="0"/>
        <w:pageBreakBefore w:val="0"/>
        <w:widowControl w:val="0"/>
        <w:numPr>
          <w:ilvl w:val="1"/>
          <w:numId w:val="8"/>
        </w:numPr>
        <w:kinsoku w:val="0"/>
        <w:wordWrap/>
        <w:overflowPunct/>
        <w:topLinePunct w:val="0"/>
        <w:autoSpaceDE w:val="0"/>
        <w:autoSpaceDN w:val="0"/>
        <w:bidi w:val="0"/>
        <w:adjustRightInd w:val="0"/>
        <w:snapToGrid w:val="0"/>
        <w:textAlignment w:val="baseline"/>
      </w:pPr>
      <w:bookmarkStart w:id="62" w:name="bookmark34"/>
      <w:bookmarkEnd w:id="62"/>
      <w:bookmarkStart w:id="63" w:name="bookmark35"/>
      <w:bookmarkEnd w:id="63"/>
      <w:bookmarkStart w:id="64" w:name="_Toc5036"/>
      <w:r>
        <w:t>与变更、发布管理流程的关系</w:t>
      </w:r>
      <w:bookmarkEnd w:id="64"/>
    </w:p>
    <w:p w14:paraId="4C7A6D8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为提高系统可用性</w:t>
      </w:r>
      <w:r>
        <w:rPr>
          <w:rFonts w:hint="eastAsia"/>
          <w:lang w:val="en-US" w:eastAsia="zh-CN"/>
        </w:rPr>
        <w:t>和连续性</w:t>
      </w:r>
      <w:r>
        <w:t>，产生的系统变更，应通过变更、发布管理流程进管控。</w:t>
      </w:r>
    </w:p>
    <w:p w14:paraId="400AA85B">
      <w:pPr>
        <w:pStyle w:val="32"/>
        <w:keepNext w:val="0"/>
        <w:keepLines w:val="0"/>
        <w:pageBreakBefore w:val="0"/>
        <w:widowControl w:val="0"/>
        <w:numPr>
          <w:ilvl w:val="1"/>
          <w:numId w:val="8"/>
        </w:numPr>
        <w:kinsoku w:val="0"/>
        <w:wordWrap/>
        <w:overflowPunct/>
        <w:topLinePunct w:val="0"/>
        <w:autoSpaceDE w:val="0"/>
        <w:autoSpaceDN w:val="0"/>
        <w:bidi w:val="0"/>
        <w:adjustRightInd w:val="0"/>
        <w:snapToGrid w:val="0"/>
        <w:textAlignment w:val="baseline"/>
      </w:pPr>
      <w:bookmarkStart w:id="65" w:name="bookmark37"/>
      <w:bookmarkEnd w:id="65"/>
      <w:bookmarkStart w:id="66" w:name="bookmark36"/>
      <w:bookmarkEnd w:id="66"/>
      <w:bookmarkStart w:id="67" w:name="_Toc19349"/>
      <w:r>
        <w:t>与配置管理流程的关系</w:t>
      </w:r>
      <w:bookmarkEnd w:id="67"/>
    </w:p>
    <w:p w14:paraId="5247253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配置管理数据库为可用性</w:t>
      </w:r>
      <w:r>
        <w:rPr>
          <w:rFonts w:hint="eastAsia"/>
          <w:lang w:eastAsia="zh-CN"/>
        </w:rPr>
        <w:t>、</w:t>
      </w:r>
      <w:r>
        <w:rPr>
          <w:rFonts w:hint="eastAsia"/>
          <w:lang w:val="en-US" w:eastAsia="zh-CN"/>
        </w:rPr>
        <w:t>连续性</w:t>
      </w:r>
      <w:r>
        <w:t>系统分析提供数据基础。因可用性</w:t>
      </w:r>
      <w:r>
        <w:rPr>
          <w:rFonts w:hint="eastAsia"/>
          <w:lang w:eastAsia="zh-CN"/>
        </w:rPr>
        <w:t>、</w:t>
      </w:r>
      <w:r>
        <w:rPr>
          <w:rFonts w:hint="eastAsia"/>
          <w:lang w:val="en-US" w:eastAsia="zh-CN"/>
        </w:rPr>
        <w:t>连续性</w:t>
      </w:r>
      <w:r>
        <w:t>发生的配置变更，也应对相关的配置项进行更新。</w:t>
      </w:r>
    </w:p>
    <w:p w14:paraId="74A6BE6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8" w:name="_Toc21434"/>
      <w:r>
        <w:rPr>
          <w:rFonts w:hint="default"/>
          <w:lang w:val="en-US" w:eastAsia="zh-CN"/>
        </w:rPr>
        <w:br w:type="page"/>
      </w:r>
    </w:p>
    <w:p w14:paraId="2DC6D68D">
      <w:pPr>
        <w:pStyle w:val="3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rPr>
          <w:rFonts w:hint="default"/>
          <w:lang w:val="en-US" w:eastAsia="zh-CN"/>
        </w:rPr>
      </w:pPr>
      <w:bookmarkStart w:id="69" w:name="_Toc10769"/>
      <w:r>
        <w:rPr>
          <w:rFonts w:hint="default"/>
          <w:lang w:val="en-US" w:eastAsia="zh-CN"/>
        </w:rPr>
        <w:t>关键指标</w:t>
      </w:r>
      <w:bookmarkEnd w:id="68"/>
      <w:bookmarkEnd w:id="69"/>
    </w:p>
    <w:tbl>
      <w:tblPr>
        <w:tblStyle w:val="28"/>
        <w:tblW w:w="8921"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337"/>
        <w:gridCol w:w="3364"/>
        <w:gridCol w:w="1581"/>
        <w:gridCol w:w="1912"/>
      </w:tblGrid>
      <w:tr w14:paraId="018EC2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3" w:hRule="atLeast"/>
        </w:trPr>
        <w:tc>
          <w:tcPr>
            <w:tcW w:w="727" w:type="dxa"/>
            <w:tcBorders>
              <w:top w:val="single" w:color="000000" w:sz="6" w:space="0"/>
              <w:left w:val="single" w:color="000000" w:sz="6" w:space="0"/>
              <w:bottom w:val="single" w:color="000000" w:sz="6" w:space="0"/>
            </w:tcBorders>
            <w:shd w:val="clear" w:color="auto" w:fill="C0C0C0"/>
          </w:tcPr>
          <w:p w14:paraId="0F78E3AC">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序号</w:t>
            </w:r>
          </w:p>
        </w:tc>
        <w:tc>
          <w:tcPr>
            <w:tcW w:w="1337" w:type="dxa"/>
            <w:tcBorders>
              <w:top w:val="single" w:color="000000" w:sz="6" w:space="0"/>
              <w:bottom w:val="single" w:color="000000" w:sz="6" w:space="0"/>
            </w:tcBorders>
            <w:shd w:val="clear" w:color="auto" w:fill="C0C0C0"/>
          </w:tcPr>
          <w:p w14:paraId="298CDE66">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衡量指标</w:t>
            </w:r>
          </w:p>
        </w:tc>
        <w:tc>
          <w:tcPr>
            <w:tcW w:w="3364" w:type="dxa"/>
            <w:tcBorders>
              <w:top w:val="single" w:color="000000" w:sz="6" w:space="0"/>
              <w:bottom w:val="single" w:color="000000" w:sz="6" w:space="0"/>
              <w:right w:val="single" w:color="000000" w:sz="6" w:space="0"/>
            </w:tcBorders>
            <w:shd w:val="clear" w:color="auto" w:fill="C0C0C0"/>
          </w:tcPr>
          <w:p w14:paraId="01DF7AE7">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指标计算说明</w:t>
            </w:r>
          </w:p>
        </w:tc>
        <w:tc>
          <w:tcPr>
            <w:tcW w:w="1581" w:type="dxa"/>
            <w:tcBorders>
              <w:top w:val="single" w:color="000000" w:sz="6" w:space="0"/>
              <w:bottom w:val="single" w:color="000000" w:sz="6" w:space="0"/>
              <w:right w:val="single" w:color="000000" w:sz="6" w:space="0"/>
            </w:tcBorders>
            <w:shd w:val="clear" w:color="auto" w:fill="C0C0C0"/>
          </w:tcPr>
          <w:p w14:paraId="3433EA75">
            <w:pPr>
              <w:keepNext w:val="0"/>
              <w:keepLines w:val="0"/>
              <w:pageBreakBefore w:val="0"/>
              <w:widowControl w:val="0"/>
              <w:kinsoku w:val="0"/>
              <w:wordWrap/>
              <w:overflowPunct/>
              <w:topLinePunct w:val="0"/>
              <w:autoSpaceDE w:val="0"/>
              <w:autoSpaceDN w:val="0"/>
              <w:bidi w:val="0"/>
              <w:adjustRightInd w:val="0"/>
              <w:snapToGrid w:val="0"/>
              <w:spacing w:before="205" w:line="221" w:lineRule="auto"/>
              <w:textAlignment w:val="baseline"/>
              <w:rPr>
                <w:rFonts w:hint="default"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考核频次</w:t>
            </w:r>
          </w:p>
        </w:tc>
        <w:tc>
          <w:tcPr>
            <w:tcW w:w="1912" w:type="dxa"/>
            <w:tcBorders>
              <w:top w:val="single" w:color="000000" w:sz="6" w:space="0"/>
              <w:bottom w:val="single" w:color="000000" w:sz="6" w:space="0"/>
              <w:right w:val="single" w:color="000000" w:sz="6" w:space="0"/>
            </w:tcBorders>
            <w:shd w:val="clear" w:color="auto" w:fill="C0C0C0"/>
          </w:tcPr>
          <w:p w14:paraId="1B327726">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leftChars="0" w:right="0" w:rightChars="0" w:firstLine="0" w:firstLineChars="0"/>
              <w:jc w:val="center"/>
              <w:textAlignment w:val="baseline"/>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06F37B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bottom w:val="single" w:color="000000" w:sz="6" w:space="0"/>
            </w:tcBorders>
          </w:tcPr>
          <w:p w14:paraId="6ECF943B">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1337" w:type="dxa"/>
            <w:tcBorders>
              <w:top w:val="single" w:color="000000" w:sz="6" w:space="0"/>
              <w:bottom w:val="single" w:color="000000" w:sz="6" w:space="0"/>
            </w:tcBorders>
          </w:tcPr>
          <w:p w14:paraId="7AE67D78">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业务可用性</w:t>
            </w:r>
          </w:p>
        </w:tc>
        <w:tc>
          <w:tcPr>
            <w:tcW w:w="3364" w:type="dxa"/>
            <w:tcBorders>
              <w:top w:val="single" w:color="000000" w:sz="6" w:space="0"/>
              <w:bottom w:val="single" w:color="000000" w:sz="6" w:space="0"/>
              <w:right w:val="single" w:color="000000" w:sz="6" w:space="0"/>
            </w:tcBorders>
          </w:tcPr>
          <w:p w14:paraId="5E313778">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可用时间/整体运行时间*100%</w:t>
            </w:r>
          </w:p>
        </w:tc>
        <w:tc>
          <w:tcPr>
            <w:tcW w:w="1581" w:type="dxa"/>
            <w:tcBorders>
              <w:top w:val="single" w:color="000000" w:sz="6" w:space="0"/>
              <w:bottom w:val="single" w:color="000000" w:sz="6" w:space="0"/>
              <w:right w:val="single" w:color="000000" w:sz="6" w:space="0"/>
            </w:tcBorders>
          </w:tcPr>
          <w:p w14:paraId="01BD091A">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季度</w:t>
            </w:r>
          </w:p>
        </w:tc>
        <w:tc>
          <w:tcPr>
            <w:tcW w:w="1912" w:type="dxa"/>
            <w:tcBorders>
              <w:top w:val="single" w:color="000000" w:sz="6" w:space="0"/>
              <w:bottom w:val="single" w:color="000000" w:sz="6" w:space="0"/>
              <w:right w:val="single" w:color="000000" w:sz="6" w:space="0"/>
            </w:tcBorders>
            <w:shd w:val="clear" w:color="auto" w:fill="auto"/>
            <w:vAlign w:val="center"/>
          </w:tcPr>
          <w:p w14:paraId="43E2B990">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≥99%</w:t>
            </w:r>
          </w:p>
        </w:tc>
      </w:tr>
      <w:tr w14:paraId="29FD34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3C3ECACD">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2</w:t>
            </w:r>
          </w:p>
        </w:tc>
        <w:tc>
          <w:tcPr>
            <w:tcW w:w="1337" w:type="dxa"/>
            <w:tcBorders>
              <w:top w:val="single" w:color="000000" w:sz="6" w:space="0"/>
            </w:tcBorders>
            <w:shd w:val="clear" w:color="auto" w:fill="auto"/>
            <w:vAlign w:val="center"/>
          </w:tcPr>
          <w:p w14:paraId="55C2D2CA">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服务连续性</w:t>
            </w:r>
          </w:p>
        </w:tc>
        <w:tc>
          <w:tcPr>
            <w:tcW w:w="3364" w:type="dxa"/>
            <w:tcBorders>
              <w:top w:val="single" w:color="000000" w:sz="6" w:space="0"/>
              <w:right w:val="single" w:color="000000" w:sz="6" w:space="0"/>
            </w:tcBorders>
            <w:shd w:val="clear" w:color="auto" w:fill="auto"/>
            <w:vAlign w:val="center"/>
          </w:tcPr>
          <w:p w14:paraId="2FB9927A">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由于突发事件导致故障的次数</w:t>
            </w:r>
          </w:p>
        </w:tc>
        <w:tc>
          <w:tcPr>
            <w:tcW w:w="1581" w:type="dxa"/>
            <w:tcBorders>
              <w:top w:val="single" w:color="000000" w:sz="6" w:space="0"/>
              <w:right w:val="single" w:color="000000" w:sz="6" w:space="0"/>
            </w:tcBorders>
          </w:tcPr>
          <w:p w14:paraId="22510363">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季度</w:t>
            </w:r>
          </w:p>
        </w:tc>
        <w:tc>
          <w:tcPr>
            <w:tcW w:w="1912" w:type="dxa"/>
            <w:tcBorders>
              <w:top w:val="single" w:color="000000" w:sz="6" w:space="0"/>
              <w:right w:val="single" w:color="000000" w:sz="6" w:space="0"/>
            </w:tcBorders>
            <w:shd w:val="clear" w:color="auto" w:fill="auto"/>
            <w:vAlign w:val="center"/>
          </w:tcPr>
          <w:p w14:paraId="127979F7">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≤2次</w:t>
            </w:r>
          </w:p>
        </w:tc>
      </w:tr>
    </w:tbl>
    <w:p w14:paraId="192731E7">
      <w:pPr>
        <w:pStyle w:val="3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bookmarkStart w:id="70" w:name="bookmark39"/>
      <w:bookmarkEnd w:id="70"/>
      <w:bookmarkStart w:id="71" w:name="bookmark38"/>
      <w:bookmarkEnd w:id="71"/>
      <w:bookmarkStart w:id="72" w:name="_Toc8164"/>
      <w:r>
        <w:t>相关文件</w:t>
      </w:r>
      <w:bookmarkEnd w:id="72"/>
    </w:p>
    <w:p w14:paraId="3B31E204">
      <w:pPr>
        <w:pStyle w:val="43"/>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leftChars="0" w:hanging="425" w:firstLineChars="0"/>
        <w:textAlignment w:val="baseline"/>
      </w:pPr>
      <w:bookmarkStart w:id="73" w:name="bookmark45"/>
      <w:bookmarkEnd w:id="73"/>
      <w:r>
        <w:t>《信息安全管理程序》</w:t>
      </w:r>
    </w:p>
    <w:p w14:paraId="4353A5A2">
      <w:pPr>
        <w:pStyle w:val="43"/>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leftChars="0" w:hanging="425" w:firstLineChars="0"/>
        <w:textAlignment w:val="baseline"/>
      </w:pPr>
      <w:r>
        <w:t>《</w:t>
      </w:r>
      <w:r>
        <w:rPr>
          <w:rFonts w:hint="eastAsia"/>
        </w:rPr>
        <w:t>运维服务能力管理制度</w:t>
      </w:r>
      <w:r>
        <w:t>》</w:t>
      </w:r>
    </w:p>
    <w:p w14:paraId="26316BC3">
      <w:pPr>
        <w:pStyle w:val="3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bookmarkStart w:id="74" w:name="bookmark40"/>
      <w:bookmarkEnd w:id="74"/>
      <w:bookmarkStart w:id="75" w:name="bookmark41"/>
      <w:bookmarkEnd w:id="75"/>
      <w:bookmarkStart w:id="76" w:name="_Toc24262"/>
      <w:r>
        <w:t>记录</w:t>
      </w:r>
      <w:bookmarkEnd w:id="76"/>
    </w:p>
    <w:p w14:paraId="150BAAC5">
      <w:pPr>
        <w:pStyle w:val="43"/>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《服务连续性和业务可用性</w:t>
      </w:r>
      <w:bookmarkStart w:id="77" w:name="_GoBack"/>
      <w:bookmarkEnd w:id="77"/>
      <w:r>
        <w:rPr>
          <w:rFonts w:hint="eastAsia"/>
          <w:lang w:val="en-US" w:eastAsia="zh-CN"/>
        </w:rPr>
        <w:t>管理计划》</w:t>
      </w:r>
    </w:p>
    <w:p w14:paraId="44F7DA2F">
      <w:pPr>
        <w:pStyle w:val="43"/>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《可用性分析报告》</w:t>
      </w:r>
    </w:p>
    <w:p w14:paraId="772FB044">
      <w:pPr>
        <w:pStyle w:val="43"/>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《连续性测试报告》</w:t>
      </w:r>
    </w:p>
    <w:sectPr>
      <w:pgSz w:w="11906" w:h="16838"/>
      <w:pgMar w:top="1440" w:right="1800" w:bottom="1440" w:left="85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67CF5">
    <w:pPr>
      <w:spacing w:line="176" w:lineRule="auto"/>
      <w:ind w:left="5919"/>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EC7FC">
    <w:pPr>
      <w:spacing w:before="45" w:line="239" w:lineRule="auto"/>
      <w:ind w:left="8325" w:right="373" w:hanging="1268"/>
      <w:rPr>
        <w:rFonts w:ascii="仿宋" w:hAnsi="仿宋" w:eastAsia="仿宋" w:cs="仿宋"/>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1BB85"/>
    <w:multiLevelType w:val="singleLevel"/>
    <w:tmpl w:val="8011BB85"/>
    <w:lvl w:ilvl="0" w:tentative="0">
      <w:start w:val="1"/>
      <w:numFmt w:val="decimal"/>
      <w:lvlText w:val="%1."/>
      <w:lvlJc w:val="left"/>
      <w:pPr>
        <w:ind w:left="425" w:hanging="425"/>
      </w:pPr>
      <w:rPr>
        <w:rFonts w:hint="default"/>
      </w:rPr>
    </w:lvl>
  </w:abstractNum>
  <w:abstractNum w:abstractNumId="1">
    <w:nsid w:val="884289DE"/>
    <w:multiLevelType w:val="singleLevel"/>
    <w:tmpl w:val="884289DE"/>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166B541"/>
    <w:multiLevelType w:val="singleLevel"/>
    <w:tmpl w:val="9166B541"/>
    <w:lvl w:ilvl="0" w:tentative="0">
      <w:start w:val="1"/>
      <w:numFmt w:val="decimal"/>
      <w:lvlText w:val="%1."/>
      <w:lvlJc w:val="left"/>
      <w:pPr>
        <w:ind w:left="425" w:hanging="425"/>
      </w:pPr>
      <w:rPr>
        <w:rFonts w:hint="default"/>
      </w:rPr>
    </w:lvl>
  </w:abstractNum>
  <w:abstractNum w:abstractNumId="4">
    <w:nsid w:val="AC064F7C"/>
    <w:multiLevelType w:val="singleLevel"/>
    <w:tmpl w:val="AC064F7C"/>
    <w:lvl w:ilvl="0" w:tentative="0">
      <w:start w:val="1"/>
      <w:numFmt w:val="decimal"/>
      <w:lvlText w:val="%1."/>
      <w:lvlJc w:val="left"/>
      <w:pPr>
        <w:ind w:left="425" w:hanging="425"/>
      </w:pPr>
      <w:rPr>
        <w:rFonts w:hint="default"/>
      </w:rPr>
    </w:lvl>
  </w:abstractNum>
  <w:abstractNum w:abstractNumId="5">
    <w:nsid w:val="AFC0E7CB"/>
    <w:multiLevelType w:val="singleLevel"/>
    <w:tmpl w:val="AFC0E7CB"/>
    <w:lvl w:ilvl="0" w:tentative="0">
      <w:start w:val="1"/>
      <w:numFmt w:val="decimal"/>
      <w:lvlText w:val="%1."/>
      <w:lvlJc w:val="left"/>
      <w:pPr>
        <w:ind w:left="425" w:hanging="425"/>
      </w:pPr>
      <w:rPr>
        <w:rFonts w:hint="default" w:ascii="Arial" w:hAnsi="Arial" w:cs="Arial"/>
      </w:rPr>
    </w:lvl>
  </w:abstractNum>
  <w:abstractNum w:abstractNumId="6">
    <w:nsid w:val="B586DDE5"/>
    <w:multiLevelType w:val="singleLevel"/>
    <w:tmpl w:val="B586DDE5"/>
    <w:lvl w:ilvl="0" w:tentative="0">
      <w:start w:val="1"/>
      <w:numFmt w:val="decimal"/>
      <w:lvlText w:val="%1."/>
      <w:lvlJc w:val="left"/>
      <w:pPr>
        <w:ind w:left="425" w:hanging="425"/>
      </w:pPr>
      <w:rPr>
        <w:rFonts w:hint="default"/>
      </w:rPr>
    </w:lvl>
  </w:abstractNum>
  <w:abstractNum w:abstractNumId="7">
    <w:nsid w:val="C043A8AF"/>
    <w:multiLevelType w:val="singleLevel"/>
    <w:tmpl w:val="C043A8AF"/>
    <w:lvl w:ilvl="0" w:tentative="0">
      <w:start w:val="1"/>
      <w:numFmt w:val="decimal"/>
      <w:lvlText w:val="%1."/>
      <w:lvlJc w:val="left"/>
      <w:pPr>
        <w:ind w:left="425" w:hanging="425"/>
      </w:pPr>
      <w:rPr>
        <w:rFonts w:hint="default"/>
      </w:rPr>
    </w:lvl>
  </w:abstractNum>
  <w:abstractNum w:abstractNumId="8">
    <w:nsid w:val="C559F704"/>
    <w:multiLevelType w:val="singleLevel"/>
    <w:tmpl w:val="C559F704"/>
    <w:lvl w:ilvl="0" w:tentative="0">
      <w:start w:val="1"/>
      <w:numFmt w:val="decimal"/>
      <w:lvlText w:val="%1."/>
      <w:lvlJc w:val="left"/>
      <w:pPr>
        <w:ind w:left="425" w:hanging="425"/>
      </w:pPr>
      <w:rPr>
        <w:rFonts w:hint="default"/>
      </w:rPr>
    </w:lvl>
  </w:abstractNum>
  <w:abstractNum w:abstractNumId="9">
    <w:nsid w:val="CA137E46"/>
    <w:multiLevelType w:val="singleLevel"/>
    <w:tmpl w:val="CA137E46"/>
    <w:lvl w:ilvl="0" w:tentative="0">
      <w:start w:val="1"/>
      <w:numFmt w:val="decimal"/>
      <w:lvlText w:val="%1."/>
      <w:lvlJc w:val="left"/>
      <w:pPr>
        <w:ind w:left="425" w:hanging="425"/>
      </w:pPr>
      <w:rPr>
        <w:rFonts w:hint="default"/>
      </w:rPr>
    </w:lvl>
  </w:abstractNum>
  <w:abstractNum w:abstractNumId="10">
    <w:nsid w:val="D38BECFB"/>
    <w:multiLevelType w:val="singleLevel"/>
    <w:tmpl w:val="D38BECFB"/>
    <w:lvl w:ilvl="0" w:tentative="0">
      <w:start w:val="1"/>
      <w:numFmt w:val="decimal"/>
      <w:lvlText w:val="%1."/>
      <w:lvlJc w:val="left"/>
      <w:pPr>
        <w:ind w:left="425" w:hanging="425"/>
      </w:pPr>
      <w:rPr>
        <w:rFonts w:hint="default"/>
      </w:rPr>
    </w:lvl>
  </w:abstractNum>
  <w:abstractNum w:abstractNumId="11">
    <w:nsid w:val="E43C1864"/>
    <w:multiLevelType w:val="singleLevel"/>
    <w:tmpl w:val="E43C1864"/>
    <w:lvl w:ilvl="0" w:tentative="0">
      <w:start w:val="1"/>
      <w:numFmt w:val="decimal"/>
      <w:lvlText w:val="%1."/>
      <w:lvlJc w:val="left"/>
      <w:pPr>
        <w:ind w:left="425" w:hanging="425"/>
      </w:pPr>
      <w:rPr>
        <w:rFonts w:hint="default"/>
      </w:rPr>
    </w:lvl>
  </w:abstractNum>
  <w:abstractNum w:abstractNumId="12">
    <w:nsid w:val="EA8BABA5"/>
    <w:multiLevelType w:val="singleLevel"/>
    <w:tmpl w:val="EA8BABA5"/>
    <w:lvl w:ilvl="0" w:tentative="0">
      <w:start w:val="1"/>
      <w:numFmt w:val="decimal"/>
      <w:lvlText w:val="%1."/>
      <w:lvlJc w:val="left"/>
      <w:pPr>
        <w:ind w:left="425" w:hanging="425"/>
      </w:pPr>
      <w:rPr>
        <w:rFonts w:hint="default"/>
      </w:rPr>
    </w:lvl>
  </w:abstractNum>
  <w:abstractNum w:abstractNumId="13">
    <w:nsid w:val="FF5D57DB"/>
    <w:multiLevelType w:val="singleLevel"/>
    <w:tmpl w:val="FF5D57DB"/>
    <w:lvl w:ilvl="0" w:tentative="0">
      <w:start w:val="1"/>
      <w:numFmt w:val="decimal"/>
      <w:lvlText w:val="%1."/>
      <w:lvlJc w:val="left"/>
      <w:pPr>
        <w:ind w:left="425" w:hanging="425"/>
      </w:pPr>
      <w:rPr>
        <w:rFonts w:hint="default"/>
      </w:rPr>
    </w:lvl>
  </w:abstractNum>
  <w:abstractNum w:abstractNumId="14">
    <w:nsid w:val="019BE019"/>
    <w:multiLevelType w:val="singleLevel"/>
    <w:tmpl w:val="019BE019"/>
    <w:lvl w:ilvl="0" w:tentative="0">
      <w:start w:val="1"/>
      <w:numFmt w:val="decimal"/>
      <w:lvlText w:val="%1."/>
      <w:lvlJc w:val="left"/>
      <w:pPr>
        <w:ind w:left="425" w:hanging="425"/>
      </w:pPr>
      <w:rPr>
        <w:rFonts w:hint="default"/>
      </w:rPr>
    </w:lvl>
  </w:abstractNum>
  <w:abstractNum w:abstractNumId="15">
    <w:nsid w:val="028D79C1"/>
    <w:multiLevelType w:val="singleLevel"/>
    <w:tmpl w:val="028D79C1"/>
    <w:lvl w:ilvl="0" w:tentative="0">
      <w:start w:val="1"/>
      <w:numFmt w:val="decimal"/>
      <w:lvlText w:val="%1."/>
      <w:lvlJc w:val="left"/>
      <w:pPr>
        <w:ind w:left="425" w:hanging="425"/>
      </w:pPr>
      <w:rPr>
        <w:rFonts w:hint="default"/>
      </w:rPr>
    </w:lvl>
  </w:abstractNum>
  <w:abstractNum w:abstractNumId="16">
    <w:nsid w:val="07290DDE"/>
    <w:multiLevelType w:val="singleLevel"/>
    <w:tmpl w:val="07290DDE"/>
    <w:lvl w:ilvl="0" w:tentative="0">
      <w:start w:val="1"/>
      <w:numFmt w:val="decimal"/>
      <w:lvlText w:val="%1."/>
      <w:lvlJc w:val="left"/>
      <w:pPr>
        <w:ind w:left="425" w:hanging="425"/>
      </w:pPr>
      <w:rPr>
        <w:rFonts w:hint="default"/>
      </w:rPr>
    </w:lvl>
  </w:abstractNum>
  <w:abstractNum w:abstractNumId="17">
    <w:nsid w:val="0C047421"/>
    <w:multiLevelType w:val="singleLevel"/>
    <w:tmpl w:val="0C047421"/>
    <w:lvl w:ilvl="0" w:tentative="0">
      <w:start w:val="1"/>
      <w:numFmt w:val="decimal"/>
      <w:lvlText w:val="%1."/>
      <w:lvlJc w:val="left"/>
      <w:pPr>
        <w:ind w:left="425" w:hanging="425"/>
      </w:pPr>
      <w:rPr>
        <w:rFonts w:hint="default"/>
      </w:rPr>
    </w:lvl>
  </w:abstractNum>
  <w:abstractNum w:abstractNumId="18">
    <w:nsid w:val="0C5077CA"/>
    <w:multiLevelType w:val="singleLevel"/>
    <w:tmpl w:val="0C5077CA"/>
    <w:lvl w:ilvl="0" w:tentative="0">
      <w:start w:val="1"/>
      <w:numFmt w:val="decimal"/>
      <w:lvlText w:val="(%1)"/>
      <w:lvlJc w:val="left"/>
      <w:pPr>
        <w:tabs>
          <w:tab w:val="left" w:pos="420"/>
        </w:tabs>
        <w:ind w:left="845" w:hanging="425"/>
      </w:pPr>
      <w:rPr>
        <w:rFonts w:hint="default"/>
      </w:rPr>
    </w:lvl>
  </w:abstractNum>
  <w:abstractNum w:abstractNumId="19">
    <w:nsid w:val="2A0F0B6B"/>
    <w:multiLevelType w:val="singleLevel"/>
    <w:tmpl w:val="2A0F0B6B"/>
    <w:lvl w:ilvl="0" w:tentative="0">
      <w:start w:val="1"/>
      <w:numFmt w:val="decimal"/>
      <w:lvlText w:val="%1."/>
      <w:lvlJc w:val="left"/>
      <w:pPr>
        <w:ind w:left="425" w:hanging="425"/>
      </w:pPr>
      <w:rPr>
        <w:rFonts w:hint="default"/>
      </w:rPr>
    </w:lvl>
  </w:abstractNum>
  <w:abstractNum w:abstractNumId="20">
    <w:nsid w:val="2BC8988C"/>
    <w:multiLevelType w:val="singleLevel"/>
    <w:tmpl w:val="2BC8988C"/>
    <w:lvl w:ilvl="0" w:tentative="0">
      <w:start w:val="1"/>
      <w:numFmt w:val="decimal"/>
      <w:lvlText w:val="%1."/>
      <w:lvlJc w:val="left"/>
      <w:pPr>
        <w:ind w:left="425" w:hanging="425"/>
      </w:pPr>
      <w:rPr>
        <w:rFonts w:hint="default"/>
      </w:rPr>
    </w:lvl>
  </w:abstractNum>
  <w:abstractNum w:abstractNumId="21">
    <w:nsid w:val="33521DEC"/>
    <w:multiLevelType w:val="singleLevel"/>
    <w:tmpl w:val="33521DEC"/>
    <w:lvl w:ilvl="0" w:tentative="0">
      <w:start w:val="1"/>
      <w:numFmt w:val="decimal"/>
      <w:lvlText w:val="%1."/>
      <w:lvlJc w:val="left"/>
      <w:pPr>
        <w:ind w:left="425" w:hanging="425"/>
      </w:pPr>
      <w:rPr>
        <w:rFonts w:hint="default"/>
      </w:rPr>
    </w:lvl>
  </w:abstractNum>
  <w:abstractNum w:abstractNumId="22">
    <w:nsid w:val="42BBF6CD"/>
    <w:multiLevelType w:val="singleLevel"/>
    <w:tmpl w:val="42BBF6CD"/>
    <w:lvl w:ilvl="0" w:tentative="0">
      <w:start w:val="1"/>
      <w:numFmt w:val="decimal"/>
      <w:lvlText w:val="%1."/>
      <w:lvlJc w:val="left"/>
      <w:pPr>
        <w:ind w:left="425" w:hanging="425"/>
      </w:pPr>
      <w:rPr>
        <w:rFonts w:hint="default"/>
      </w:rPr>
    </w:lvl>
  </w:abstractNum>
  <w:abstractNum w:abstractNumId="23">
    <w:nsid w:val="4A205BAD"/>
    <w:multiLevelType w:val="singleLevel"/>
    <w:tmpl w:val="4A205BAD"/>
    <w:lvl w:ilvl="0" w:tentative="0">
      <w:start w:val="1"/>
      <w:numFmt w:val="decimal"/>
      <w:lvlText w:val="(%1)"/>
      <w:lvlJc w:val="left"/>
      <w:pPr>
        <w:tabs>
          <w:tab w:val="left" w:pos="420"/>
        </w:tabs>
        <w:ind w:left="845" w:hanging="425"/>
      </w:pPr>
      <w:rPr>
        <w:rFonts w:hint="default"/>
      </w:rPr>
    </w:lvl>
  </w:abstractNum>
  <w:abstractNum w:abstractNumId="24">
    <w:nsid w:val="69CCB241"/>
    <w:multiLevelType w:val="singleLevel"/>
    <w:tmpl w:val="69CCB241"/>
    <w:lvl w:ilvl="0" w:tentative="0">
      <w:start w:val="1"/>
      <w:numFmt w:val="decimal"/>
      <w:lvlText w:val="%1."/>
      <w:lvlJc w:val="left"/>
      <w:pPr>
        <w:ind w:left="425" w:hanging="425"/>
      </w:pPr>
      <w:rPr>
        <w:rFonts w:hint="default"/>
      </w:rPr>
    </w:lvl>
  </w:abstractNum>
  <w:abstractNum w:abstractNumId="25">
    <w:nsid w:val="7B0D0079"/>
    <w:multiLevelType w:val="singleLevel"/>
    <w:tmpl w:val="7B0D0079"/>
    <w:lvl w:ilvl="0" w:tentative="0">
      <w:start w:val="1"/>
      <w:numFmt w:val="decimal"/>
      <w:lvlText w:val="%1."/>
      <w:lvlJc w:val="left"/>
      <w:pPr>
        <w:ind w:left="425" w:hanging="425"/>
      </w:pPr>
      <w:rPr>
        <w:rFonts w:hint="default"/>
      </w:rPr>
    </w:lvl>
  </w:abstractNum>
  <w:num w:numId="1">
    <w:abstractNumId w:val="2"/>
  </w:num>
  <w:num w:numId="2">
    <w:abstractNumId w:val="21"/>
  </w:num>
  <w:num w:numId="3">
    <w:abstractNumId w:val="3"/>
  </w:num>
  <w:num w:numId="4">
    <w:abstractNumId w:val="16"/>
  </w:num>
  <w:num w:numId="5">
    <w:abstractNumId w:val="17"/>
  </w:num>
  <w:num w:numId="6">
    <w:abstractNumId w:val="1"/>
  </w:num>
  <w:num w:numId="7">
    <w:abstractNumId w:val="1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12"/>
  </w:num>
  <w:num w:numId="11">
    <w:abstractNumId w:val="25"/>
  </w:num>
  <w:num w:numId="12">
    <w:abstractNumId w:val="7"/>
  </w:num>
  <w:num w:numId="13">
    <w:abstractNumId w:val="19"/>
  </w:num>
  <w:num w:numId="14">
    <w:abstractNumId w:val="0"/>
  </w:num>
  <w:num w:numId="15">
    <w:abstractNumId w:val="5"/>
  </w:num>
  <w:num w:numId="16">
    <w:abstractNumId w:val="20"/>
  </w:num>
  <w:num w:numId="17">
    <w:abstractNumId w:val="14"/>
  </w:num>
  <w:num w:numId="18">
    <w:abstractNumId w:val="9"/>
  </w:num>
  <w:num w:numId="19">
    <w:abstractNumId w:val="15"/>
  </w:num>
  <w:num w:numId="20">
    <w:abstractNumId w:val="23"/>
  </w:num>
  <w:num w:numId="21">
    <w:abstractNumId w:val="18"/>
  </w:num>
  <w:num w:numId="22">
    <w:abstractNumId w:val="6"/>
  </w:num>
  <w:num w:numId="23">
    <w:abstractNumId w:val="10"/>
  </w:num>
  <w:num w:numId="24">
    <w:abstractNumId w:val="13"/>
  </w:num>
  <w:num w:numId="25">
    <w:abstractNumId w:val="22"/>
  </w:num>
  <w:num w:numId="26">
    <w:abstractNumId w:val="8"/>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1F0547A"/>
    <w:rsid w:val="219255BC"/>
    <w:rsid w:val="30DC13F0"/>
    <w:rsid w:val="385B52F0"/>
    <w:rsid w:val="618943CD"/>
    <w:rsid w:val="6D323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link w:val="26"/>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Normal Indent"/>
    <w:basedOn w:val="1"/>
    <w:qFormat/>
    <w:uiPriority w:val="0"/>
    <w:pPr>
      <w:ind w:firstLine="420" w:firstLineChars="200"/>
    </w:pPr>
  </w:style>
  <w:style w:type="paragraph" w:styleId="12">
    <w:name w:val="annotation text"/>
    <w:basedOn w:val="1"/>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paragraph" w:styleId="25">
    <w:name w:val="No Spacing"/>
    <w:qFormat/>
    <w:uiPriority w:val="99"/>
    <w:rPr>
      <w:rFonts w:ascii="Calibri" w:hAnsi="Calibri" w:eastAsia="宋体" w:cs="Times New Roman"/>
      <w:sz w:val="22"/>
      <w:szCs w:val="22"/>
      <w:lang w:val="en-US" w:eastAsia="zh-CN" w:bidi="ar-SA"/>
    </w:rPr>
  </w:style>
  <w:style w:type="character" w:customStyle="1" w:styleId="26">
    <w:name w:val="标题 2 Char"/>
    <w:link w:val="3"/>
    <w:qFormat/>
    <w:uiPriority w:val="0"/>
    <w:rPr>
      <w:rFonts w:ascii="Arial" w:hAnsi="Arial" w:eastAsia="黑体"/>
      <w:b/>
      <w:sz w:val="32"/>
    </w:rPr>
  </w:style>
  <w:style w:type="paragraph" w:customStyle="1" w:styleId="27">
    <w:name w:val="Table Paragraph"/>
    <w:basedOn w:val="1"/>
    <w:qFormat/>
    <w:uiPriority w:val="1"/>
    <w:pPr>
      <w:autoSpaceDE w:val="0"/>
      <w:autoSpaceDN w:val="0"/>
      <w:spacing w:before="81"/>
      <w:ind w:left="108"/>
      <w:jc w:val="left"/>
    </w:pPr>
    <w:rPr>
      <w:rFonts w:ascii="宋体" w:hAnsi="宋体" w:cs="宋体"/>
      <w:kern w:val="0"/>
      <w:sz w:val="22"/>
      <w:szCs w:val="22"/>
      <w:lang w:val="zh-CN" w:bidi="zh-CN"/>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2"/>
    <w:qFormat/>
    <w:uiPriority w:val="0"/>
    <w:pPr>
      <w:spacing w:before="100" w:after="90" w:line="360" w:lineRule="auto"/>
    </w:pPr>
    <w:rPr>
      <w:rFonts w:ascii="Arial" w:hAnsi="Arial" w:eastAsia="宋体"/>
      <w:sz w:val="32"/>
    </w:rPr>
  </w:style>
  <w:style w:type="paragraph" w:customStyle="1" w:styleId="31">
    <w:name w:val="柴_正文"/>
    <w:basedOn w:val="13"/>
    <w:link w:val="45"/>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3"/>
    <w:qFormat/>
    <w:uiPriority w:val="0"/>
    <w:pPr>
      <w:tabs>
        <w:tab w:val="right" w:leader="dot" w:pos="8442"/>
      </w:tabs>
      <w:ind w:left="0" w:leftChars="0"/>
    </w:pPr>
    <w:rPr>
      <w:rFonts w:ascii="Arial" w:hAnsi="Arial" w:eastAsia="Microsoft JhengHei"/>
      <w:sz w:val="24"/>
    </w:rPr>
  </w:style>
  <w:style w:type="paragraph" w:customStyle="1" w:styleId="35">
    <w:name w:val="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36">
    <w:name w:val="柴_文档名"/>
    <w:basedOn w:val="20"/>
    <w:qFormat/>
    <w:uiPriority w:val="0"/>
    <w:pPr>
      <w:spacing w:after="900" w:afterLines="900"/>
    </w:pPr>
    <w:rPr>
      <w:rFonts w:ascii="黑体" w:hAnsi="黑体" w:eastAsia="黑体" w:cs="黑体"/>
      <w:bCs/>
      <w:spacing w:val="-7"/>
      <w:sz w:val="52"/>
      <w:szCs w:val="52"/>
    </w:rPr>
  </w:style>
  <w:style w:type="paragraph" w:customStyle="1" w:styleId="37">
    <w:name w:val="WPSOffice手动目录 1"/>
    <w:qFormat/>
    <w:uiPriority w:val="0"/>
    <w:pPr>
      <w:ind w:leftChars="0"/>
    </w:pPr>
    <w:rPr>
      <w:rFonts w:ascii="Times New Roman" w:hAnsi="Times New Roman" w:eastAsia="宋体" w:cs="Times New Roman"/>
      <w:sz w:val="20"/>
      <w:szCs w:val="20"/>
    </w:rPr>
  </w:style>
  <w:style w:type="paragraph" w:customStyle="1" w:styleId="38">
    <w:name w:val="WPSOffice手动目录 2"/>
    <w:qFormat/>
    <w:uiPriority w:val="0"/>
    <w:pPr>
      <w:ind w:leftChars="200"/>
    </w:pPr>
    <w:rPr>
      <w:rFonts w:ascii="Times New Roman" w:hAnsi="Times New Roman" w:eastAsia="宋体" w:cs="Times New Roman"/>
      <w:sz w:val="20"/>
      <w:szCs w:val="20"/>
    </w:rPr>
  </w:style>
  <w:style w:type="paragraph" w:customStyle="1" w:styleId="39">
    <w:name w:val="WPSOffice手动目录 3"/>
    <w:qFormat/>
    <w:uiPriority w:val="0"/>
    <w:pPr>
      <w:ind w:leftChars="400"/>
    </w:pPr>
    <w:rPr>
      <w:rFonts w:ascii="Times New Roman" w:hAnsi="Times New Roman" w:eastAsia="宋体" w:cs="Times New Roman"/>
      <w:sz w:val="20"/>
      <w:szCs w:val="20"/>
    </w:rPr>
  </w:style>
  <w:style w:type="paragraph" w:customStyle="1" w:styleId="40">
    <w:name w:val="Compact"/>
    <w:basedOn w:val="13"/>
    <w:qFormat/>
    <w:uiPriority w:val="0"/>
    <w:pPr>
      <w:spacing w:before="36" w:after="36"/>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2">
    <w:name w:val="柴_标题1 Char"/>
    <w:link w:val="30"/>
    <w:qFormat/>
    <w:uiPriority w:val="0"/>
    <w:rPr>
      <w:rFonts w:ascii="Arial" w:hAnsi="Arial" w:eastAsia="宋体"/>
      <w:sz w:val="32"/>
    </w:rPr>
  </w:style>
  <w:style w:type="paragraph" w:customStyle="1" w:styleId="43">
    <w:name w:val="柴_正文_无缩进"/>
    <w:basedOn w:val="1"/>
    <w:qFormat/>
    <w:uiPriority w:val="0"/>
    <w:pPr>
      <w:ind w:firstLine="0" w:firstLineChars="0"/>
    </w:pPr>
    <w:rPr>
      <w:rFonts w:ascii="Arial" w:hAnsi="Arial"/>
      <w:sz w:val="24"/>
      <w:lang w:eastAsia="zh-CN"/>
    </w:rPr>
  </w:style>
  <w:style w:type="paragraph" w:customStyle="1" w:styleId="44">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5">
    <w:name w:val="柴_正文 Char"/>
    <w:link w:val="31"/>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4866</Words>
  <Characters>5040</Characters>
  <Lines>0</Lines>
  <Paragraphs>0</Paragraphs>
  <TotalTime>2</TotalTime>
  <ScaleCrop>false</ScaleCrop>
  <LinksUpToDate>false</LinksUpToDate>
  <CharactersWithSpaces>5159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2025-08-03T15:18:00Z</dcterms:created>
  <dc:creator>18442</dc:creator>
  <cp:lastModifiedBy>郝宇</cp:lastModifiedBy>
  <dcterms:modified xsi:type="dcterms:W3CDTF">2026-04-14T15:44:19Z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AAD92EDC3E7E46618801A1C013CB6EB4_12</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