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0F72D6">
      <w:pPr>
        <w:pStyle w:val="27"/>
        <w:spacing w:after="1440"/>
        <w:rPr>
          <w:rFonts w:hint="default"/>
        </w:rPr>
      </w:pPr>
      <w:bookmarkStart w:id="0" w:name="_Toc24250"/>
      <w:r>
        <w:t>淮安生态新城信息系统运维服务</w:t>
      </w:r>
      <w:r>
        <w:br w:type="textWrapping"/>
      </w:r>
      <w:r>
        <w:t>项目可用性计划</w:t>
      </w:r>
      <w:bookmarkEnd w:id="0"/>
    </w:p>
    <w:p w14:paraId="08F87F5C">
      <w:pPr>
        <w:pStyle w:val="29"/>
        <w:spacing w:after="2160"/>
      </w:pPr>
      <w:bookmarkStart w:id="1" w:name="_Toc8888"/>
      <w:r>
        <w:t>江苏云储智能科技有限公司</w:t>
      </w:r>
      <w:bookmarkEnd w:id="1"/>
    </w:p>
    <w:p w14:paraId="617DBB04">
      <w:pPr>
        <w:spacing w:before="117" w:line="219" w:lineRule="auto"/>
        <w:jc w:val="center"/>
        <w:rPr>
          <w:rFonts w:ascii="宋体" w:hAnsi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-01-04</w:t>
      </w:r>
    </w:p>
    <w:p w14:paraId="0A5D2DC1">
      <w:r>
        <w:br w:type="page"/>
      </w:r>
    </w:p>
    <w:tbl>
      <w:tblPr>
        <w:tblStyle w:val="30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65BD5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CD23A92">
            <w:pPr>
              <w:pStyle w:val="31"/>
              <w:spacing w:before="199" w:line="220" w:lineRule="auto"/>
              <w:ind w:left="225"/>
              <w:rPr>
                <w:sz w:val="20"/>
              </w:rPr>
            </w:pPr>
            <w:r>
              <w:rPr>
                <w:spacing w:val="-2"/>
                <w:sz w:val="20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37D8E6CB">
            <w:pPr>
              <w:pStyle w:val="31"/>
              <w:spacing w:before="200" w:line="218" w:lineRule="auto"/>
              <w:ind w:left="108"/>
              <w:rPr>
                <w:sz w:val="20"/>
              </w:rPr>
            </w:pPr>
            <w:r>
              <w:rPr>
                <w:rFonts w:hint="eastAsia"/>
                <w:spacing w:val="-1"/>
                <w:sz w:val="20"/>
                <w:lang w:eastAsia="zh-CN"/>
              </w:rPr>
              <w:t>可用性计划</w:t>
            </w:r>
            <w:r>
              <w:rPr>
                <w:spacing w:val="-1"/>
                <w:sz w:val="20"/>
              </w:rPr>
              <w:t>（JSYC-ITSS-</w:t>
            </w:r>
            <w:r>
              <w:rPr>
                <w:rFonts w:hint="eastAsia"/>
                <w:spacing w:val="-1"/>
                <w:sz w:val="20"/>
                <w:lang w:eastAsia="zh-CN"/>
              </w:rPr>
              <w:t>KYXJH</w:t>
            </w:r>
            <w:r>
              <w:rPr>
                <w:spacing w:val="-1"/>
                <w:sz w:val="20"/>
              </w:rPr>
              <w:t>）</w:t>
            </w:r>
          </w:p>
        </w:tc>
      </w:tr>
      <w:tr w14:paraId="3BE683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66D98ED7">
            <w:pPr>
              <w:pStyle w:val="31"/>
              <w:spacing w:before="196" w:line="220" w:lineRule="auto"/>
              <w:ind w:left="435"/>
              <w:rPr>
                <w:sz w:val="20"/>
              </w:rPr>
            </w:pPr>
            <w:r>
              <w:rPr>
                <w:spacing w:val="-2"/>
                <w:sz w:val="20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16E3079">
            <w:pPr>
              <w:pStyle w:val="31"/>
              <w:spacing w:before="197" w:line="219" w:lineRule="auto"/>
              <w:ind w:left="108"/>
              <w:rPr>
                <w:sz w:val="20"/>
              </w:rPr>
            </w:pPr>
            <w:r>
              <w:rPr>
                <w:spacing w:val="-1"/>
                <w:sz w:val="20"/>
              </w:rPr>
              <w:t>江苏云储智能科技有限公司</w:t>
            </w:r>
          </w:p>
        </w:tc>
      </w:tr>
      <w:tr w14:paraId="32354F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2AF6B630">
            <w:pPr>
              <w:pStyle w:val="31"/>
              <w:spacing w:before="199" w:line="219" w:lineRule="auto"/>
              <w:ind w:left="435"/>
              <w:rPr>
                <w:sz w:val="20"/>
              </w:rPr>
            </w:pPr>
            <w:r>
              <w:rPr>
                <w:spacing w:val="-2"/>
                <w:sz w:val="20"/>
              </w:rPr>
              <w:t>文档版本</w:t>
            </w:r>
          </w:p>
        </w:tc>
        <w:tc>
          <w:tcPr>
            <w:tcW w:w="1555" w:type="dxa"/>
          </w:tcPr>
          <w:p w14:paraId="266E9744">
            <w:pPr>
              <w:pStyle w:val="31"/>
              <w:spacing w:before="199" w:line="219" w:lineRule="auto"/>
              <w:ind w:left="359"/>
              <w:rPr>
                <w:sz w:val="20"/>
              </w:rPr>
            </w:pPr>
            <w:r>
              <w:rPr>
                <w:spacing w:val="-2"/>
                <w:sz w:val="20"/>
              </w:rPr>
              <w:t>版本日期</w:t>
            </w:r>
          </w:p>
        </w:tc>
        <w:tc>
          <w:tcPr>
            <w:tcW w:w="2302" w:type="dxa"/>
          </w:tcPr>
          <w:p w14:paraId="6280418D">
            <w:pPr>
              <w:pStyle w:val="31"/>
              <w:spacing w:before="199" w:line="219" w:lineRule="auto"/>
              <w:ind w:left="735"/>
              <w:rPr>
                <w:sz w:val="20"/>
              </w:rPr>
            </w:pPr>
            <w:r>
              <w:rPr>
                <w:spacing w:val="-2"/>
                <w:sz w:val="20"/>
              </w:rPr>
              <w:t>版本说明</w:t>
            </w:r>
          </w:p>
        </w:tc>
        <w:tc>
          <w:tcPr>
            <w:tcW w:w="1557" w:type="dxa"/>
          </w:tcPr>
          <w:p w14:paraId="18F2DB9C">
            <w:pPr>
              <w:pStyle w:val="31"/>
              <w:spacing w:before="199" w:line="220" w:lineRule="auto"/>
              <w:ind w:left="575"/>
              <w:rPr>
                <w:sz w:val="20"/>
              </w:rPr>
            </w:pPr>
            <w:r>
              <w:rPr>
                <w:spacing w:val="-3"/>
                <w:sz w:val="20"/>
              </w:rPr>
              <w:t>作者</w:t>
            </w:r>
          </w:p>
        </w:tc>
        <w:tc>
          <w:tcPr>
            <w:tcW w:w="1953" w:type="dxa"/>
          </w:tcPr>
          <w:p w14:paraId="4DC427DD">
            <w:pPr>
              <w:pStyle w:val="31"/>
              <w:spacing w:before="199" w:line="220" w:lineRule="auto"/>
              <w:ind w:left="782"/>
              <w:rPr>
                <w:sz w:val="20"/>
              </w:rPr>
            </w:pPr>
            <w:r>
              <w:rPr>
                <w:spacing w:val="-5"/>
                <w:sz w:val="20"/>
              </w:rPr>
              <w:t>审核</w:t>
            </w:r>
          </w:p>
        </w:tc>
      </w:tr>
      <w:tr w14:paraId="05926B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23F2263">
            <w:pPr>
              <w:pStyle w:val="31"/>
              <w:spacing w:before="163" w:line="239" w:lineRule="auto"/>
              <w:ind w:left="638"/>
              <w:rPr>
                <w:sz w:val="20"/>
              </w:rPr>
            </w:pPr>
            <w:r>
              <w:rPr>
                <w:spacing w:val="-1"/>
                <w:sz w:val="20"/>
              </w:rPr>
              <w:t>V1.0</w:t>
            </w:r>
          </w:p>
        </w:tc>
        <w:tc>
          <w:tcPr>
            <w:tcW w:w="1555" w:type="dxa"/>
          </w:tcPr>
          <w:p w14:paraId="681238AE">
            <w:pPr>
              <w:pStyle w:val="31"/>
              <w:spacing w:before="163"/>
              <w:ind w:left="361"/>
              <w:rPr>
                <w:sz w:val="20"/>
              </w:rPr>
            </w:pPr>
            <w:r>
              <w:rPr>
                <w:spacing w:val="-2"/>
                <w:sz w:val="20"/>
              </w:rPr>
              <w:t>20</w:t>
            </w:r>
            <w:r>
              <w:rPr>
                <w:rFonts w:hint="eastAsia"/>
                <w:spacing w:val="-2"/>
                <w:sz w:val="20"/>
                <w:lang w:eastAsia="zh-CN"/>
              </w:rPr>
              <w:t>25</w:t>
            </w:r>
            <w:r>
              <w:rPr>
                <w:spacing w:val="-2"/>
                <w:sz w:val="20"/>
              </w:rPr>
              <w:t>-1-4</w:t>
            </w:r>
          </w:p>
        </w:tc>
        <w:tc>
          <w:tcPr>
            <w:tcW w:w="2302" w:type="dxa"/>
          </w:tcPr>
          <w:p w14:paraId="3AB65D28">
            <w:pPr>
              <w:pStyle w:val="31"/>
              <w:spacing w:before="133" w:line="219" w:lineRule="auto"/>
              <w:ind w:left="738"/>
              <w:rPr>
                <w:sz w:val="20"/>
              </w:rPr>
            </w:pPr>
            <w:r>
              <w:rPr>
                <w:spacing w:val="-3"/>
                <w:sz w:val="20"/>
              </w:rPr>
              <w:t>发布版本</w:t>
            </w:r>
          </w:p>
        </w:tc>
        <w:tc>
          <w:tcPr>
            <w:tcW w:w="1557" w:type="dxa"/>
          </w:tcPr>
          <w:p w14:paraId="75892CA0">
            <w:pPr>
              <w:pStyle w:val="31"/>
              <w:spacing w:before="134" w:line="220" w:lineRule="auto"/>
              <w:ind w:left="480"/>
              <w:rPr>
                <w:sz w:val="20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王朋</w:t>
            </w:r>
          </w:p>
        </w:tc>
        <w:tc>
          <w:tcPr>
            <w:tcW w:w="1953" w:type="dxa"/>
          </w:tcPr>
          <w:p w14:paraId="0EA5B3F9">
            <w:pPr>
              <w:pStyle w:val="31"/>
              <w:spacing w:before="133" w:line="220" w:lineRule="auto"/>
              <w:ind w:left="672"/>
              <w:rPr>
                <w:sz w:val="20"/>
              </w:rPr>
            </w:pPr>
            <w:r>
              <w:rPr>
                <w:spacing w:val="-3"/>
                <w:sz w:val="20"/>
              </w:rPr>
              <w:t>史晓玲</w:t>
            </w:r>
          </w:p>
        </w:tc>
      </w:tr>
      <w:tr w14:paraId="07B4B6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D879D56">
            <w:pPr>
              <w:pStyle w:val="31"/>
              <w:spacing w:before="164" w:line="239" w:lineRule="auto"/>
              <w:ind w:left="638"/>
              <w:rPr>
                <w:sz w:val="20"/>
              </w:rPr>
            </w:pPr>
          </w:p>
        </w:tc>
        <w:tc>
          <w:tcPr>
            <w:tcW w:w="1555" w:type="dxa"/>
          </w:tcPr>
          <w:p w14:paraId="744B9AC3">
            <w:pPr>
              <w:pStyle w:val="31"/>
              <w:spacing w:before="164"/>
              <w:ind w:left="361"/>
              <w:rPr>
                <w:sz w:val="20"/>
              </w:rPr>
            </w:pPr>
          </w:p>
        </w:tc>
        <w:tc>
          <w:tcPr>
            <w:tcW w:w="2302" w:type="dxa"/>
          </w:tcPr>
          <w:p w14:paraId="38D10E71">
            <w:pPr>
              <w:pStyle w:val="31"/>
              <w:spacing w:before="134" w:line="219" w:lineRule="auto"/>
              <w:ind w:left="737"/>
              <w:rPr>
                <w:sz w:val="20"/>
              </w:rPr>
            </w:pPr>
          </w:p>
        </w:tc>
        <w:tc>
          <w:tcPr>
            <w:tcW w:w="1557" w:type="dxa"/>
          </w:tcPr>
          <w:p w14:paraId="398A643C">
            <w:pPr>
              <w:pStyle w:val="31"/>
              <w:spacing w:before="135" w:line="220" w:lineRule="auto"/>
              <w:ind w:left="480"/>
              <w:rPr>
                <w:sz w:val="20"/>
              </w:rPr>
            </w:pPr>
          </w:p>
        </w:tc>
        <w:tc>
          <w:tcPr>
            <w:tcW w:w="1953" w:type="dxa"/>
          </w:tcPr>
          <w:p w14:paraId="09496FA9">
            <w:pPr>
              <w:pStyle w:val="31"/>
              <w:spacing w:before="134" w:line="220" w:lineRule="auto"/>
              <w:ind w:left="672"/>
              <w:rPr>
                <w:sz w:val="20"/>
              </w:rPr>
            </w:pPr>
          </w:p>
        </w:tc>
      </w:tr>
      <w:tr w14:paraId="3305A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BE4B0DD">
            <w:pPr>
              <w:pStyle w:val="31"/>
              <w:spacing w:before="165" w:line="239" w:lineRule="auto"/>
              <w:ind w:left="638"/>
              <w:rPr>
                <w:sz w:val="20"/>
              </w:rPr>
            </w:pPr>
          </w:p>
        </w:tc>
        <w:tc>
          <w:tcPr>
            <w:tcW w:w="1555" w:type="dxa"/>
          </w:tcPr>
          <w:p w14:paraId="04278C7C">
            <w:pPr>
              <w:pStyle w:val="31"/>
              <w:spacing w:before="165"/>
              <w:ind w:left="361"/>
              <w:rPr>
                <w:sz w:val="20"/>
              </w:rPr>
            </w:pPr>
          </w:p>
        </w:tc>
        <w:tc>
          <w:tcPr>
            <w:tcW w:w="2302" w:type="dxa"/>
          </w:tcPr>
          <w:p w14:paraId="1ABFFE48">
            <w:pPr>
              <w:pStyle w:val="31"/>
              <w:spacing w:before="135" w:line="219" w:lineRule="auto"/>
              <w:ind w:left="737"/>
              <w:rPr>
                <w:sz w:val="20"/>
              </w:rPr>
            </w:pPr>
          </w:p>
        </w:tc>
        <w:tc>
          <w:tcPr>
            <w:tcW w:w="1557" w:type="dxa"/>
          </w:tcPr>
          <w:p w14:paraId="10685209">
            <w:pPr>
              <w:pStyle w:val="31"/>
              <w:spacing w:before="136" w:line="220" w:lineRule="auto"/>
              <w:ind w:left="480"/>
              <w:rPr>
                <w:sz w:val="20"/>
              </w:rPr>
            </w:pPr>
          </w:p>
        </w:tc>
        <w:tc>
          <w:tcPr>
            <w:tcW w:w="1953" w:type="dxa"/>
          </w:tcPr>
          <w:p w14:paraId="406E6A0C">
            <w:pPr>
              <w:pStyle w:val="31"/>
              <w:spacing w:before="135" w:line="220" w:lineRule="auto"/>
              <w:ind w:left="672"/>
              <w:rPr>
                <w:sz w:val="20"/>
              </w:rPr>
            </w:pPr>
          </w:p>
        </w:tc>
      </w:tr>
      <w:tr w14:paraId="15A9F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5F94E3C">
            <w:pPr>
              <w:pStyle w:val="31"/>
              <w:spacing w:before="166" w:line="239" w:lineRule="auto"/>
              <w:ind w:left="638"/>
              <w:rPr>
                <w:sz w:val="20"/>
              </w:rPr>
            </w:pPr>
          </w:p>
        </w:tc>
        <w:tc>
          <w:tcPr>
            <w:tcW w:w="1555" w:type="dxa"/>
          </w:tcPr>
          <w:p w14:paraId="7734DB6F">
            <w:pPr>
              <w:pStyle w:val="31"/>
              <w:spacing w:before="166"/>
              <w:ind w:left="361"/>
              <w:rPr>
                <w:sz w:val="20"/>
              </w:rPr>
            </w:pPr>
          </w:p>
        </w:tc>
        <w:tc>
          <w:tcPr>
            <w:tcW w:w="2302" w:type="dxa"/>
          </w:tcPr>
          <w:p w14:paraId="062B1D59">
            <w:pPr>
              <w:pStyle w:val="31"/>
              <w:spacing w:before="136" w:line="219" w:lineRule="auto"/>
              <w:ind w:left="737"/>
              <w:rPr>
                <w:sz w:val="20"/>
              </w:rPr>
            </w:pPr>
          </w:p>
        </w:tc>
        <w:tc>
          <w:tcPr>
            <w:tcW w:w="1557" w:type="dxa"/>
          </w:tcPr>
          <w:p w14:paraId="55BE242B">
            <w:pPr>
              <w:pStyle w:val="31"/>
              <w:spacing w:before="137" w:line="220" w:lineRule="auto"/>
              <w:ind w:left="480"/>
              <w:rPr>
                <w:sz w:val="20"/>
              </w:rPr>
            </w:pPr>
          </w:p>
        </w:tc>
        <w:tc>
          <w:tcPr>
            <w:tcW w:w="1953" w:type="dxa"/>
          </w:tcPr>
          <w:p w14:paraId="7D85D3A4">
            <w:pPr>
              <w:pStyle w:val="31"/>
              <w:spacing w:before="136" w:line="220" w:lineRule="auto"/>
              <w:ind w:left="672"/>
              <w:rPr>
                <w:sz w:val="20"/>
              </w:rPr>
            </w:pPr>
          </w:p>
        </w:tc>
      </w:tr>
      <w:tr w14:paraId="24F60F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0CB61B71">
            <w:pPr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</w:pPr>
          </w:p>
        </w:tc>
        <w:tc>
          <w:tcPr>
            <w:tcW w:w="1555" w:type="dxa"/>
          </w:tcPr>
          <w:p w14:paraId="1179A3C0">
            <w:pPr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</w:pPr>
          </w:p>
        </w:tc>
        <w:tc>
          <w:tcPr>
            <w:tcW w:w="2302" w:type="dxa"/>
          </w:tcPr>
          <w:p w14:paraId="59E977C4">
            <w:pPr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</w:pPr>
          </w:p>
        </w:tc>
        <w:tc>
          <w:tcPr>
            <w:tcW w:w="1557" w:type="dxa"/>
          </w:tcPr>
          <w:p w14:paraId="5E63605C">
            <w:pPr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</w:pPr>
          </w:p>
        </w:tc>
        <w:tc>
          <w:tcPr>
            <w:tcW w:w="1953" w:type="dxa"/>
          </w:tcPr>
          <w:p w14:paraId="5546A70C">
            <w:pPr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</w:pPr>
          </w:p>
        </w:tc>
      </w:tr>
    </w:tbl>
    <w:p w14:paraId="2DC46831">
      <w:pPr>
        <w:rPr>
          <w:rFonts w:ascii="宋体" w:hAnsi="宋体"/>
        </w:rPr>
      </w:pPr>
      <w:r>
        <w:rPr>
          <w:rFonts w:ascii="宋体" w:hAnsi="宋体"/>
        </w:rPr>
        <w:br w:type="page"/>
      </w:r>
    </w:p>
    <w:p w14:paraId="4CAC8A79">
      <w:pPr>
        <w:jc w:val="center"/>
        <w:rPr>
          <w:rFonts w:ascii="宋体" w:hAnsi="宋体"/>
        </w:rPr>
      </w:pPr>
    </w:p>
    <w:sdt>
      <w:sdtPr>
        <w:rPr>
          <w:rFonts w:ascii="宋体" w:hAnsi="宋体"/>
        </w:rPr>
        <w:id w:val="147473573"/>
        <w:docPartObj>
          <w:docPartGallery w:val="Table of Contents"/>
          <w:docPartUnique/>
        </w:docPartObj>
      </w:sdtPr>
      <w:sdtEndPr>
        <w:rPr>
          <w:rFonts w:asciiTheme="minorHAnsi" w:hAnsiTheme="minorHAnsi"/>
        </w:rPr>
      </w:sdtEndPr>
      <w:sdtContent>
        <w:p w14:paraId="1B5BE12B">
          <w:pPr>
            <w:jc w:val="center"/>
          </w:pPr>
          <w:r>
            <w:rPr>
              <w:rFonts w:ascii="宋体" w:hAnsi="宋体" w:eastAsia="宋体"/>
            </w:rPr>
            <w:t>目录</w:t>
          </w:r>
        </w:p>
        <w:p w14:paraId="27BFEE29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_Toc24250 </w:instrText>
          </w:r>
          <w:r>
            <w:fldChar w:fldCharType="separate"/>
          </w:r>
          <w:r>
            <w:t>淮安生态新城信息系统运维服务</w:t>
          </w:r>
          <w:r>
            <w:t xml:space="preserve"> </w:t>
          </w:r>
          <w:r>
            <w:t>项目可用性计划</w:t>
          </w:r>
          <w:r>
            <w:tab/>
          </w:r>
          <w:r>
            <w:fldChar w:fldCharType="begin"/>
          </w:r>
          <w:r>
            <w:instrText xml:space="preserve"> PAGEREF _Toc24250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EF377F8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_Toc8888 </w:instrText>
          </w:r>
          <w: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_Toc8888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E8DC623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_Toc5215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计划目的</w:t>
          </w:r>
          <w:r>
            <w:tab/>
          </w:r>
          <w:r>
            <w:fldChar w:fldCharType="begin"/>
          </w:r>
          <w:r>
            <w:instrText xml:space="preserve"> PAGEREF _Toc5215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5B680A6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_Toc18422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_Toc18422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450EA7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_Toc3901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可用性定义与计算公式</w:t>
          </w:r>
          <w:r>
            <w:tab/>
          </w:r>
          <w:r>
            <w:fldChar w:fldCharType="begin"/>
          </w:r>
          <w:r>
            <w:instrText xml:space="preserve"> PAGEREF _Toc3901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E34FF5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_Toc24621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可用性定义</w:t>
          </w:r>
          <w:r>
            <w:tab/>
          </w:r>
          <w:r>
            <w:fldChar w:fldCharType="begin"/>
          </w:r>
          <w:r>
            <w:instrText xml:space="preserve"> PAGEREF _Toc24621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FC33A18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_Toc21056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计算公式</w:t>
          </w:r>
          <w:r>
            <w:tab/>
          </w:r>
          <w:r>
            <w:fldChar w:fldCharType="begin"/>
          </w:r>
          <w:r>
            <w:instrText xml:space="preserve"> PAGEREF _Toc21056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574CF55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_Toc464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说明</w:t>
          </w:r>
          <w:r>
            <w:tab/>
          </w:r>
          <w:r>
            <w:fldChar w:fldCharType="begin"/>
          </w:r>
          <w:r>
            <w:instrText xml:space="preserve"> PAGEREF _Toc464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3ECA965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_Toc1143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可用性目标</w:t>
          </w:r>
          <w:r>
            <w:tab/>
          </w:r>
          <w:r>
            <w:fldChar w:fldCharType="begin"/>
          </w:r>
          <w:r>
            <w:instrText xml:space="preserve"> PAGEREF _Toc1143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E4C5B56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_Toc8306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总体目标</w:t>
          </w:r>
          <w:r>
            <w:tab/>
          </w:r>
          <w:r>
            <w:fldChar w:fldCharType="begin"/>
          </w:r>
          <w:r>
            <w:instrText xml:space="preserve"> PAGEREF _Toc8306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AF90F94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_Toc6366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分级可用性目标</w:t>
          </w:r>
          <w:r>
            <w:tab/>
          </w:r>
          <w:r>
            <w:fldChar w:fldCharType="begin"/>
          </w:r>
          <w:r>
            <w:instrText xml:space="preserve"> PAGEREF _Toc6366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BB2B4E7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_Toc25071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季度可用性目标分解</w:t>
          </w:r>
          <w:r>
            <w:tab/>
          </w:r>
          <w:r>
            <w:fldChar w:fldCharType="begin"/>
          </w:r>
          <w:r>
            <w:instrText xml:space="preserve"> PAGEREF _Toc25071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32354B6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_Toc26996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可用性影响因素分析</w:t>
          </w:r>
          <w:r>
            <w:tab/>
          </w:r>
          <w:r>
            <w:fldChar w:fldCharType="begin"/>
          </w:r>
          <w:r>
            <w:instrText xml:space="preserve"> PAGEREF _Toc26996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10899F1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_Toc32173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可用性保障措施</w:t>
          </w:r>
          <w:r>
            <w:tab/>
          </w:r>
          <w:r>
            <w:fldChar w:fldCharType="begin"/>
          </w:r>
          <w:r>
            <w:instrText xml:space="preserve"> PAGEREF _Toc32173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DC90171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_Toc2010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基础设施层</w:t>
          </w:r>
          <w:r>
            <w:tab/>
          </w:r>
          <w:r>
            <w:fldChar w:fldCharType="begin"/>
          </w:r>
          <w:r>
            <w:instrText xml:space="preserve"> PAGEREF _Toc2010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7564125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_Toc32570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数据层</w:t>
          </w:r>
          <w:r>
            <w:tab/>
          </w:r>
          <w:r>
            <w:fldChar w:fldCharType="begin"/>
          </w:r>
          <w:r>
            <w:instrText xml:space="preserve"> PAGEREF _Toc32570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D504D32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_Toc22546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运维管理</w:t>
          </w:r>
          <w:r>
            <w:tab/>
          </w:r>
          <w:r>
            <w:fldChar w:fldCharType="begin"/>
          </w:r>
          <w:r>
            <w:instrText xml:space="preserve"> PAGEREF _Toc22546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711B719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_Toc20117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可用性监控与告警</w:t>
          </w:r>
          <w:r>
            <w:tab/>
          </w:r>
          <w:r>
            <w:fldChar w:fldCharType="begin"/>
          </w:r>
          <w:r>
            <w:instrText xml:space="preserve"> PAGEREF _Toc20117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2B88D48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_Toc28185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监控指标</w:t>
          </w:r>
          <w:r>
            <w:tab/>
          </w:r>
          <w:r>
            <w:fldChar w:fldCharType="begin"/>
          </w:r>
          <w:r>
            <w:instrText xml:space="preserve"> PAGEREF _Toc28185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DD91470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_Toc13270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告警分级与响应</w:t>
          </w:r>
          <w:r>
            <w:tab/>
          </w:r>
          <w:r>
            <w:fldChar w:fldCharType="begin"/>
          </w:r>
          <w:r>
            <w:instrText xml:space="preserve"> PAGEREF _Toc13270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21D805D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_Toc11632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可用性统计</w:t>
          </w:r>
          <w:r>
            <w:tab/>
          </w:r>
          <w:r>
            <w:fldChar w:fldCharType="begin"/>
          </w:r>
          <w:r>
            <w:instrText xml:space="preserve"> PAGEREF _Toc11632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65D15CB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_Toc31006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可用性报告与评审</w:t>
          </w:r>
          <w:r>
            <w:tab/>
          </w:r>
          <w:r>
            <w:fldChar w:fldCharType="begin"/>
          </w:r>
          <w:r>
            <w:instrText xml:space="preserve"> PAGEREF _Toc31006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2A96C0B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_Toc25042 </w:instrText>
          </w:r>
          <w:r>
            <w:fldChar w:fldCharType="separate"/>
          </w:r>
          <w:r>
            <w:rPr>
              <w:rFonts w:hint="default"/>
            </w:rPr>
            <w:t xml:space="preserve">8.1. </w:t>
          </w:r>
          <w:r>
            <w:t>报告类型</w:t>
          </w:r>
          <w:r>
            <w:tab/>
          </w:r>
          <w:r>
            <w:fldChar w:fldCharType="begin"/>
          </w:r>
          <w:r>
            <w:instrText xml:space="preserve"> PAGEREF _Toc25042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DCC8557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_Toc9453 </w:instrText>
          </w:r>
          <w:r>
            <w:fldChar w:fldCharType="separate"/>
          </w:r>
          <w:r>
            <w:rPr>
              <w:rFonts w:hint="default"/>
            </w:rPr>
            <w:t xml:space="preserve">8.2. </w:t>
          </w:r>
          <w:r>
            <w:t>可用性评审</w:t>
          </w:r>
          <w:r>
            <w:tab/>
          </w:r>
          <w:r>
            <w:fldChar w:fldCharType="begin"/>
          </w:r>
          <w:r>
            <w:instrText xml:space="preserve"> PAGEREF _Toc9453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1ED89C2">
          <w:pPr>
            <w:pStyle w:val="1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_Toc676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可用性改进计划</w:t>
          </w:r>
          <w:r>
            <w:tab/>
          </w:r>
          <w:r>
            <w:fldChar w:fldCharType="begin"/>
          </w:r>
          <w:r>
            <w:instrText xml:space="preserve"> PAGEREF _Toc676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E5A5F20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_Toc22616 </w:instrText>
          </w:r>
          <w:r>
            <w:fldChar w:fldCharType="separate"/>
          </w:r>
          <w:r>
            <w:rPr>
              <w:rFonts w:hint="default"/>
            </w:rPr>
            <w:t xml:space="preserve">9.1. </w:t>
          </w:r>
          <w:r>
            <w:t>改进流程</w:t>
          </w:r>
          <w:r>
            <w:tab/>
          </w:r>
          <w:r>
            <w:fldChar w:fldCharType="begin"/>
          </w:r>
          <w:r>
            <w:instrText xml:space="preserve"> PAGEREF _Toc22616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949B943">
          <w:pPr>
            <w:pStyle w:val="18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_Toc7909 </w:instrText>
          </w:r>
          <w:r>
            <w:fldChar w:fldCharType="separate"/>
          </w:r>
          <w:r>
            <w:rPr>
              <w:rFonts w:hint="default"/>
            </w:rPr>
            <w:t xml:space="preserve">9.2. </w:t>
          </w:r>
          <w:r>
            <w:t>持续改进目标</w:t>
          </w:r>
          <w:r>
            <w:tab/>
          </w:r>
          <w:r>
            <w:fldChar w:fldCharType="begin"/>
          </w:r>
          <w:r>
            <w:instrText xml:space="preserve"> PAGEREF _Toc7909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09E09D9">
          <w:r>
            <w:fldChar w:fldCharType="end"/>
          </w:r>
        </w:p>
      </w:sdtContent>
    </w:sdt>
    <w:p w14:paraId="070CDC74">
      <w:bookmarkStart w:id="2" w:name="heading_1"/>
      <w:r>
        <w:br w:type="page"/>
      </w:r>
    </w:p>
    <w:p w14:paraId="2619E7BD">
      <w:pPr>
        <w:pStyle w:val="35"/>
        <w:bidi w:val="0"/>
      </w:pPr>
      <w:bookmarkStart w:id="3" w:name="_Toc5215"/>
      <w:r>
        <w:t>计划目的</w:t>
      </w:r>
      <w:bookmarkEnd w:id="2"/>
      <w:bookmarkEnd w:id="3"/>
    </w:p>
    <w:p w14:paraId="2A59E38D">
      <w:pPr>
        <w:pStyle w:val="46"/>
        <w:numPr>
          <w:ilvl w:val="0"/>
          <w:numId w:val="2"/>
        </w:numPr>
        <w:bidi w:val="0"/>
      </w:pPr>
      <w:r>
        <w:t>明确淮安生态新城信息系统的可用性目标</w:t>
      </w:r>
    </w:p>
    <w:p w14:paraId="06D0EEC6">
      <w:pPr>
        <w:pStyle w:val="46"/>
        <w:numPr>
          <w:ilvl w:val="0"/>
          <w:numId w:val="2"/>
        </w:numPr>
        <w:bidi w:val="0"/>
      </w:pPr>
      <w:r>
        <w:t>识别影响可用性的关键因素并制定应对措施</w:t>
      </w:r>
    </w:p>
    <w:p w14:paraId="15D1A3F4">
      <w:pPr>
        <w:pStyle w:val="46"/>
        <w:numPr>
          <w:ilvl w:val="0"/>
          <w:numId w:val="2"/>
        </w:numPr>
        <w:bidi w:val="0"/>
      </w:pPr>
      <w:r>
        <w:t>建立可用性监控、报告与持续改进机制</w:t>
      </w:r>
    </w:p>
    <w:p w14:paraId="5FAC66CE">
      <w:pPr>
        <w:pStyle w:val="46"/>
        <w:numPr>
          <w:ilvl w:val="0"/>
          <w:numId w:val="2"/>
        </w:numPr>
        <w:bidi w:val="0"/>
      </w:pPr>
      <w:r>
        <w:t>确保运维服务满足合同SLA要求</w:t>
      </w:r>
    </w:p>
    <w:p w14:paraId="563C125C">
      <w:pPr>
        <w:pStyle w:val="46"/>
        <w:numPr>
          <w:ilvl w:val="0"/>
          <w:numId w:val="2"/>
        </w:numPr>
        <w:bidi w:val="0"/>
      </w:pPr>
      <w:r>
        <w:t>支撑ITSS认证中的服务可用性管理过程</w:t>
      </w:r>
    </w:p>
    <w:p w14:paraId="6956477A">
      <w:pPr>
        <w:pStyle w:val="35"/>
        <w:bidi w:val="0"/>
      </w:pPr>
      <w:bookmarkStart w:id="4" w:name="heading_2"/>
      <w:bookmarkStart w:id="5" w:name="_Toc18422"/>
      <w:r>
        <w:t>适用范围</w:t>
      </w:r>
      <w:bookmarkEnd w:id="4"/>
      <w:bookmarkEnd w:id="5"/>
    </w:p>
    <w:p w14:paraId="6908DFCC">
      <w:pPr>
        <w:pStyle w:val="36"/>
        <w:bidi w:val="0"/>
      </w:pPr>
      <w:r>
        <w:t>本计划适用于淮安生态新城运维服务范围内所有纳管系统，包括但不限于：</w:t>
      </w:r>
    </w:p>
    <w:tbl>
      <w:tblPr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0"/>
        <w:gridCol w:w="3366"/>
        <w:gridCol w:w="1522"/>
        <w:gridCol w:w="1522"/>
      </w:tblGrid>
      <w:tr w14:paraId="5C76BE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7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AA02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类别</w:t>
            </w:r>
          </w:p>
        </w:tc>
        <w:tc>
          <w:tcPr>
            <w:tcW w:w="33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BA7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设备名称</w:t>
            </w:r>
          </w:p>
        </w:tc>
        <w:tc>
          <w:tcPr>
            <w:tcW w:w="15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662C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品牌</w:t>
            </w:r>
          </w:p>
        </w:tc>
        <w:tc>
          <w:tcPr>
            <w:tcW w:w="152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948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数量</w:t>
            </w:r>
          </w:p>
        </w:tc>
      </w:tr>
      <w:tr w14:paraId="53612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F692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网络设备</w:t>
            </w:r>
          </w:p>
        </w:tc>
        <w:tc>
          <w:tcPr>
            <w:tcW w:w="3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B1F3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数通路由器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10D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H3C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6DB7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409725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B342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网络设备</w:t>
            </w:r>
          </w:p>
        </w:tc>
        <w:tc>
          <w:tcPr>
            <w:tcW w:w="3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512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核心交换机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7889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H3C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3456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3FB44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0177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网络设备</w:t>
            </w:r>
          </w:p>
        </w:tc>
        <w:tc>
          <w:tcPr>
            <w:tcW w:w="3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C95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汇聚交换机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9272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华三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AE37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001DF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D62B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网络设备</w:t>
            </w:r>
          </w:p>
        </w:tc>
        <w:tc>
          <w:tcPr>
            <w:tcW w:w="3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5A4B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楼层汇聚交换机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372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华为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17EC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38F60F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2880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服务器</w:t>
            </w:r>
          </w:p>
        </w:tc>
        <w:tc>
          <w:tcPr>
            <w:tcW w:w="3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1F7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一体化服务器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641E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浪潮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0232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51FD20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E523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服务器</w:t>
            </w:r>
          </w:p>
        </w:tc>
        <w:tc>
          <w:tcPr>
            <w:tcW w:w="33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C86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用友财务服务器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837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联想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788B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7372AE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A805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服务器</w:t>
            </w:r>
          </w:p>
        </w:tc>
        <w:tc>
          <w:tcPr>
            <w:tcW w:w="33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89D7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数据回流服务器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DA43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浪潮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86CFA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</w:tr>
    </w:tbl>
    <w:p w14:paraId="5D10AD9B">
      <w:p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74B61C87">
      <w:pPr>
        <w:pStyle w:val="35"/>
        <w:bidi w:val="0"/>
      </w:pPr>
      <w:bookmarkStart w:id="6" w:name="heading_3"/>
      <w:bookmarkStart w:id="7" w:name="_Toc3901"/>
      <w:r>
        <w:t>可用性定义与计算公式</w:t>
      </w:r>
      <w:bookmarkEnd w:id="6"/>
      <w:bookmarkEnd w:id="7"/>
    </w:p>
    <w:p w14:paraId="5BD85F5C">
      <w:pPr>
        <w:pStyle w:val="37"/>
        <w:bidi w:val="0"/>
      </w:pPr>
      <w:bookmarkStart w:id="8" w:name="heading_4"/>
      <w:bookmarkStart w:id="9" w:name="_Toc24621"/>
      <w:r>
        <w:t>可用性定义</w:t>
      </w:r>
      <w:bookmarkEnd w:id="8"/>
      <w:bookmarkEnd w:id="9"/>
    </w:p>
    <w:p w14:paraId="110D8B6C">
      <w:pPr>
        <w:pStyle w:val="36"/>
        <w:bidi w:val="0"/>
      </w:pPr>
      <w:r>
        <w:t>系统可用性是指系统在约定服务时间内处于可正常使用状态的能力，以百分比表示。</w:t>
      </w:r>
    </w:p>
    <w:p w14:paraId="1BB16066">
      <w:pPr>
        <w:pStyle w:val="37"/>
        <w:bidi w:val="0"/>
      </w:pPr>
      <w:bookmarkStart w:id="10" w:name="heading_5"/>
      <w:bookmarkStart w:id="11" w:name="_Toc21056"/>
      <w:r>
        <w:t>计算公式</w:t>
      </w:r>
      <w:bookmarkEnd w:id="10"/>
      <w:bookmarkEnd w:id="11"/>
    </w:p>
    <w:p w14:paraId="1A0820DC">
      <w:pPr>
        <w:pStyle w:val="46"/>
        <w:numPr>
          <w:ilvl w:val="0"/>
          <w:numId w:val="0"/>
        </w:numPr>
        <w:bidi w:val="0"/>
        <w:ind w:leftChars="0"/>
      </w:pPr>
      <w:r>
        <w:t xml:space="preserve">可用性 = </w:t>
      </w:r>
      <w:r>
        <w:rPr>
          <w:rFonts w:hint="eastAsia"/>
          <w:lang w:val="en-US" w:eastAsia="zh-CN"/>
        </w:rPr>
        <w:t>可用时间/整体运行时间*100%</w:t>
      </w:r>
    </w:p>
    <w:p w14:paraId="642E4FF0">
      <w:pPr>
        <w:pStyle w:val="37"/>
        <w:bidi w:val="0"/>
      </w:pPr>
      <w:bookmarkStart w:id="12" w:name="heading_6"/>
      <w:bookmarkStart w:id="13" w:name="_Toc464"/>
      <w:r>
        <w:t>说明</w:t>
      </w:r>
      <w:bookmarkEnd w:id="12"/>
      <w:bookmarkEnd w:id="13"/>
    </w:p>
    <w:p w14:paraId="0F05D515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计划维护窗口需提前48小时通知甲方，甲方保留拒绝或推迟的权利</w:t>
      </w:r>
    </w:p>
    <w:p w14:paraId="0C3D892E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未提前通知的计划外维护计入故障停机时长</w:t>
      </w:r>
    </w:p>
    <w:p w14:paraId="6D7D8588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SLA统计口径以</w:t>
      </w:r>
      <w:r>
        <w:rPr>
          <w:rFonts w:hint="eastAsia"/>
          <w:lang w:val="en-US" w:eastAsia="zh-CN"/>
        </w:rPr>
        <w:t>360云协作平台</w:t>
      </w:r>
      <w:bookmarkStart w:id="52" w:name="_GoBack"/>
      <w:bookmarkEnd w:id="52"/>
      <w:r>
        <w:t>为准</w:t>
      </w:r>
    </w:p>
    <w:p w14:paraId="6AC20F82">
      <w:pPr>
        <w:pStyle w:val="35"/>
        <w:bidi w:val="0"/>
      </w:pPr>
      <w:bookmarkStart w:id="14" w:name="heading_7"/>
      <w:bookmarkStart w:id="15" w:name="_Toc1143"/>
      <w:r>
        <w:t>可用性目标</w:t>
      </w:r>
      <w:bookmarkEnd w:id="14"/>
      <w:bookmarkEnd w:id="15"/>
    </w:p>
    <w:p w14:paraId="6775F392">
      <w:pPr>
        <w:pStyle w:val="37"/>
        <w:bidi w:val="0"/>
      </w:pPr>
      <w:bookmarkStart w:id="16" w:name="heading_8"/>
      <w:bookmarkStart w:id="17" w:name="_Toc8306"/>
      <w:r>
        <w:t>总体目标</w:t>
      </w:r>
      <w:bookmarkEnd w:id="16"/>
      <w:bookmarkEnd w:id="17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9"/>
        <w:gridCol w:w="2263"/>
        <w:gridCol w:w="4128"/>
      </w:tblGrid>
      <w:tr w14:paraId="6E83B4D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CBFA4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系统类别</w:t>
            </w:r>
          </w:p>
        </w:tc>
        <w:tc>
          <w:tcPr>
            <w:tcW w:w="22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38A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可用性目标</w:t>
            </w:r>
          </w:p>
        </w:tc>
        <w:tc>
          <w:tcPr>
            <w:tcW w:w="412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3B423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年度允许最大停机时长</w:t>
            </w:r>
          </w:p>
        </w:tc>
      </w:tr>
      <w:tr w14:paraId="0124832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556A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核心系统</w:t>
            </w:r>
          </w:p>
        </w:tc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AD17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99.9%</w:t>
            </w:r>
          </w:p>
        </w:tc>
        <w:tc>
          <w:tcPr>
            <w:tcW w:w="41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3199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 8.76 小时/年</w:t>
            </w:r>
          </w:p>
        </w:tc>
      </w:tr>
      <w:tr w14:paraId="7591A2E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163B8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重要系统</w:t>
            </w:r>
          </w:p>
        </w:tc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E79A7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99.5%</w:t>
            </w:r>
          </w:p>
        </w:tc>
        <w:tc>
          <w:tcPr>
            <w:tcW w:w="41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3A46A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 43.8 小时/年</w:t>
            </w:r>
          </w:p>
        </w:tc>
      </w:tr>
      <w:tr w14:paraId="3A11B1E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B83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一般系统</w:t>
            </w:r>
          </w:p>
        </w:tc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5C4D7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99.0%</w:t>
            </w:r>
          </w:p>
        </w:tc>
        <w:tc>
          <w:tcPr>
            <w:tcW w:w="41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2C10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 87.6 小时/年</w:t>
            </w:r>
          </w:p>
        </w:tc>
      </w:tr>
    </w:tbl>
    <w:p w14:paraId="67A9106A">
      <w:pPr>
        <w:pStyle w:val="37"/>
        <w:bidi w:val="0"/>
      </w:pPr>
      <w:bookmarkStart w:id="18" w:name="heading_9"/>
      <w:bookmarkStart w:id="19" w:name="_Toc6366"/>
      <w:r>
        <w:t>分级可用性目标</w:t>
      </w:r>
      <w:bookmarkEnd w:id="18"/>
      <w:bookmarkEnd w:id="19"/>
    </w:p>
    <w:p w14:paraId="5E91B9AE">
      <w:pPr>
        <w:pStyle w:val="3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依据合同规范事件的级别、响应时限、处理时限、结局时限、可用性目标等。</w:t>
      </w:r>
    </w:p>
    <w:tbl>
      <w:tblPr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8"/>
        <w:gridCol w:w="1656"/>
        <w:gridCol w:w="1656"/>
        <w:gridCol w:w="1656"/>
        <w:gridCol w:w="1934"/>
      </w:tblGrid>
      <w:tr w14:paraId="5F587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B561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事件级别</w:t>
            </w:r>
          </w:p>
        </w:tc>
        <w:tc>
          <w:tcPr>
            <w:tcW w:w="16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B67F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响应时限</w:t>
            </w:r>
          </w:p>
        </w:tc>
        <w:tc>
          <w:tcPr>
            <w:tcW w:w="16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D839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处理时限</w:t>
            </w:r>
          </w:p>
        </w:tc>
        <w:tc>
          <w:tcPr>
            <w:tcW w:w="16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654A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解决时限</w:t>
            </w:r>
          </w:p>
        </w:tc>
        <w:tc>
          <w:tcPr>
            <w:tcW w:w="193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4FE5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可用性目标</w:t>
            </w:r>
          </w:p>
        </w:tc>
      </w:tr>
      <w:tr w14:paraId="6BBEC1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3E944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关键故障</w:t>
            </w:r>
          </w:p>
        </w:tc>
        <w:tc>
          <w:tcPr>
            <w:tcW w:w="16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278C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30分钟</w:t>
            </w:r>
          </w:p>
        </w:tc>
        <w:tc>
          <w:tcPr>
            <w:tcW w:w="16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473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2小时</w:t>
            </w:r>
          </w:p>
        </w:tc>
        <w:tc>
          <w:tcPr>
            <w:tcW w:w="16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9416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4小时</w:t>
            </w:r>
          </w:p>
        </w:tc>
        <w:tc>
          <w:tcPr>
            <w:tcW w:w="193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BF88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≥ 99.9%</w:t>
            </w:r>
          </w:p>
        </w:tc>
      </w:tr>
      <w:tr w14:paraId="44F6B6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12412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一般故障</w:t>
            </w:r>
          </w:p>
        </w:tc>
        <w:tc>
          <w:tcPr>
            <w:tcW w:w="16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E72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2小时</w:t>
            </w:r>
          </w:p>
        </w:tc>
        <w:tc>
          <w:tcPr>
            <w:tcW w:w="16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1C4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4小时</w:t>
            </w:r>
          </w:p>
        </w:tc>
        <w:tc>
          <w:tcPr>
            <w:tcW w:w="16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0EC4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8小时</w:t>
            </w:r>
          </w:p>
        </w:tc>
        <w:tc>
          <w:tcPr>
            <w:tcW w:w="19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0036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≥ 99.5%</w:t>
            </w:r>
          </w:p>
        </w:tc>
      </w:tr>
    </w:tbl>
    <w:p w14:paraId="44B87CBD">
      <w:pPr>
        <w:pStyle w:val="37"/>
        <w:bidi w:val="0"/>
      </w:pPr>
      <w:bookmarkStart w:id="20" w:name="heading_10"/>
      <w:bookmarkStart w:id="21" w:name="_Toc25071"/>
      <w:r>
        <w:t>季度可用性目标分解</w:t>
      </w:r>
      <w:bookmarkEnd w:id="20"/>
      <w:bookmarkEnd w:id="21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4"/>
        <w:gridCol w:w="2412"/>
        <w:gridCol w:w="2412"/>
        <w:gridCol w:w="2412"/>
      </w:tblGrid>
      <w:tr w14:paraId="7AB4495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04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F09A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季度</w:t>
            </w:r>
          </w:p>
        </w:tc>
        <w:tc>
          <w:tcPr>
            <w:tcW w:w="24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B51A6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核心系统目标</w:t>
            </w:r>
          </w:p>
        </w:tc>
        <w:tc>
          <w:tcPr>
            <w:tcW w:w="24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19933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重要系统目标</w:t>
            </w:r>
          </w:p>
        </w:tc>
        <w:tc>
          <w:tcPr>
            <w:tcW w:w="24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22F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一般系统目标</w:t>
            </w:r>
          </w:p>
        </w:tc>
      </w:tr>
      <w:tr w14:paraId="3E41465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EA69F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Q1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889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99.9%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6D742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99.5%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535B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99.0%</w:t>
            </w:r>
          </w:p>
        </w:tc>
      </w:tr>
      <w:tr w14:paraId="6847B52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4D5F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Q2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D5545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99.9%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8A3D6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99.5%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DE8F8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99.0%</w:t>
            </w:r>
          </w:p>
        </w:tc>
      </w:tr>
      <w:tr w14:paraId="2FA0A79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FDEE7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Q3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3C7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99.9%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7AFDE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99.5%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55C2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99.0%</w:t>
            </w:r>
          </w:p>
        </w:tc>
      </w:tr>
      <w:tr w14:paraId="14DE0D4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4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28D5E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Q4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247C5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99.9%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336E1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99.5%</w:t>
            </w:r>
          </w:p>
        </w:tc>
        <w:tc>
          <w:tcPr>
            <w:tcW w:w="24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1A641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99.0%</w:t>
            </w:r>
          </w:p>
        </w:tc>
      </w:tr>
    </w:tbl>
    <w:p w14:paraId="6A1D5D08">
      <w:pPr>
        <w:pStyle w:val="35"/>
        <w:bidi w:val="0"/>
      </w:pPr>
      <w:bookmarkStart w:id="22" w:name="heading_11"/>
      <w:bookmarkStart w:id="23" w:name="_Toc26996"/>
      <w:r>
        <w:t>可用性影响因素分析</w:t>
      </w:r>
      <w:bookmarkEnd w:id="22"/>
      <w:bookmarkEnd w:id="23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4"/>
        <w:gridCol w:w="2409"/>
        <w:gridCol w:w="1080"/>
        <w:gridCol w:w="1080"/>
        <w:gridCol w:w="1967"/>
      </w:tblGrid>
      <w:tr w14:paraId="5F64BEE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4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26C6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影响因素</w:t>
            </w:r>
          </w:p>
        </w:tc>
        <w:tc>
          <w:tcPr>
            <w:tcW w:w="240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FDE8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风险描述</w:t>
            </w:r>
          </w:p>
        </w:tc>
        <w:tc>
          <w:tcPr>
            <w:tcW w:w="10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48234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发生几率</w:t>
            </w:r>
          </w:p>
        </w:tc>
        <w:tc>
          <w:tcPr>
            <w:tcW w:w="10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F76C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影响程度</w:t>
            </w:r>
          </w:p>
        </w:tc>
        <w:tc>
          <w:tcPr>
            <w:tcW w:w="19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1D66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可用性影响预估</w:t>
            </w:r>
          </w:p>
        </w:tc>
      </w:tr>
      <w:tr w14:paraId="52ABAB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AE05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停电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88195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市电中断导致设备停机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FDEE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很少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D731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严重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4F987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停机至发电机启动</w:t>
            </w:r>
          </w:p>
        </w:tc>
      </w:tr>
      <w:tr w14:paraId="6FB55CC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5F809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核心交换机故障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D2DC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全网中断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50C98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很少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771C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严重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13D4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停机至主备切换</w:t>
            </w:r>
          </w:p>
        </w:tc>
      </w:tr>
      <w:tr w14:paraId="3A5F799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11874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数据库损坏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FBD4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核心业务停滞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A1BF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偶尔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1EC3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严重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E5B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停机至恢复完成</w:t>
            </w:r>
          </w:p>
        </w:tc>
      </w:tr>
      <w:tr w14:paraId="742658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0DCE4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服务器硬件故障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45C57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单台服务器宕机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4053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偶尔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BC2B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26431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停机至迁移完成</w:t>
            </w:r>
          </w:p>
        </w:tc>
      </w:tr>
      <w:tr w14:paraId="2A18B5E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A8BF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存储阵列故障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D60C0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数据无法读写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A30D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很少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A06A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615E8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停机至切换/恢复</w:t>
            </w:r>
          </w:p>
        </w:tc>
      </w:tr>
      <w:tr w14:paraId="1614C91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D9020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网络ISP故障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6621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对外服务中断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8E0D1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很少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384D5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5A64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停机至链路切换</w:t>
            </w:r>
          </w:p>
        </w:tc>
      </w:tr>
      <w:tr w14:paraId="0B05EB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28A83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安全攻击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27D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业务中断或数据丢失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A6E4F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很少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7FA6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严重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7965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停机至隔离恢复</w:t>
            </w:r>
          </w:p>
        </w:tc>
      </w:tr>
      <w:tr w14:paraId="664AADA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B0D2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高温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6A28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服务器过热关机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C1886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很少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6A8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3DDA7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停机至空调恢复</w:t>
            </w:r>
          </w:p>
        </w:tc>
      </w:tr>
      <w:tr w14:paraId="05CA936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358E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火灾/自然灾害</w:t>
            </w:r>
          </w:p>
        </w:tc>
        <w:tc>
          <w:tcPr>
            <w:tcW w:w="24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9BBB6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数据中心损毁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368DF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极小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548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严重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EE988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停机至灾备恢复</w:t>
            </w:r>
          </w:p>
        </w:tc>
      </w:tr>
    </w:tbl>
    <w:p w14:paraId="76821ADD">
      <w:pPr>
        <w:pStyle w:val="35"/>
        <w:bidi w:val="0"/>
      </w:pPr>
      <w:bookmarkStart w:id="24" w:name="heading_12"/>
      <w:bookmarkStart w:id="25" w:name="_Toc32173"/>
      <w:r>
        <w:t>可用性保障措施</w:t>
      </w:r>
      <w:bookmarkEnd w:id="24"/>
      <w:bookmarkEnd w:id="25"/>
    </w:p>
    <w:p w14:paraId="39257823">
      <w:pPr>
        <w:pStyle w:val="37"/>
        <w:bidi w:val="0"/>
      </w:pPr>
      <w:bookmarkStart w:id="26" w:name="heading_13"/>
      <w:bookmarkStart w:id="27" w:name="_Toc2010"/>
      <w:r>
        <w:t>基础设施层</w:t>
      </w:r>
      <w:bookmarkEnd w:id="26"/>
      <w:bookmarkEnd w:id="27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1"/>
        <w:gridCol w:w="4480"/>
        <w:gridCol w:w="1669"/>
      </w:tblGrid>
      <w:tr w14:paraId="58A78F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1B5A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措施</w:t>
            </w:r>
          </w:p>
        </w:tc>
        <w:tc>
          <w:tcPr>
            <w:tcW w:w="44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3C8C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说明</w:t>
            </w:r>
          </w:p>
        </w:tc>
        <w:tc>
          <w:tcPr>
            <w:tcW w:w="166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E380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</w:tr>
      <w:tr w14:paraId="7C9B8C2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B544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UPS+发电机</w:t>
            </w:r>
          </w:p>
        </w:tc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8373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市电中断后UPS供电≥30分钟，发电机自动启动</w:t>
            </w:r>
          </w:p>
        </w:tc>
        <w:tc>
          <w:tcPr>
            <w:tcW w:w="16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777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基础环境工程师</w:t>
            </w:r>
          </w:p>
        </w:tc>
      </w:tr>
      <w:tr w14:paraId="04D003D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DC1C9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核心交换机双机热备</w:t>
            </w:r>
          </w:p>
        </w:tc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BE01D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主备切换，故障自动转移</w:t>
            </w:r>
          </w:p>
        </w:tc>
        <w:tc>
          <w:tcPr>
            <w:tcW w:w="16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0157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网络工程师</w:t>
            </w:r>
          </w:p>
        </w:tc>
      </w:tr>
      <w:tr w14:paraId="551693A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E339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服务器集群HA</w:t>
            </w:r>
          </w:p>
        </w:tc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B55DB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vMotion自动迁移至健康主机</w:t>
            </w:r>
          </w:p>
        </w:tc>
        <w:tc>
          <w:tcPr>
            <w:tcW w:w="16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C378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</w:tr>
      <w:tr w14:paraId="51D86C1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1EEA8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存储RAID+热备盘</w:t>
            </w:r>
          </w:p>
        </w:tc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7B18B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RAID10/RAID5保护，热备盘自动重建</w:t>
            </w:r>
          </w:p>
        </w:tc>
        <w:tc>
          <w:tcPr>
            <w:tcW w:w="16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E9F7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基础环境工程师</w:t>
            </w:r>
          </w:p>
        </w:tc>
      </w:tr>
      <w:tr w14:paraId="2085620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A9BD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双ISP链路</w:t>
            </w:r>
          </w:p>
        </w:tc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CD9D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主备链路自动切换</w:t>
            </w:r>
          </w:p>
        </w:tc>
        <w:tc>
          <w:tcPr>
            <w:tcW w:w="166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38593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网络工程师</w:t>
            </w:r>
          </w:p>
        </w:tc>
      </w:tr>
    </w:tbl>
    <w:p w14:paraId="2967EDD0">
      <w:pPr>
        <w:pStyle w:val="37"/>
        <w:bidi w:val="0"/>
      </w:pPr>
      <w:bookmarkStart w:id="28" w:name="heading_14"/>
      <w:bookmarkStart w:id="29" w:name="_Toc32570"/>
      <w:r>
        <w:t>数据层</w:t>
      </w:r>
      <w:bookmarkEnd w:id="28"/>
      <w:bookmarkEnd w:id="29"/>
    </w:p>
    <w:tbl>
      <w:tblPr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2"/>
        <w:gridCol w:w="4426"/>
        <w:gridCol w:w="2042"/>
      </w:tblGrid>
      <w:tr w14:paraId="79D85D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BDAC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措施</w:t>
            </w:r>
          </w:p>
        </w:tc>
        <w:tc>
          <w:tcPr>
            <w:tcW w:w="44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0083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说明</w:t>
            </w:r>
          </w:p>
        </w:tc>
        <w:tc>
          <w:tcPr>
            <w:tcW w:w="204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7DE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责任人</w:t>
            </w:r>
          </w:p>
        </w:tc>
      </w:tr>
      <w:tr w14:paraId="0ECFF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6D39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服务器RAID</w:t>
            </w:r>
          </w:p>
        </w:tc>
        <w:tc>
          <w:tcPr>
            <w:tcW w:w="44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8F00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RAID保护，硬盘故障自动重建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0A63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运维工程师</w:t>
            </w:r>
          </w:p>
        </w:tc>
      </w:tr>
      <w:tr w14:paraId="03F650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68D1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配置备份</w:t>
            </w:r>
          </w:p>
        </w:tc>
        <w:tc>
          <w:tcPr>
            <w:tcW w:w="44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342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设备配置文件定期备份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18B6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网络工程师</w:t>
            </w:r>
          </w:p>
        </w:tc>
      </w:tr>
      <w:tr w14:paraId="12429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A947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系统备份</w:t>
            </w:r>
          </w:p>
        </w:tc>
        <w:tc>
          <w:tcPr>
            <w:tcW w:w="44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3809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服务器操作系统及数据备份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A218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数据库工程师</w:t>
            </w:r>
          </w:p>
        </w:tc>
      </w:tr>
    </w:tbl>
    <w:p w14:paraId="29686265">
      <w:pPr>
        <w:pStyle w:val="37"/>
        <w:bidi w:val="0"/>
      </w:pPr>
      <w:bookmarkStart w:id="30" w:name="heading_17"/>
      <w:bookmarkStart w:id="31" w:name="_Toc22546"/>
      <w:r>
        <w:t>运维管理</w:t>
      </w:r>
      <w:bookmarkEnd w:id="30"/>
      <w:bookmarkEnd w:id="31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79"/>
        <w:gridCol w:w="3746"/>
        <w:gridCol w:w="2055"/>
      </w:tblGrid>
      <w:tr w14:paraId="002052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7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2975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措施</w:t>
            </w:r>
          </w:p>
        </w:tc>
        <w:tc>
          <w:tcPr>
            <w:tcW w:w="37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1151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说明</w:t>
            </w:r>
          </w:p>
        </w:tc>
        <w:tc>
          <w:tcPr>
            <w:tcW w:w="20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7651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</w:tr>
      <w:tr w14:paraId="01AE84C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03EFD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7×24小时监控</w:t>
            </w:r>
          </w:p>
        </w:tc>
        <w:tc>
          <w:tcPr>
            <w:tcW w:w="37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B12F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实时监控可用性指标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671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</w:t>
            </w:r>
          </w:p>
        </w:tc>
      </w:tr>
      <w:tr w14:paraId="7DBF000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1471C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计划维护窗口</w:t>
            </w:r>
          </w:p>
        </w:tc>
        <w:tc>
          <w:tcPr>
            <w:tcW w:w="37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3EA4F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提前48小时通知甲方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2840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</w:tr>
      <w:tr w14:paraId="159623C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E324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应急演练</w:t>
            </w:r>
          </w:p>
        </w:tc>
        <w:tc>
          <w:tcPr>
            <w:tcW w:w="37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D53BF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每年至少1次灾备演练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EC6F1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</w:tr>
      <w:tr w14:paraId="0F891C0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C2FF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变更管理</w:t>
            </w:r>
          </w:p>
        </w:tc>
        <w:tc>
          <w:tcPr>
            <w:tcW w:w="37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D9FC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变更前评估可用性影响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5AC24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变更经理</w:t>
            </w:r>
          </w:p>
        </w:tc>
      </w:tr>
    </w:tbl>
    <w:p w14:paraId="136B06EA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</w:pPr>
    </w:p>
    <w:p w14:paraId="2AABF53C">
      <w:pPr>
        <w:pStyle w:val="35"/>
        <w:bidi w:val="0"/>
      </w:pPr>
      <w:bookmarkStart w:id="32" w:name="heading_18"/>
      <w:bookmarkStart w:id="33" w:name="_Toc20117"/>
      <w:r>
        <w:t>可用性监控与告警</w:t>
      </w:r>
      <w:bookmarkEnd w:id="32"/>
      <w:bookmarkEnd w:id="33"/>
    </w:p>
    <w:p w14:paraId="4CD92BD2">
      <w:pPr>
        <w:pStyle w:val="37"/>
        <w:bidi w:val="0"/>
      </w:pPr>
      <w:bookmarkStart w:id="34" w:name="heading_19"/>
      <w:bookmarkStart w:id="35" w:name="_Toc28185"/>
      <w:r>
        <w:t>监控指标</w:t>
      </w:r>
      <w:bookmarkEnd w:id="34"/>
      <w:bookmarkEnd w:id="35"/>
    </w:p>
    <w:tbl>
      <w:tblPr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4"/>
        <w:gridCol w:w="5081"/>
        <w:gridCol w:w="1605"/>
      </w:tblGrid>
      <w:tr w14:paraId="528874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59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0B21E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监控对象</w:t>
            </w:r>
          </w:p>
        </w:tc>
        <w:tc>
          <w:tcPr>
            <w:tcW w:w="50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533A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监控指标</w:t>
            </w:r>
          </w:p>
        </w:tc>
        <w:tc>
          <w:tcPr>
            <w:tcW w:w="16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2459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采集频率</w:t>
            </w:r>
          </w:p>
        </w:tc>
      </w:tr>
      <w:tr w14:paraId="4B2C97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E69DF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核心交换机</w:t>
            </w:r>
          </w:p>
        </w:tc>
        <w:tc>
          <w:tcPr>
            <w:tcW w:w="5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7C80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端口状态、CPU/内存使用率、流量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6246D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1分钟</w:t>
            </w:r>
          </w:p>
        </w:tc>
      </w:tr>
      <w:tr w14:paraId="453F6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F824A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路由器</w:t>
            </w:r>
          </w:p>
        </w:tc>
        <w:tc>
          <w:tcPr>
            <w:tcW w:w="5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9D914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端口状态、链路状态、CPU/内存使用率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7061F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1分钟</w:t>
            </w:r>
          </w:p>
        </w:tc>
      </w:tr>
      <w:tr w14:paraId="5106C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C0C8E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服务器</w:t>
            </w:r>
          </w:p>
        </w:tc>
        <w:tc>
          <w:tcPr>
            <w:tcW w:w="50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DB406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CPU、内存、磁盘、网络I/O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31AC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1分钟</w:t>
            </w:r>
          </w:p>
        </w:tc>
      </w:tr>
    </w:tbl>
    <w:p w14:paraId="1BE52ABE">
      <w:pPr>
        <w:pStyle w:val="36"/>
      </w:pPr>
    </w:p>
    <w:p w14:paraId="7D134874">
      <w:pPr>
        <w:pStyle w:val="37"/>
        <w:bidi w:val="0"/>
      </w:pPr>
      <w:bookmarkStart w:id="36" w:name="heading_20"/>
      <w:bookmarkStart w:id="37" w:name="_Toc13270"/>
      <w:r>
        <w:t>告警分级与响应</w:t>
      </w:r>
      <w:bookmarkEnd w:id="36"/>
      <w:bookmarkEnd w:id="37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0"/>
        <w:gridCol w:w="2976"/>
        <w:gridCol w:w="2324"/>
        <w:gridCol w:w="1140"/>
      </w:tblGrid>
      <w:tr w14:paraId="2FAEA3B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DC384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告警级别</w:t>
            </w:r>
          </w:p>
        </w:tc>
        <w:tc>
          <w:tcPr>
            <w:tcW w:w="29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B38F7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触发条件</w:t>
            </w:r>
          </w:p>
        </w:tc>
        <w:tc>
          <w:tcPr>
            <w:tcW w:w="23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EC2B1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通知方式</w:t>
            </w:r>
          </w:p>
        </w:tc>
        <w:tc>
          <w:tcPr>
            <w:tcW w:w="113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9ABF5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响应时限</w:t>
            </w:r>
          </w:p>
        </w:tc>
      </w:tr>
      <w:tr w14:paraId="09F0042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F5EA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三级</w:t>
            </w:r>
          </w:p>
        </w:tc>
        <w:tc>
          <w:tcPr>
            <w:tcW w:w="29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A28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服务不可用、核心设备宕机</w:t>
            </w:r>
          </w:p>
        </w:tc>
        <w:tc>
          <w:tcPr>
            <w:tcW w:w="2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99FE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电话+短信+企业微信</w:t>
            </w:r>
          </w:p>
        </w:tc>
        <w:tc>
          <w:tcPr>
            <w:tcW w:w="11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AFF9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15分钟</w:t>
            </w:r>
          </w:p>
        </w:tc>
      </w:tr>
      <w:tr w14:paraId="6BF9A9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181A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二级</w:t>
            </w:r>
          </w:p>
        </w:tc>
        <w:tc>
          <w:tcPr>
            <w:tcW w:w="29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39641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服务性能下降、设备告警</w:t>
            </w:r>
          </w:p>
        </w:tc>
        <w:tc>
          <w:tcPr>
            <w:tcW w:w="2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922F3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短信+企业微信</w:t>
            </w:r>
          </w:p>
        </w:tc>
        <w:tc>
          <w:tcPr>
            <w:tcW w:w="11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5047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30分钟</w:t>
            </w:r>
          </w:p>
        </w:tc>
      </w:tr>
      <w:tr w14:paraId="79BB16C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27B1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一级</w:t>
            </w:r>
          </w:p>
        </w:tc>
        <w:tc>
          <w:tcPr>
            <w:tcW w:w="29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6208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资源使用率超阈值</w:t>
            </w:r>
          </w:p>
        </w:tc>
        <w:tc>
          <w:tcPr>
            <w:tcW w:w="23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31DC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企业微信</w:t>
            </w:r>
          </w:p>
        </w:tc>
        <w:tc>
          <w:tcPr>
            <w:tcW w:w="11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A8314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2小时</w:t>
            </w:r>
          </w:p>
        </w:tc>
      </w:tr>
    </w:tbl>
    <w:p w14:paraId="258A35F4">
      <w:pPr>
        <w:pStyle w:val="37"/>
        <w:bidi w:val="0"/>
      </w:pPr>
      <w:bookmarkStart w:id="38" w:name="heading_21"/>
      <w:bookmarkStart w:id="39" w:name="_Toc11632"/>
      <w:r>
        <w:t>可用性统计</w:t>
      </w:r>
      <w:bookmarkEnd w:id="38"/>
      <w:bookmarkEnd w:id="39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67"/>
        <w:gridCol w:w="1852"/>
        <w:gridCol w:w="2761"/>
      </w:tblGrid>
      <w:tr w14:paraId="3EC8CC2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6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1588A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统计项</w:t>
            </w:r>
          </w:p>
        </w:tc>
        <w:tc>
          <w:tcPr>
            <w:tcW w:w="1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BBC7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频率</w:t>
            </w:r>
          </w:p>
        </w:tc>
        <w:tc>
          <w:tcPr>
            <w:tcW w:w="27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6F44D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</w:tr>
      <w:tr w14:paraId="65A460B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CB3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日可用性统计</w:t>
            </w:r>
          </w:p>
        </w:tc>
        <w:tc>
          <w:tcPr>
            <w:tcW w:w="1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F5C60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每日</w:t>
            </w:r>
          </w:p>
        </w:tc>
        <w:tc>
          <w:tcPr>
            <w:tcW w:w="27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7E240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</w:t>
            </w:r>
          </w:p>
        </w:tc>
      </w:tr>
      <w:tr w14:paraId="1D4DAC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3DB1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月可用性统计</w:t>
            </w:r>
          </w:p>
        </w:tc>
        <w:tc>
          <w:tcPr>
            <w:tcW w:w="1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DF290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每月</w:t>
            </w:r>
          </w:p>
        </w:tc>
        <w:tc>
          <w:tcPr>
            <w:tcW w:w="27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53A2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</w:tr>
      <w:tr w14:paraId="0BB3753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E696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季度可用性统计</w:t>
            </w:r>
          </w:p>
        </w:tc>
        <w:tc>
          <w:tcPr>
            <w:tcW w:w="1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B454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每季度</w:t>
            </w:r>
          </w:p>
        </w:tc>
        <w:tc>
          <w:tcPr>
            <w:tcW w:w="27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D116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</w:tr>
      <w:tr w14:paraId="4873113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6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1417A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年度可用性统计</w:t>
            </w:r>
          </w:p>
        </w:tc>
        <w:tc>
          <w:tcPr>
            <w:tcW w:w="1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38A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每年</w:t>
            </w:r>
          </w:p>
        </w:tc>
        <w:tc>
          <w:tcPr>
            <w:tcW w:w="27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2129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</w:tr>
    </w:tbl>
    <w:p w14:paraId="76D4D267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</w:pPr>
    </w:p>
    <w:p w14:paraId="2C9929E0">
      <w:pPr>
        <w:pStyle w:val="35"/>
        <w:bidi w:val="0"/>
      </w:pPr>
      <w:bookmarkStart w:id="40" w:name="heading_22"/>
      <w:bookmarkStart w:id="41" w:name="_Toc31006"/>
      <w:r>
        <w:t>可用性报告与评审</w:t>
      </w:r>
      <w:bookmarkEnd w:id="40"/>
      <w:bookmarkEnd w:id="41"/>
    </w:p>
    <w:p w14:paraId="232FBF02">
      <w:pPr>
        <w:pStyle w:val="37"/>
        <w:bidi w:val="0"/>
      </w:pPr>
      <w:bookmarkStart w:id="42" w:name="heading_23"/>
      <w:bookmarkStart w:id="43" w:name="_Toc25042"/>
      <w:r>
        <w:t>报告类型</w:t>
      </w:r>
      <w:bookmarkEnd w:id="42"/>
      <w:bookmarkEnd w:id="43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5"/>
        <w:gridCol w:w="778"/>
        <w:gridCol w:w="2349"/>
        <w:gridCol w:w="3348"/>
      </w:tblGrid>
      <w:tr w14:paraId="4C533F8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0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EAEED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报告类型</w:t>
            </w:r>
          </w:p>
        </w:tc>
        <w:tc>
          <w:tcPr>
            <w:tcW w:w="7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67A97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频次</w:t>
            </w:r>
          </w:p>
        </w:tc>
        <w:tc>
          <w:tcPr>
            <w:tcW w:w="23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CBA7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提交时限</w:t>
            </w:r>
          </w:p>
        </w:tc>
        <w:tc>
          <w:tcPr>
            <w:tcW w:w="334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DE4E6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包含内容</w:t>
            </w:r>
          </w:p>
        </w:tc>
      </w:tr>
      <w:tr w14:paraId="708543A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4C0D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日常运维日报</w:t>
            </w:r>
          </w:p>
        </w:tc>
        <w:tc>
          <w:tcPr>
            <w:tcW w:w="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4A75D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日</w:t>
            </w:r>
          </w:p>
        </w:tc>
        <w:tc>
          <w:tcPr>
            <w:tcW w:w="2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28B5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次日09:00前</w:t>
            </w:r>
          </w:p>
        </w:tc>
        <w:tc>
          <w:tcPr>
            <w:tcW w:w="33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E96C0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当日可用性、事件摘要</w:t>
            </w:r>
          </w:p>
        </w:tc>
      </w:tr>
      <w:tr w14:paraId="59263E3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DD3B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月度服务报告</w:t>
            </w:r>
          </w:p>
        </w:tc>
        <w:tc>
          <w:tcPr>
            <w:tcW w:w="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9AA6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2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376BE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下月5日前</w:t>
            </w:r>
          </w:p>
        </w:tc>
        <w:tc>
          <w:tcPr>
            <w:tcW w:w="33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CCA87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SLA达成情况、可用性统计</w:t>
            </w:r>
          </w:p>
        </w:tc>
      </w:tr>
      <w:tr w14:paraId="2631A9F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B15F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季度绩效报告</w:t>
            </w:r>
          </w:p>
        </w:tc>
        <w:tc>
          <w:tcPr>
            <w:tcW w:w="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62885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季</w:t>
            </w:r>
          </w:p>
        </w:tc>
        <w:tc>
          <w:tcPr>
            <w:tcW w:w="23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5F12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季度结束后10日内</w:t>
            </w:r>
          </w:p>
        </w:tc>
        <w:tc>
          <w:tcPr>
            <w:tcW w:w="334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07B5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KPI考核结果、可用性趋势</w:t>
            </w:r>
          </w:p>
        </w:tc>
      </w:tr>
      <w:tr w14:paraId="490FF57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5E4A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年度运维总结</w:t>
            </w:r>
          </w:p>
        </w:tc>
        <w:tc>
          <w:tcPr>
            <w:tcW w:w="7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A403A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年</w:t>
            </w:r>
          </w:p>
        </w:tc>
        <w:tc>
          <w:tcPr>
            <w:tcW w:w="23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9AFD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年度结束后15日内</w:t>
            </w:r>
          </w:p>
        </w:tc>
        <w:tc>
          <w:tcPr>
            <w:tcW w:w="33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293D7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全年可用性综述、改进建议</w:t>
            </w:r>
          </w:p>
        </w:tc>
      </w:tr>
    </w:tbl>
    <w:p w14:paraId="6A4A3221">
      <w:pPr>
        <w:pStyle w:val="37"/>
        <w:bidi w:val="0"/>
      </w:pPr>
      <w:bookmarkStart w:id="44" w:name="heading_24"/>
      <w:bookmarkStart w:id="45" w:name="_Toc9453"/>
      <w:r>
        <w:t>可用性评审</w:t>
      </w:r>
      <w:bookmarkEnd w:id="44"/>
      <w:bookmarkEnd w:id="45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1"/>
        <w:gridCol w:w="1159"/>
        <w:gridCol w:w="4820"/>
      </w:tblGrid>
      <w:tr w14:paraId="4810922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0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D498B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评审项</w:t>
            </w:r>
          </w:p>
        </w:tc>
        <w:tc>
          <w:tcPr>
            <w:tcW w:w="11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FFFFF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频率</w:t>
            </w:r>
          </w:p>
        </w:tc>
        <w:tc>
          <w:tcPr>
            <w:tcW w:w="48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C852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参与人员</w:t>
            </w:r>
          </w:p>
        </w:tc>
      </w:tr>
      <w:tr w14:paraId="63F1E81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B416F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月度可用性评审</w:t>
            </w:r>
          </w:p>
        </w:tc>
        <w:tc>
          <w:tcPr>
            <w:tcW w:w="11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2241F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每月</w:t>
            </w:r>
          </w:p>
        </w:tc>
        <w:tc>
          <w:tcPr>
            <w:tcW w:w="48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8A9DC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运维部经理、服务台经理</w:t>
            </w:r>
          </w:p>
        </w:tc>
      </w:tr>
      <w:tr w14:paraId="27B669F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F5DE7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季度可用性评审</w:t>
            </w:r>
          </w:p>
        </w:tc>
        <w:tc>
          <w:tcPr>
            <w:tcW w:w="11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9926E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每季度</w:t>
            </w:r>
          </w:p>
        </w:tc>
        <w:tc>
          <w:tcPr>
            <w:tcW w:w="48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05727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运维部经理、质量部经理、甲方代表</w:t>
            </w:r>
          </w:p>
        </w:tc>
      </w:tr>
      <w:tr w14:paraId="36D67A6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0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A198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年度可用性评审</w:t>
            </w:r>
          </w:p>
        </w:tc>
        <w:tc>
          <w:tcPr>
            <w:tcW w:w="11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6B24B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每年</w:t>
            </w:r>
          </w:p>
        </w:tc>
        <w:tc>
          <w:tcPr>
            <w:tcW w:w="48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3D06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副总经理、运维部经理、甲方代表</w:t>
            </w:r>
          </w:p>
        </w:tc>
      </w:tr>
    </w:tbl>
    <w:p w14:paraId="4B7B2EDE">
      <w:pPr>
        <w:pStyle w:val="35"/>
        <w:bidi w:val="0"/>
      </w:pPr>
      <w:bookmarkStart w:id="46" w:name="heading_25"/>
      <w:bookmarkStart w:id="47" w:name="_Toc676"/>
      <w:r>
        <w:t>可用性改进计划</w:t>
      </w:r>
      <w:bookmarkEnd w:id="46"/>
      <w:bookmarkEnd w:id="47"/>
    </w:p>
    <w:p w14:paraId="6F6BADB7">
      <w:pPr>
        <w:pStyle w:val="37"/>
        <w:bidi w:val="0"/>
      </w:pPr>
      <w:bookmarkStart w:id="48" w:name="heading_26"/>
      <w:bookmarkStart w:id="49" w:name="_Toc22616"/>
      <w:r>
        <w:t>改进流程</w:t>
      </w:r>
      <w:bookmarkEnd w:id="48"/>
      <w:bookmarkEnd w:id="49"/>
    </w:p>
    <w:p w14:paraId="567FB5EA">
      <w:pPr>
        <w:pStyle w:val="46"/>
        <w:numPr>
          <w:ilvl w:val="0"/>
          <w:numId w:val="4"/>
        </w:numPr>
        <w:bidi w:val="0"/>
        <w:ind w:left="425" w:leftChars="0" w:hanging="425" w:firstLineChars="0"/>
      </w:pPr>
      <w:r>
        <w:t>识别可用性未达标项</w:t>
      </w:r>
    </w:p>
    <w:p w14:paraId="01527C1E">
      <w:pPr>
        <w:pStyle w:val="46"/>
        <w:numPr>
          <w:ilvl w:val="0"/>
          <w:numId w:val="4"/>
        </w:numPr>
        <w:bidi w:val="0"/>
        <w:ind w:left="425" w:leftChars="0" w:hanging="425" w:firstLineChars="0"/>
      </w:pPr>
      <w:r>
        <w:t>分析根本原因（RCA）</w:t>
      </w:r>
    </w:p>
    <w:p w14:paraId="1C1CB83B">
      <w:pPr>
        <w:pStyle w:val="46"/>
        <w:numPr>
          <w:ilvl w:val="0"/>
          <w:numId w:val="4"/>
        </w:numPr>
        <w:bidi w:val="0"/>
        <w:ind w:left="425" w:leftChars="0" w:hanging="425" w:firstLineChars="0"/>
      </w:pPr>
      <w:r>
        <w:t>制定改进措施（SIP）</w:t>
      </w:r>
    </w:p>
    <w:p w14:paraId="407CC6FD">
      <w:pPr>
        <w:pStyle w:val="46"/>
        <w:numPr>
          <w:ilvl w:val="0"/>
          <w:numId w:val="4"/>
        </w:numPr>
        <w:bidi w:val="0"/>
        <w:ind w:left="425" w:leftChars="0" w:hanging="425" w:firstLineChars="0"/>
      </w:pPr>
      <w:r>
        <w:t>实施改进</w:t>
      </w:r>
    </w:p>
    <w:p w14:paraId="30927A03">
      <w:pPr>
        <w:pStyle w:val="46"/>
        <w:numPr>
          <w:ilvl w:val="0"/>
          <w:numId w:val="4"/>
        </w:numPr>
        <w:bidi w:val="0"/>
        <w:ind w:left="425" w:leftChars="0" w:hanging="425" w:firstLineChars="0"/>
      </w:pPr>
      <w:r>
        <w:t>验证改进效果</w:t>
      </w:r>
    </w:p>
    <w:p w14:paraId="3A0EA2D4">
      <w:pPr>
        <w:pStyle w:val="46"/>
        <w:numPr>
          <w:ilvl w:val="0"/>
          <w:numId w:val="4"/>
        </w:numPr>
        <w:bidi w:val="0"/>
        <w:ind w:left="425" w:leftChars="0" w:hanging="425" w:firstLineChars="0"/>
      </w:pPr>
      <w:r>
        <w:t>关闭改进项</w:t>
      </w:r>
    </w:p>
    <w:p w14:paraId="23C49E02">
      <w:pPr>
        <w:pStyle w:val="37"/>
        <w:bidi w:val="0"/>
      </w:pPr>
      <w:bookmarkStart w:id="50" w:name="heading_28"/>
      <w:bookmarkStart w:id="51" w:name="_Toc7909"/>
      <w:r>
        <w:t>持续改进目标</w:t>
      </w:r>
      <w:bookmarkEnd w:id="50"/>
      <w:bookmarkEnd w:id="51"/>
    </w:p>
    <w:tbl>
      <w:tblPr>
        <w:tblStyle w:val="21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88"/>
        <w:gridCol w:w="4192"/>
      </w:tblGrid>
      <w:tr w14:paraId="71FAA3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08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9804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改进项</w:t>
            </w:r>
          </w:p>
        </w:tc>
        <w:tc>
          <w:tcPr>
            <w:tcW w:w="41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8118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目标值（2025年）</w:t>
            </w:r>
          </w:p>
        </w:tc>
      </w:tr>
      <w:tr w14:paraId="77CECF3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0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3FC4D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核心系统可用性</w:t>
            </w:r>
          </w:p>
        </w:tc>
        <w:tc>
          <w:tcPr>
            <w:tcW w:w="41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88C92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99.9%</w:t>
            </w:r>
          </w:p>
        </w:tc>
      </w:tr>
      <w:tr w14:paraId="50F541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0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ABFF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故障响应及时率</w:t>
            </w:r>
          </w:p>
        </w:tc>
        <w:tc>
          <w:tcPr>
            <w:tcW w:w="41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348FE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95%</w:t>
            </w:r>
          </w:p>
        </w:tc>
      </w:tr>
      <w:tr w14:paraId="39D1949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0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27268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故障解决及时率</w:t>
            </w:r>
          </w:p>
        </w:tc>
        <w:tc>
          <w:tcPr>
            <w:tcW w:w="41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E8642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90%</w:t>
            </w:r>
          </w:p>
        </w:tc>
      </w:tr>
      <w:tr w14:paraId="5026620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0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CB939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计划维护窗口通知</w:t>
            </w:r>
          </w:p>
        </w:tc>
        <w:tc>
          <w:tcPr>
            <w:tcW w:w="41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9110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≥ 48小时</w:t>
            </w:r>
          </w:p>
        </w:tc>
      </w:tr>
    </w:tbl>
    <w:p w14:paraId="7569C6BC">
      <w:pPr>
        <w:spacing w:before="120" w:after="120" w:line="288" w:lineRule="auto"/>
        <w:jc w:val="left"/>
      </w:pPr>
    </w:p>
    <w:sectPr>
      <w:pgSz w:w="11905" w:h="16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1B196D"/>
    <w:multiLevelType w:val="singleLevel"/>
    <w:tmpl w:val="8E1B19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30E55E3C"/>
    <w:multiLevelType w:val="singleLevel"/>
    <w:tmpl w:val="30E55E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7EBE732A"/>
    <w:multiLevelType w:val="singleLevel"/>
    <w:tmpl w:val="7EBE732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8912A3"/>
    <w:rsid w:val="000715BB"/>
    <w:rsid w:val="001A2D3F"/>
    <w:rsid w:val="00551BF2"/>
    <w:rsid w:val="00624E8D"/>
    <w:rsid w:val="00643BE3"/>
    <w:rsid w:val="007D7C60"/>
    <w:rsid w:val="008912A3"/>
    <w:rsid w:val="00D074CA"/>
    <w:rsid w:val="00FC1DE5"/>
    <w:rsid w:val="0253085C"/>
    <w:rsid w:val="04934A97"/>
    <w:rsid w:val="06231E4A"/>
    <w:rsid w:val="06AB4E25"/>
    <w:rsid w:val="098175B4"/>
    <w:rsid w:val="0990710B"/>
    <w:rsid w:val="0BC81F2B"/>
    <w:rsid w:val="0BFC1173"/>
    <w:rsid w:val="0D3A63F7"/>
    <w:rsid w:val="12AB48FF"/>
    <w:rsid w:val="165D4F05"/>
    <w:rsid w:val="170535D2"/>
    <w:rsid w:val="1AD41657"/>
    <w:rsid w:val="1AF75928"/>
    <w:rsid w:val="1C6A3ED7"/>
    <w:rsid w:val="1C8054A9"/>
    <w:rsid w:val="1D7F1C04"/>
    <w:rsid w:val="1DBE44DB"/>
    <w:rsid w:val="1F391E29"/>
    <w:rsid w:val="26724D1F"/>
    <w:rsid w:val="268F7C62"/>
    <w:rsid w:val="27A97FAA"/>
    <w:rsid w:val="27DC037F"/>
    <w:rsid w:val="28011B94"/>
    <w:rsid w:val="289458D1"/>
    <w:rsid w:val="2B632B65"/>
    <w:rsid w:val="2C5129BE"/>
    <w:rsid w:val="2D6344F8"/>
    <w:rsid w:val="2E556795"/>
    <w:rsid w:val="2E5B7B24"/>
    <w:rsid w:val="2FA21303"/>
    <w:rsid w:val="31181CFC"/>
    <w:rsid w:val="32C034AF"/>
    <w:rsid w:val="37160A8C"/>
    <w:rsid w:val="37645B6D"/>
    <w:rsid w:val="37AD13F0"/>
    <w:rsid w:val="39635633"/>
    <w:rsid w:val="3AAC3BE1"/>
    <w:rsid w:val="3BFF5F92"/>
    <w:rsid w:val="3F4D34B9"/>
    <w:rsid w:val="3FD57736"/>
    <w:rsid w:val="3FDF05B5"/>
    <w:rsid w:val="409A44DC"/>
    <w:rsid w:val="4336776F"/>
    <w:rsid w:val="433B5624"/>
    <w:rsid w:val="44775660"/>
    <w:rsid w:val="44867251"/>
    <w:rsid w:val="448C5287"/>
    <w:rsid w:val="44AE67A8"/>
    <w:rsid w:val="459B31D0"/>
    <w:rsid w:val="49C87685"/>
    <w:rsid w:val="49FC7FB5"/>
    <w:rsid w:val="4D04165B"/>
    <w:rsid w:val="4ED17C62"/>
    <w:rsid w:val="501C6CBB"/>
    <w:rsid w:val="50847E24"/>
    <w:rsid w:val="53CE29C2"/>
    <w:rsid w:val="55806752"/>
    <w:rsid w:val="563E2451"/>
    <w:rsid w:val="574802BD"/>
    <w:rsid w:val="58846413"/>
    <w:rsid w:val="58B85545"/>
    <w:rsid w:val="5D6B59FB"/>
    <w:rsid w:val="5DFE065B"/>
    <w:rsid w:val="5DFE3EA4"/>
    <w:rsid w:val="5E4812C5"/>
    <w:rsid w:val="60455DBA"/>
    <w:rsid w:val="625048C9"/>
    <w:rsid w:val="63827325"/>
    <w:rsid w:val="66FD119D"/>
    <w:rsid w:val="67D85766"/>
    <w:rsid w:val="6A026ACA"/>
    <w:rsid w:val="6B157343"/>
    <w:rsid w:val="6D8B6DD7"/>
    <w:rsid w:val="6E5D1FA5"/>
    <w:rsid w:val="7120166D"/>
    <w:rsid w:val="770519A8"/>
    <w:rsid w:val="78361C89"/>
    <w:rsid w:val="78A84CE1"/>
    <w:rsid w:val="7A392094"/>
    <w:rsid w:val="7B914152"/>
    <w:rsid w:val="7D9A72EE"/>
    <w:rsid w:val="7DA0242A"/>
    <w:rsid w:val="7ED44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Balloon Text"/>
    <w:basedOn w:val="1"/>
    <w:link w:val="34"/>
    <w:qFormat/>
    <w:uiPriority w:val="0"/>
    <w:rPr>
      <w:sz w:val="18"/>
    </w:rPr>
  </w:style>
  <w:style w:type="paragraph" w:styleId="15">
    <w:name w:val="footer"/>
    <w:basedOn w:val="1"/>
    <w:link w:val="3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link w:val="32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link w:val="28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Hyperlink"/>
    <w:basedOn w:val="23"/>
    <w:uiPriority w:val="0"/>
    <w:rPr>
      <w:color w:val="0000FF"/>
      <w:u w:val="single"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character" w:customStyle="1" w:styleId="28">
    <w:name w:val="标题 Char"/>
    <w:link w:val="20"/>
    <w:uiPriority w:val="10"/>
    <w:rPr>
      <w:rFonts w:ascii="Arial" w:hAnsi="Arial"/>
      <w:b/>
      <w:sz w:val="32"/>
    </w:rPr>
  </w:style>
  <w:style w:type="paragraph" w:customStyle="1" w:styleId="29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30">
    <w:name w:val="Table Normal_0"/>
    <w:semiHidden/>
    <w:unhideWhenUsed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1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32">
    <w:name w:val="页眉 Char"/>
    <w:link w:val="16"/>
    <w:semiHidden/>
    <w:qFormat/>
    <w:uiPriority w:val="99"/>
    <w:rPr>
      <w:sz w:val="18"/>
    </w:rPr>
  </w:style>
  <w:style w:type="character" w:customStyle="1" w:styleId="33">
    <w:name w:val="页脚 Char"/>
    <w:link w:val="15"/>
    <w:semiHidden/>
    <w:uiPriority w:val="99"/>
    <w:rPr>
      <w:sz w:val="18"/>
    </w:rPr>
  </w:style>
  <w:style w:type="character" w:customStyle="1" w:styleId="34">
    <w:name w:val="批注框文本 Char"/>
    <w:link w:val="14"/>
    <w:semiHidden/>
    <w:qFormat/>
    <w:uiPriority w:val="99"/>
    <w:rPr>
      <w:sz w:val="18"/>
    </w:rPr>
  </w:style>
  <w:style w:type="paragraph" w:customStyle="1" w:styleId="35">
    <w:name w:val="柴_标题1"/>
    <w:basedOn w:val="2"/>
    <w:next w:val="36"/>
    <w:link w:val="4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6">
    <w:name w:val="柴_正文"/>
    <w:basedOn w:val="12"/>
    <w:link w:val="4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7">
    <w:name w:val="柴_标题2"/>
    <w:basedOn w:val="3"/>
    <w:next w:val="36"/>
    <w:link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8">
    <w:name w:val="柴_标题3"/>
    <w:basedOn w:val="4"/>
    <w:next w:val="3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9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4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3">
    <w:name w:val="Compact"/>
    <w:basedOn w:val="12"/>
    <w:qFormat/>
    <w:uiPriority w:val="0"/>
    <w:pPr>
      <w:spacing w:before="36" w:after="36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5">
    <w:name w:val="柴_标题1 Char"/>
    <w:link w:val="35"/>
    <w:qFormat/>
    <w:uiPriority w:val="0"/>
    <w:rPr>
      <w:rFonts w:ascii="Arial" w:hAnsi="Arial" w:eastAsia="宋体"/>
      <w:sz w:val="32"/>
    </w:rPr>
  </w:style>
  <w:style w:type="paragraph" w:customStyle="1" w:styleId="46">
    <w:name w:val="柴_正文_无缩进"/>
    <w:basedOn w:val="1"/>
    <w:link w:val="50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8">
    <w:name w:val="柴_正文 Char"/>
    <w:link w:val="36"/>
    <w:qFormat/>
    <w:uiPriority w:val="0"/>
    <w:rPr>
      <w:rFonts w:ascii="Arial" w:hAnsi="Arial" w:eastAsia="宋体"/>
      <w:sz w:val="24"/>
      <w:lang w:eastAsia="zh-CN"/>
    </w:rPr>
  </w:style>
  <w:style w:type="table" w:customStyle="1" w:styleId="4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0">
    <w:name w:val="柴_正文_无缩进 Char"/>
    <w:link w:val="46"/>
    <w:qFormat/>
    <w:uiPriority w:val="0"/>
    <w:rPr>
      <w:rFonts w:ascii="Arial" w:hAnsi="Arial"/>
      <w:sz w:val="24"/>
      <w:lang w:eastAsia="zh-CN"/>
    </w:rPr>
  </w:style>
  <w:style w:type="character" w:customStyle="1" w:styleId="51">
    <w:name w:val="柴_标题2 Char"/>
    <w:link w:val="37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1540</Words>
  <Characters>1845</Characters>
  <Lines>40</Lines>
  <Paragraphs>11</Paragraphs>
  <TotalTime>0</TotalTime>
  <ScaleCrop>false</ScaleCrop>
  <LinksUpToDate>false</LinksUpToDate>
  <CharactersWithSpaces>1992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2026-04-13T08:29:00Z</dcterms:created>
  <dc:creator>Apache POI</dc:creator>
  <cp:lastModifiedBy>郝宇</cp:lastModifiedBy>
  <dcterms:modified xsi:type="dcterms:W3CDTF">2026-04-15T19:50:08Z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eyJoZGlkIjoiZWI4NmUzMGY2ODA3MDc4ZTFlMjZjZTAyMjM0NmVmODgiLCJ1c2VySWQiOiIxMDc1MzgyOSJ9</vt:lpwstr>
  </property>
  <property fmtid="{D5CDD505-2E9C-101B-9397-08002B2CF9AE}" pid="3" name="KSOProductBuildVer">
    <vt:lpwstr>2052-12.1.0.25865</vt:lpwstr>
  </property>
  <property fmtid="{D5CDD505-2E9C-101B-9397-08002B2CF9AE}" pid="4" name="ICV">
    <vt:lpwstr>9F39E02CAEBD49FB95E06CBA12A7A9B2_12</vt:lpwstr>
  </property>
</Properties>
</file>