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D0689">
      <w:pPr>
        <w:pStyle w:val="27"/>
        <w:spacing w:after="1440"/>
      </w:pPr>
    </w:p>
    <w:p w14:paraId="12F98B57">
      <w:pPr>
        <w:pStyle w:val="27"/>
        <w:spacing w:after="1440"/>
        <w:rPr>
          <w:rFonts w:hint="default"/>
        </w:rPr>
      </w:pPr>
      <w:bookmarkStart w:id="0" w:name="_Toc11749"/>
      <w:r>
        <w:t>淮安生态新城信息系统运维服务</w:t>
      </w:r>
      <w:r>
        <w:br w:type="textWrapping"/>
      </w:r>
      <w:r>
        <w:rPr>
          <w:rFonts w:hint="eastAsia"/>
          <w:lang w:val="en-US" w:eastAsia="zh-CN"/>
        </w:rPr>
        <w:t>项目</w:t>
      </w:r>
      <w:r>
        <w:t>可用性报告</w:t>
      </w:r>
      <w:bookmarkEnd w:id="0"/>
    </w:p>
    <w:p w14:paraId="0C9316C9">
      <w:pPr>
        <w:pStyle w:val="29"/>
        <w:spacing w:after="2160"/>
      </w:pPr>
      <w:bookmarkStart w:id="1" w:name="_Toc19994"/>
      <w:r>
        <w:t>江苏云储智能科技有限公司</w:t>
      </w:r>
      <w:bookmarkEnd w:id="1"/>
    </w:p>
    <w:p w14:paraId="3AC4F07F">
      <w:pPr>
        <w:spacing w:before="117" w:line="219" w:lineRule="auto"/>
        <w:jc w:val="center"/>
        <w:rPr>
          <w:rFonts w:hint="eastAsia" w:ascii="宋体" w:hAnsi="宋体" w:cs="宋体"/>
          <w:spacing w:val="-2"/>
          <w:sz w:val="36"/>
          <w:szCs w:val="36"/>
        </w:rPr>
      </w:pPr>
      <w:r>
        <w:rPr>
          <w:rFonts w:ascii="宋体" w:hAnsi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</w:rPr>
        <w:t>5</w:t>
      </w:r>
      <w:r>
        <w:rPr>
          <w:rFonts w:ascii="宋体" w:hAnsi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</w:rPr>
        <w:t>12</w:t>
      </w:r>
      <w:r>
        <w:rPr>
          <w:rFonts w:ascii="宋体" w:hAnsi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</w:rPr>
        <w:t>20</w:t>
      </w:r>
    </w:p>
    <w:p w14:paraId="545DE637">
      <w:pPr>
        <w:rPr>
          <w:rFonts w:hint="eastAsia" w:ascii="宋体" w:hAnsi="宋体" w:cs="宋体"/>
          <w:spacing w:val="-2"/>
          <w:sz w:val="36"/>
          <w:szCs w:val="36"/>
        </w:rPr>
      </w:pPr>
      <w:r>
        <w:rPr>
          <w:rFonts w:hint="eastAsia" w:ascii="宋体" w:hAnsi="宋体" w:cs="宋体"/>
          <w:spacing w:val="-2"/>
          <w:sz w:val="36"/>
          <w:szCs w:val="36"/>
        </w:rPr>
        <w:br w:type="page"/>
      </w:r>
    </w:p>
    <w:tbl>
      <w:tblPr>
        <w:tblStyle w:val="30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75510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7DE44656">
            <w:pPr>
              <w:pStyle w:val="31"/>
              <w:spacing w:before="199" w:line="220" w:lineRule="auto"/>
              <w:ind w:left="225"/>
              <w:rPr>
                <w:sz w:val="20"/>
              </w:rPr>
            </w:pPr>
            <w:bookmarkStart w:id="2" w:name="heading_0"/>
            <w:r>
              <w:rPr>
                <w:spacing w:val="-2"/>
                <w:sz w:val="20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2CD3F2F5">
            <w:pPr>
              <w:pStyle w:val="31"/>
              <w:spacing w:before="200" w:line="218" w:lineRule="auto"/>
              <w:ind w:left="108"/>
              <w:rPr>
                <w:sz w:val="20"/>
              </w:rPr>
            </w:pPr>
            <w:r>
              <w:rPr>
                <w:rFonts w:hint="eastAsia"/>
                <w:spacing w:val="-1"/>
                <w:sz w:val="20"/>
                <w:lang w:eastAsia="zh-CN"/>
              </w:rPr>
              <w:t>可用性报告</w:t>
            </w:r>
            <w:r>
              <w:rPr>
                <w:spacing w:val="-1"/>
                <w:sz w:val="20"/>
              </w:rPr>
              <w:t>（JSYC-ITSS-</w:t>
            </w:r>
            <w:r>
              <w:rPr>
                <w:rFonts w:hint="eastAsia"/>
                <w:spacing w:val="-1"/>
                <w:sz w:val="20"/>
                <w:lang w:eastAsia="zh-CN"/>
              </w:rPr>
              <w:t>KYXBG</w:t>
            </w:r>
            <w:r>
              <w:rPr>
                <w:spacing w:val="-1"/>
                <w:sz w:val="20"/>
              </w:rPr>
              <w:t>）</w:t>
            </w:r>
          </w:p>
        </w:tc>
      </w:tr>
      <w:tr w14:paraId="797B1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095E4F84">
            <w:pPr>
              <w:pStyle w:val="31"/>
              <w:spacing w:before="196" w:line="220" w:lineRule="auto"/>
              <w:ind w:left="435"/>
              <w:rPr>
                <w:sz w:val="20"/>
              </w:rPr>
            </w:pPr>
            <w:r>
              <w:rPr>
                <w:spacing w:val="-2"/>
                <w:sz w:val="20"/>
              </w:rPr>
              <w:t>编制单位</w:t>
            </w:r>
          </w:p>
        </w:tc>
        <w:tc>
          <w:tcPr>
            <w:tcW w:w="7367" w:type="dxa"/>
            <w:gridSpan w:val="4"/>
          </w:tcPr>
          <w:p w14:paraId="78F29144">
            <w:pPr>
              <w:pStyle w:val="31"/>
              <w:spacing w:before="197" w:line="219" w:lineRule="auto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江苏云储智能科技有限公司</w:t>
            </w:r>
          </w:p>
        </w:tc>
      </w:tr>
      <w:tr w14:paraId="6E98F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55F8C7E6">
            <w:pPr>
              <w:pStyle w:val="31"/>
              <w:spacing w:before="199" w:line="219" w:lineRule="auto"/>
              <w:ind w:left="435"/>
              <w:rPr>
                <w:sz w:val="20"/>
              </w:rPr>
            </w:pPr>
            <w:r>
              <w:rPr>
                <w:spacing w:val="-2"/>
                <w:sz w:val="20"/>
              </w:rPr>
              <w:t>文档版本</w:t>
            </w:r>
          </w:p>
        </w:tc>
        <w:tc>
          <w:tcPr>
            <w:tcW w:w="1555" w:type="dxa"/>
          </w:tcPr>
          <w:p w14:paraId="7C4F70BA">
            <w:pPr>
              <w:pStyle w:val="31"/>
              <w:spacing w:before="199" w:line="219" w:lineRule="auto"/>
              <w:ind w:left="359"/>
              <w:rPr>
                <w:sz w:val="20"/>
              </w:rPr>
            </w:pPr>
            <w:r>
              <w:rPr>
                <w:spacing w:val="-2"/>
                <w:sz w:val="20"/>
              </w:rPr>
              <w:t>版本日期</w:t>
            </w:r>
          </w:p>
        </w:tc>
        <w:tc>
          <w:tcPr>
            <w:tcW w:w="2302" w:type="dxa"/>
          </w:tcPr>
          <w:p w14:paraId="767ADF7A">
            <w:pPr>
              <w:pStyle w:val="31"/>
              <w:spacing w:before="199" w:line="219" w:lineRule="auto"/>
              <w:ind w:left="735"/>
              <w:rPr>
                <w:sz w:val="20"/>
              </w:rPr>
            </w:pPr>
            <w:r>
              <w:rPr>
                <w:spacing w:val="-2"/>
                <w:sz w:val="20"/>
              </w:rPr>
              <w:t>版本说明</w:t>
            </w:r>
          </w:p>
        </w:tc>
        <w:tc>
          <w:tcPr>
            <w:tcW w:w="1557" w:type="dxa"/>
          </w:tcPr>
          <w:p w14:paraId="5CE6ECB3">
            <w:pPr>
              <w:pStyle w:val="31"/>
              <w:spacing w:before="199" w:line="220" w:lineRule="auto"/>
              <w:ind w:left="575"/>
              <w:rPr>
                <w:sz w:val="20"/>
              </w:rPr>
            </w:pPr>
            <w:r>
              <w:rPr>
                <w:spacing w:val="-3"/>
                <w:sz w:val="20"/>
              </w:rPr>
              <w:t>作者</w:t>
            </w:r>
          </w:p>
        </w:tc>
        <w:tc>
          <w:tcPr>
            <w:tcW w:w="1953" w:type="dxa"/>
          </w:tcPr>
          <w:p w14:paraId="48A07CBF">
            <w:pPr>
              <w:pStyle w:val="31"/>
              <w:spacing w:before="199" w:line="220" w:lineRule="auto"/>
              <w:ind w:left="782"/>
              <w:rPr>
                <w:sz w:val="20"/>
              </w:rPr>
            </w:pPr>
            <w:r>
              <w:rPr>
                <w:spacing w:val="-5"/>
                <w:sz w:val="20"/>
              </w:rPr>
              <w:t>审核</w:t>
            </w:r>
          </w:p>
        </w:tc>
      </w:tr>
      <w:tr w14:paraId="21E26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94644FB">
            <w:pPr>
              <w:pStyle w:val="31"/>
              <w:spacing w:before="163" w:line="239" w:lineRule="auto"/>
              <w:ind w:left="638"/>
              <w:rPr>
                <w:sz w:val="20"/>
              </w:rPr>
            </w:pPr>
            <w:r>
              <w:rPr>
                <w:spacing w:val="-1"/>
                <w:sz w:val="20"/>
              </w:rPr>
              <w:t>V1.0</w:t>
            </w:r>
          </w:p>
        </w:tc>
        <w:tc>
          <w:tcPr>
            <w:tcW w:w="1555" w:type="dxa"/>
          </w:tcPr>
          <w:p w14:paraId="3FA5F32A">
            <w:pPr>
              <w:pStyle w:val="31"/>
              <w:spacing w:before="163"/>
              <w:ind w:left="361"/>
              <w:rPr>
                <w:sz w:val="20"/>
                <w:lang w:eastAsia="zh-CN"/>
              </w:rPr>
            </w:pPr>
            <w:r>
              <w:rPr>
                <w:spacing w:val="-2"/>
                <w:sz w:val="20"/>
              </w:rPr>
              <w:t>20</w:t>
            </w:r>
            <w:r>
              <w:rPr>
                <w:rFonts w:hint="eastAsia"/>
                <w:spacing w:val="-2"/>
                <w:sz w:val="20"/>
                <w:lang w:eastAsia="zh-CN"/>
              </w:rPr>
              <w:t>25</w:t>
            </w:r>
            <w:r>
              <w:rPr>
                <w:spacing w:val="-2"/>
                <w:sz w:val="20"/>
              </w:rPr>
              <w:t>-1</w:t>
            </w:r>
            <w:r>
              <w:rPr>
                <w:rFonts w:hint="eastAsia"/>
                <w:spacing w:val="-2"/>
                <w:sz w:val="20"/>
                <w:lang w:eastAsia="zh-CN"/>
              </w:rPr>
              <w:t>2</w:t>
            </w:r>
            <w:r>
              <w:rPr>
                <w:spacing w:val="-2"/>
                <w:sz w:val="20"/>
              </w:rPr>
              <w:t>-</w:t>
            </w:r>
            <w:r>
              <w:rPr>
                <w:rFonts w:hint="eastAsia"/>
                <w:spacing w:val="-2"/>
                <w:sz w:val="20"/>
                <w:lang w:eastAsia="zh-CN"/>
              </w:rPr>
              <w:t>20</w:t>
            </w:r>
          </w:p>
        </w:tc>
        <w:tc>
          <w:tcPr>
            <w:tcW w:w="2302" w:type="dxa"/>
          </w:tcPr>
          <w:p w14:paraId="79961A34">
            <w:pPr>
              <w:pStyle w:val="31"/>
              <w:spacing w:before="133" w:line="219" w:lineRule="auto"/>
              <w:ind w:left="738"/>
              <w:rPr>
                <w:sz w:val="20"/>
              </w:rPr>
            </w:pPr>
            <w:r>
              <w:rPr>
                <w:spacing w:val="-3"/>
                <w:sz w:val="20"/>
              </w:rPr>
              <w:t>发布版本</w:t>
            </w:r>
          </w:p>
        </w:tc>
        <w:tc>
          <w:tcPr>
            <w:tcW w:w="1557" w:type="dxa"/>
          </w:tcPr>
          <w:p w14:paraId="4CB7E5FE">
            <w:pPr>
              <w:pStyle w:val="31"/>
              <w:spacing w:before="134" w:line="220" w:lineRule="auto"/>
              <w:ind w:left="48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王朋</w:t>
            </w:r>
          </w:p>
        </w:tc>
        <w:tc>
          <w:tcPr>
            <w:tcW w:w="1953" w:type="dxa"/>
          </w:tcPr>
          <w:p w14:paraId="20184C8B">
            <w:pPr>
              <w:pStyle w:val="31"/>
              <w:spacing w:before="133" w:line="220" w:lineRule="auto"/>
              <w:ind w:left="672"/>
              <w:rPr>
                <w:sz w:val="20"/>
              </w:rPr>
            </w:pPr>
            <w:r>
              <w:rPr>
                <w:spacing w:val="-3"/>
                <w:sz w:val="20"/>
              </w:rPr>
              <w:t>史晓玲</w:t>
            </w:r>
          </w:p>
        </w:tc>
      </w:tr>
      <w:tr w14:paraId="046AE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3E5D514">
            <w:pPr>
              <w:pStyle w:val="31"/>
              <w:spacing w:before="164" w:line="239" w:lineRule="auto"/>
              <w:ind w:left="638"/>
              <w:rPr>
                <w:sz w:val="20"/>
              </w:rPr>
            </w:pPr>
          </w:p>
        </w:tc>
        <w:tc>
          <w:tcPr>
            <w:tcW w:w="1555" w:type="dxa"/>
          </w:tcPr>
          <w:p w14:paraId="6BEF9277">
            <w:pPr>
              <w:pStyle w:val="31"/>
              <w:spacing w:before="164"/>
              <w:ind w:left="361"/>
              <w:rPr>
                <w:sz w:val="20"/>
              </w:rPr>
            </w:pPr>
          </w:p>
        </w:tc>
        <w:tc>
          <w:tcPr>
            <w:tcW w:w="2302" w:type="dxa"/>
          </w:tcPr>
          <w:p w14:paraId="111D1C28">
            <w:pPr>
              <w:pStyle w:val="31"/>
              <w:spacing w:before="134" w:line="219" w:lineRule="auto"/>
              <w:ind w:left="737"/>
              <w:rPr>
                <w:sz w:val="20"/>
              </w:rPr>
            </w:pPr>
          </w:p>
        </w:tc>
        <w:tc>
          <w:tcPr>
            <w:tcW w:w="1557" w:type="dxa"/>
          </w:tcPr>
          <w:p w14:paraId="37799BD7">
            <w:pPr>
              <w:pStyle w:val="31"/>
              <w:spacing w:before="135" w:line="220" w:lineRule="auto"/>
              <w:ind w:left="480"/>
              <w:rPr>
                <w:sz w:val="20"/>
              </w:rPr>
            </w:pPr>
          </w:p>
        </w:tc>
        <w:tc>
          <w:tcPr>
            <w:tcW w:w="1953" w:type="dxa"/>
          </w:tcPr>
          <w:p w14:paraId="283554C7">
            <w:pPr>
              <w:pStyle w:val="31"/>
              <w:spacing w:before="134" w:line="220" w:lineRule="auto"/>
              <w:ind w:left="672"/>
              <w:rPr>
                <w:sz w:val="20"/>
              </w:rPr>
            </w:pPr>
          </w:p>
        </w:tc>
      </w:tr>
      <w:tr w14:paraId="1AB3F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1F03BA1">
            <w:pPr>
              <w:pStyle w:val="31"/>
              <w:spacing w:before="165" w:line="239" w:lineRule="auto"/>
              <w:ind w:left="638"/>
              <w:rPr>
                <w:sz w:val="20"/>
              </w:rPr>
            </w:pPr>
          </w:p>
        </w:tc>
        <w:tc>
          <w:tcPr>
            <w:tcW w:w="1555" w:type="dxa"/>
          </w:tcPr>
          <w:p w14:paraId="5B12139B">
            <w:pPr>
              <w:pStyle w:val="31"/>
              <w:spacing w:before="165"/>
              <w:ind w:left="361"/>
              <w:rPr>
                <w:sz w:val="20"/>
              </w:rPr>
            </w:pPr>
          </w:p>
        </w:tc>
        <w:tc>
          <w:tcPr>
            <w:tcW w:w="2302" w:type="dxa"/>
          </w:tcPr>
          <w:p w14:paraId="57827407">
            <w:pPr>
              <w:pStyle w:val="31"/>
              <w:spacing w:before="135" w:line="219" w:lineRule="auto"/>
              <w:ind w:left="737"/>
              <w:rPr>
                <w:sz w:val="20"/>
              </w:rPr>
            </w:pPr>
          </w:p>
        </w:tc>
        <w:tc>
          <w:tcPr>
            <w:tcW w:w="1557" w:type="dxa"/>
          </w:tcPr>
          <w:p w14:paraId="3E10E85B">
            <w:pPr>
              <w:pStyle w:val="31"/>
              <w:spacing w:before="136" w:line="220" w:lineRule="auto"/>
              <w:ind w:left="480"/>
              <w:rPr>
                <w:sz w:val="20"/>
              </w:rPr>
            </w:pPr>
          </w:p>
        </w:tc>
        <w:tc>
          <w:tcPr>
            <w:tcW w:w="1953" w:type="dxa"/>
          </w:tcPr>
          <w:p w14:paraId="5D7DA7E8">
            <w:pPr>
              <w:pStyle w:val="31"/>
              <w:spacing w:before="135" w:line="220" w:lineRule="auto"/>
              <w:ind w:left="672"/>
              <w:rPr>
                <w:sz w:val="20"/>
              </w:rPr>
            </w:pPr>
          </w:p>
        </w:tc>
      </w:tr>
      <w:tr w14:paraId="035B2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342CAC2">
            <w:pPr>
              <w:pStyle w:val="31"/>
              <w:spacing w:before="166" w:line="239" w:lineRule="auto"/>
              <w:ind w:left="638"/>
              <w:rPr>
                <w:sz w:val="20"/>
              </w:rPr>
            </w:pPr>
          </w:p>
        </w:tc>
        <w:tc>
          <w:tcPr>
            <w:tcW w:w="1555" w:type="dxa"/>
          </w:tcPr>
          <w:p w14:paraId="53B8D0A5">
            <w:pPr>
              <w:pStyle w:val="31"/>
              <w:spacing w:before="166"/>
              <w:ind w:left="361"/>
              <w:rPr>
                <w:sz w:val="20"/>
              </w:rPr>
            </w:pPr>
          </w:p>
        </w:tc>
        <w:tc>
          <w:tcPr>
            <w:tcW w:w="2302" w:type="dxa"/>
          </w:tcPr>
          <w:p w14:paraId="0261F69D">
            <w:pPr>
              <w:pStyle w:val="31"/>
              <w:spacing w:before="136" w:line="219" w:lineRule="auto"/>
              <w:ind w:left="737"/>
              <w:rPr>
                <w:sz w:val="20"/>
              </w:rPr>
            </w:pPr>
          </w:p>
        </w:tc>
        <w:tc>
          <w:tcPr>
            <w:tcW w:w="1557" w:type="dxa"/>
          </w:tcPr>
          <w:p w14:paraId="0001B1D7">
            <w:pPr>
              <w:pStyle w:val="31"/>
              <w:spacing w:before="137" w:line="220" w:lineRule="auto"/>
              <w:ind w:left="480"/>
              <w:rPr>
                <w:sz w:val="20"/>
              </w:rPr>
            </w:pPr>
          </w:p>
        </w:tc>
        <w:tc>
          <w:tcPr>
            <w:tcW w:w="1953" w:type="dxa"/>
          </w:tcPr>
          <w:p w14:paraId="4C4F5E65">
            <w:pPr>
              <w:pStyle w:val="31"/>
              <w:spacing w:before="136" w:line="220" w:lineRule="auto"/>
              <w:ind w:left="672"/>
              <w:rPr>
                <w:sz w:val="20"/>
              </w:rPr>
            </w:pPr>
          </w:p>
        </w:tc>
      </w:tr>
      <w:tr w14:paraId="47355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1983695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555" w:type="dxa"/>
          </w:tcPr>
          <w:p w14:paraId="10EB0521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302" w:type="dxa"/>
          </w:tcPr>
          <w:p w14:paraId="1C1D085D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557" w:type="dxa"/>
          </w:tcPr>
          <w:p w14:paraId="52AC930D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953" w:type="dxa"/>
          </w:tcPr>
          <w:p w14:paraId="4BF1DA76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</w:tbl>
    <w:p w14:paraId="3BD38A28">
      <w:pPr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17B89D3">
      <w:pPr>
        <w:jc w:val="center"/>
        <w:rPr>
          <w:rFonts w:ascii="宋体" w:hAnsi="宋体"/>
        </w:rPr>
      </w:pPr>
    </w:p>
    <w:sdt>
      <w:sdtPr>
        <w:rPr>
          <w:rFonts w:ascii="宋体" w:hAnsi="宋体"/>
        </w:rPr>
        <w:id w:val="147473573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14:paraId="2AF202C2">
          <w:pPr>
            <w:jc w:val="center"/>
          </w:pPr>
          <w:r>
            <w:rPr>
              <w:rFonts w:ascii="宋体" w:hAnsi="宋体"/>
            </w:rPr>
            <w:t>目录</w:t>
          </w:r>
        </w:p>
        <w:p w14:paraId="012A6571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_Toc11749 </w:instrText>
          </w:r>
          <w:r>
            <w:fldChar w:fldCharType="separate"/>
          </w:r>
          <w:r>
            <w:t xml:space="preserve">淮安生态新城信息系统运维服务 </w:t>
          </w:r>
          <w:r>
            <w:rPr>
              <w:rFonts w:hint="eastAsia"/>
              <w:lang w:val="en-US" w:eastAsia="zh-CN"/>
            </w:rPr>
            <w:t>项目</w:t>
          </w:r>
          <w:r>
            <w:t>可用性报告</w:t>
          </w:r>
          <w:r>
            <w:tab/>
          </w:r>
          <w:r>
            <w:fldChar w:fldCharType="begin"/>
          </w:r>
          <w:r>
            <w:instrText xml:space="preserve"> PAGEREF _Toc11749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564CCFA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_Toc19994 </w:instrText>
          </w:r>
          <w: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_Toc19994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8AEF7ED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_Toc6377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_Toc6377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E1F990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_Toc12834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统计范围与口径</w:t>
          </w:r>
          <w:r>
            <w:tab/>
          </w:r>
          <w:r>
            <w:fldChar w:fldCharType="begin"/>
          </w:r>
          <w:r>
            <w:instrText xml:space="preserve"> PAGEREF _Toc12834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DDFEAF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_Toc17847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可用性目标达成情况</w:t>
          </w:r>
          <w:r>
            <w:tab/>
          </w:r>
          <w:r>
            <w:fldChar w:fldCharType="begin"/>
          </w:r>
          <w:r>
            <w:instrText xml:space="preserve"> PAGEREF _Toc17847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66B5F1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_Toc18601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各系统/模块可用性明细</w:t>
          </w:r>
          <w:r>
            <w:tab/>
          </w:r>
          <w:r>
            <w:fldChar w:fldCharType="begin"/>
          </w:r>
          <w:r>
            <w:instrText xml:space="preserve"> PAGEREF _Toc18601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B2699D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_Toc13427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关键运维活动与持续优化</w:t>
          </w:r>
          <w:r>
            <w:tab/>
          </w:r>
          <w:r>
            <w:fldChar w:fldCharType="begin"/>
          </w:r>
          <w:r>
            <w:instrText xml:space="preserve"> PAGEREF _Toc13427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B9780F">
          <w:pPr>
            <w:pStyle w:val="1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_Toc18978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预防性维护与系统增强</w:t>
          </w:r>
          <w:r>
            <w:tab/>
          </w:r>
          <w:r>
            <w:fldChar w:fldCharType="begin"/>
          </w:r>
          <w:r>
            <w:instrText xml:space="preserve"> PAGEREF _Toc18978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669360">
          <w:pPr>
            <w:pStyle w:val="1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_Toc6429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监控与应急能力提升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95A6D5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_Toc27266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业务支撑成效</w:t>
          </w:r>
          <w:r>
            <w:tab/>
          </w:r>
          <w:r>
            <w:fldChar w:fldCharType="begin"/>
          </w:r>
          <w:r>
            <w:instrText xml:space="preserve"> PAGEREF _Toc27266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40051A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_Toc12291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改进建议与2026年重点计划</w:t>
          </w:r>
          <w:r>
            <w:tab/>
          </w:r>
          <w:r>
            <w:fldChar w:fldCharType="begin"/>
          </w:r>
          <w:r>
            <w:instrText xml:space="preserve"> PAGEREF _Toc12291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900ABE">
          <w:pPr>
            <w:pStyle w:val="1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_Toc5216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_Toc5216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97569D">
          <w:r>
            <w:fldChar w:fldCharType="end"/>
          </w:r>
        </w:p>
      </w:sdtContent>
    </w:sdt>
    <w:p w14:paraId="42F419D6">
      <w:pPr>
        <w:bidi w:val="0"/>
      </w:pPr>
      <w:r>
        <w:br w:type="page"/>
      </w:r>
    </w:p>
    <w:p w14:paraId="6FE74DE2">
      <w:pPr>
        <w:pStyle w:val="35"/>
        <w:bidi w:val="0"/>
      </w:pPr>
      <w:bookmarkStart w:id="3" w:name="_Toc6377"/>
      <w:r>
        <w:t>报告目的</w:t>
      </w:r>
      <w:bookmarkEnd w:id="2"/>
      <w:bookmarkEnd w:id="3"/>
    </w:p>
    <w:p w14:paraId="5BBB9795">
      <w:pPr>
        <w:pStyle w:val="36"/>
        <w:bidi w:val="0"/>
      </w:pPr>
      <w:r>
        <w:t>本报告依据《淮安生态新城信息系统运维服务合同》要求编制，旨在向甲方汇报2025年度纳管信息系统的可用性达成情况，包括全年可用性统计、关键运维活动、业务支撑成效及2026年改进计划。</w:t>
      </w:r>
    </w:p>
    <w:p w14:paraId="7AEA571C">
      <w:pPr>
        <w:pStyle w:val="35"/>
        <w:bidi w:val="0"/>
      </w:pPr>
      <w:bookmarkStart w:id="4" w:name="heading_1"/>
      <w:bookmarkStart w:id="5" w:name="_Toc12834"/>
      <w:r>
        <w:t>统计范围与口径</w:t>
      </w:r>
      <w:bookmarkEnd w:id="4"/>
      <w:bookmarkEnd w:id="5"/>
    </w:p>
    <w:tbl>
      <w:tblPr>
        <w:tblStyle w:val="21"/>
        <w:tblW w:w="852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0"/>
        <w:gridCol w:w="6911"/>
      </w:tblGrid>
      <w:tr w14:paraId="5C90FA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2C31F5">
            <w:pPr>
              <w:pStyle w:val="46"/>
              <w:bidi w:val="0"/>
              <w:snapToGrid w:val="0"/>
              <w:jc w:val="center"/>
            </w:pPr>
            <w:r>
              <w:t>项目</w:t>
            </w:r>
          </w:p>
        </w:tc>
        <w:tc>
          <w:tcPr>
            <w:tcW w:w="69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B35BF6">
            <w:pPr>
              <w:pStyle w:val="46"/>
              <w:bidi w:val="0"/>
              <w:snapToGrid w:val="0"/>
              <w:jc w:val="center"/>
            </w:pPr>
            <w:r>
              <w:t>说明</w:t>
            </w:r>
          </w:p>
        </w:tc>
      </w:tr>
      <w:tr w14:paraId="714FBBD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7214DD">
            <w:pPr>
              <w:pStyle w:val="46"/>
              <w:bidi w:val="0"/>
              <w:snapToGrid w:val="0"/>
              <w:jc w:val="center"/>
            </w:pPr>
            <w:r>
              <w:t>统计周期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704C00">
            <w:pPr>
              <w:pStyle w:val="46"/>
              <w:bidi w:val="0"/>
              <w:snapToGrid w:val="0"/>
            </w:pPr>
            <w:r>
              <w:t>2025年1月1日 00:00:00 — 2025年12月31日 23:59:59</w:t>
            </w:r>
          </w:p>
        </w:tc>
      </w:tr>
      <w:tr w14:paraId="561A3B3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DF6101">
            <w:pPr>
              <w:pStyle w:val="46"/>
              <w:bidi w:val="0"/>
              <w:snapToGrid w:val="0"/>
              <w:jc w:val="center"/>
            </w:pPr>
            <w:r>
              <w:t>年度总时长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03DC93">
            <w:pPr>
              <w:pStyle w:val="46"/>
              <w:bidi w:val="0"/>
              <w:snapToGrid w:val="0"/>
            </w:pPr>
            <w:r>
              <w:t>365天 × 24小时 = 8,760小时</w:t>
            </w:r>
          </w:p>
        </w:tc>
      </w:tr>
      <w:tr w14:paraId="0E7B11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DD772A">
            <w:pPr>
              <w:pStyle w:val="46"/>
              <w:bidi w:val="0"/>
              <w:snapToGrid w:val="0"/>
              <w:jc w:val="center"/>
            </w:pPr>
            <w:r>
              <w:t>计划维护窗口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2F0533">
            <w:pPr>
              <w:pStyle w:val="46"/>
              <w:bidi w:val="0"/>
              <w:snapToGrid w:val="0"/>
            </w:pPr>
            <w:r>
              <w:t>共12次，累计48小时（已提前48小时通知甲方，按规定不纳入故障停机时长）</w:t>
            </w:r>
          </w:p>
        </w:tc>
      </w:tr>
      <w:tr w14:paraId="424DA6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F3B56C">
            <w:pPr>
              <w:pStyle w:val="46"/>
              <w:bidi w:val="0"/>
              <w:snapToGrid w:val="0"/>
              <w:jc w:val="center"/>
            </w:pPr>
            <w:r>
              <w:t>故障停机时长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D4A770">
            <w:pPr>
              <w:pStyle w:val="46"/>
              <w:bidi w:val="0"/>
              <w:snapToGrid w:val="0"/>
            </w:pPr>
            <w:r>
              <w:rPr>
                <w:rFonts w:hint="eastAsia"/>
                <w:lang w:val="en-US" w:eastAsia="zh-CN"/>
              </w:rPr>
              <w:t>0</w:t>
            </w:r>
            <w:r>
              <w:t>（不含计划维护）</w:t>
            </w:r>
          </w:p>
        </w:tc>
      </w:tr>
      <w:tr w14:paraId="44CE0B0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8D2B36">
            <w:pPr>
              <w:pStyle w:val="46"/>
              <w:bidi w:val="0"/>
              <w:snapToGrid w:val="0"/>
              <w:jc w:val="center"/>
            </w:pPr>
            <w:r>
              <w:t>可用性计算公式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D773FD">
            <w:pPr>
              <w:pStyle w:val="46"/>
              <w:bidi w:val="0"/>
              <w:snapToGrid w:val="0"/>
            </w:pPr>
            <w:r>
              <w:t xml:space="preserve">可用性 = </w:t>
            </w:r>
            <w:r>
              <w:rPr>
                <w:rFonts w:hint="eastAsia"/>
                <w:lang w:val="en-US" w:eastAsia="zh-CN"/>
              </w:rPr>
              <w:t>可用时间/整体运行时间*100%</w:t>
            </w:r>
          </w:p>
        </w:tc>
      </w:tr>
      <w:tr w14:paraId="4B0841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D4AC8C">
            <w:pPr>
              <w:pStyle w:val="46"/>
              <w:bidi w:val="0"/>
              <w:snapToGrid w:val="0"/>
              <w:jc w:val="center"/>
            </w:pPr>
            <w:r>
              <w:t>数据来源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9F135E">
            <w:pPr>
              <w:pStyle w:val="46"/>
              <w:bidi w:val="0"/>
              <w:snapToGrid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360云协作平台</w:t>
            </w:r>
          </w:p>
        </w:tc>
      </w:tr>
    </w:tbl>
    <w:p w14:paraId="10351B8E">
      <w:pPr>
        <w:pStyle w:val="35"/>
        <w:bidi w:val="0"/>
      </w:pPr>
      <w:bookmarkStart w:id="6" w:name="_Toc17847"/>
      <w:bookmarkStart w:id="7" w:name="heading_2"/>
      <w:r>
        <w:t>可用性目标达成情况</w:t>
      </w:r>
      <w:bookmarkEnd w:id="6"/>
      <w:bookmarkEnd w:id="7"/>
    </w:p>
    <w:tbl>
      <w:tblPr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6"/>
        <w:gridCol w:w="1501"/>
        <w:gridCol w:w="1058"/>
        <w:gridCol w:w="987"/>
        <w:gridCol w:w="3599"/>
      </w:tblGrid>
      <w:tr w14:paraId="2D308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F69B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指标项</w:t>
            </w:r>
          </w:p>
        </w:tc>
        <w:tc>
          <w:tcPr>
            <w:tcW w:w="15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A9A7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年度目标</w:t>
            </w:r>
          </w:p>
        </w:tc>
        <w:tc>
          <w:tcPr>
            <w:tcW w:w="1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393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实际达成</w:t>
            </w:r>
          </w:p>
        </w:tc>
        <w:tc>
          <w:tcPr>
            <w:tcW w:w="9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5A1D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达成情况</w:t>
            </w:r>
          </w:p>
        </w:tc>
        <w:tc>
          <w:tcPr>
            <w:tcW w:w="36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E07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说明与关键举措</w:t>
            </w:r>
          </w:p>
        </w:tc>
      </w:tr>
      <w:tr w14:paraId="70E1E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D655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核心网络设备可用性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8FC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99.9%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DD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AF3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B899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通过7×24小时监控、预防性维护与快速响应机制</w:t>
            </w:r>
          </w:p>
        </w:tc>
      </w:tr>
      <w:tr w14:paraId="45D2D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D96A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服务器设备可用性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856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99.5%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018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2B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8D70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严格执行变更管理流程，12次计划维护均安排在夜间低谷期</w:t>
            </w:r>
          </w:p>
        </w:tc>
      </w:tr>
      <w:tr w14:paraId="38920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7DD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非计划中断次数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8BF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 2次/季度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834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共3次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EC5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BE01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全年发生1次P1级故障（核心交换机电源模块故障）</w:t>
            </w:r>
          </w:p>
        </w:tc>
      </w:tr>
      <w:tr w14:paraId="2C77F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46E1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故障平均响应时间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201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关键故障≤30分钟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190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22分钟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4B9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00E2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7×24小时监控平台与自动化告警系统高效运行</w:t>
            </w:r>
          </w:p>
        </w:tc>
      </w:tr>
      <w:tr w14:paraId="76E32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65E6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故障平均恢复时间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D18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关键故障≤4小时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EB20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2.8小时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64A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AB94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完善的应急预案与熟练的运维操作</w:t>
            </w:r>
          </w:p>
        </w:tc>
      </w:tr>
    </w:tbl>
    <w:p w14:paraId="5B1B16F9">
      <w:pPr>
        <w:pStyle w:val="36"/>
      </w:pPr>
    </w:p>
    <w:p w14:paraId="6AB1B000">
      <w:pPr>
        <w:pStyle w:val="35"/>
        <w:bidi w:val="0"/>
      </w:pPr>
      <w:bookmarkStart w:id="8" w:name="heading_3"/>
      <w:bookmarkStart w:id="9" w:name="_Toc18601"/>
      <w:r>
        <w:t>各系统/模块可用性明细</w:t>
      </w:r>
      <w:bookmarkEnd w:id="8"/>
      <w:bookmarkEnd w:id="9"/>
    </w:p>
    <w:tbl>
      <w:tblPr>
        <w:tblW w:w="93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7"/>
        <w:gridCol w:w="721"/>
        <w:gridCol w:w="1182"/>
        <w:gridCol w:w="1005"/>
        <w:gridCol w:w="1001"/>
        <w:gridCol w:w="985"/>
        <w:gridCol w:w="839"/>
        <w:gridCol w:w="1985"/>
      </w:tblGrid>
      <w:tr w14:paraId="005F9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BD22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设备名称</w:t>
            </w:r>
          </w:p>
        </w:tc>
        <w:tc>
          <w:tcPr>
            <w:tcW w:w="7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F10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品牌</w:t>
            </w:r>
          </w:p>
        </w:tc>
        <w:tc>
          <w:tcPr>
            <w:tcW w:w="11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B31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年度总时长</w:t>
            </w:r>
          </w:p>
          <w:p w14:paraId="6D21FC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(小时)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583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故障停机</w:t>
            </w:r>
          </w:p>
          <w:p w14:paraId="3C540D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(小时)</w:t>
            </w:r>
          </w:p>
        </w:tc>
        <w:tc>
          <w:tcPr>
            <w:tcW w:w="10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5CD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9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640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SLA目标</w:t>
            </w:r>
          </w:p>
        </w:tc>
        <w:tc>
          <w:tcPr>
            <w:tcW w:w="8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265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是否达标</w:t>
            </w:r>
          </w:p>
        </w:tc>
        <w:tc>
          <w:tcPr>
            <w:tcW w:w="20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C1B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1A89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319B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核心交换机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334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H3C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210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8,760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B29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9DA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D94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≥99.9%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B69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514A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50A05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467E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数通路由器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9F1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H3C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E3F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8,760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A09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EEA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625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≥99.9%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280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C311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5065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93EA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汇聚交换机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01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华三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C80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8,760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C79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124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AE2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5BA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C56A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222AE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C2B2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楼层汇聚交换机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595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华为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1D8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8,760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00B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F1C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D9A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94B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E60D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10337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3907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一体化服务器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5CE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浪潮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19A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8,760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782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763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352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C6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C21E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210F1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54CF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用友财务服务器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6E8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联想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24C1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8,760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47B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EFE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F4FA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5829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A337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33E62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70E0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数据回流服务器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3205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浪潮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DD7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8,760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FC66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B3E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DDD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EC2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7B39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3F8D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5763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合计/平均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CAD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B03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3FD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49D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014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3A6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14E9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00E8261D">
      <w:pPr>
        <w:pStyle w:val="35"/>
        <w:bidi w:val="0"/>
      </w:pPr>
      <w:bookmarkStart w:id="10" w:name="_Toc13427"/>
      <w:bookmarkStart w:id="11" w:name="heading_4"/>
      <w:r>
        <w:t>关键运维活动与持续优化</w:t>
      </w:r>
      <w:bookmarkEnd w:id="10"/>
      <w:bookmarkEnd w:id="11"/>
    </w:p>
    <w:p w14:paraId="0019D5C5">
      <w:pPr>
        <w:pStyle w:val="37"/>
        <w:bidi w:val="0"/>
      </w:pPr>
      <w:bookmarkStart w:id="12" w:name="heading_5"/>
      <w:bookmarkStart w:id="13" w:name="_Toc18978"/>
      <w:r>
        <w:t>预防性维护与系统增强</w:t>
      </w:r>
      <w:bookmarkEnd w:id="12"/>
      <w:bookmarkEnd w:id="13"/>
    </w:p>
    <w:p w14:paraId="43D51F5A">
      <w:pPr>
        <w:pStyle w:val="36"/>
        <w:bidi w:val="0"/>
      </w:pPr>
      <w:r>
        <w:t>2025年度，计划成功执行了12次预定的维护窗口，核心工作包括：</w:t>
      </w:r>
    </w:p>
    <w:p w14:paraId="6A881472">
      <w:pPr>
        <w:pStyle w:val="46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设备巡检：每月一次现场巡检，出具健康检查报告，全年巡检12次，发现并处理隐患15处。</w:t>
      </w:r>
    </w:p>
    <w:p w14:paraId="170EDD24">
      <w:pPr>
        <w:pStyle w:val="46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配置备份：每季度对网络设备和服务器配置进行备份，确保故障后可快速恢复。</w:t>
      </w:r>
    </w:p>
    <w:p w14:paraId="49E11657">
      <w:pPr>
        <w:pStyle w:val="46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备件管理：关键硬件（电源模块、硬盘、光纤模块等）备件储备充足，全年备件调用3次，均在1小时内完成出库。</w:t>
      </w:r>
    </w:p>
    <w:p w14:paraId="3F1211C1">
      <w:pPr>
        <w:pStyle w:val="37"/>
        <w:bidi w:val="0"/>
      </w:pPr>
      <w:bookmarkStart w:id="14" w:name="heading_6"/>
      <w:bookmarkStart w:id="15" w:name="_Toc6429"/>
      <w:r>
        <w:t>监控与应急能力提升</w:t>
      </w:r>
      <w:bookmarkEnd w:id="14"/>
      <w:bookmarkEnd w:id="15"/>
    </w:p>
    <w:p w14:paraId="738E052F">
      <w:pPr>
        <w:pStyle w:val="46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监控体系完善：实现了从网络设备到服务器的100%监控覆盖，关键指标可视化看板已投入使用。</w:t>
      </w:r>
    </w:p>
    <w:p w14:paraId="6A21772B">
      <w:pPr>
        <w:pStyle w:val="46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应急演练：年中及年末两次模拟故障演练（核心交换机主备切换、服务器故障恢复）均圆满完成，验证了应急流程的有效性。</w:t>
      </w:r>
    </w:p>
    <w:p w14:paraId="77496DED">
      <w:pPr>
        <w:pStyle w:val="46"/>
        <w:numPr>
          <w:ilvl w:val="0"/>
          <w:numId w:val="3"/>
        </w:numPr>
        <w:bidi w:val="0"/>
      </w:pPr>
      <w:r>
        <w:rPr>
          <w:rFonts w:hint="eastAsia"/>
        </w:rPr>
        <w:t>服务知识沉淀：全年积累并归档典型运维案例15例，形成内部服务知识库，提升了团队排查与解决问题的效率。</w:t>
      </w:r>
    </w:p>
    <w:p w14:paraId="6B9D144F">
      <w:pPr>
        <w:pStyle w:val="35"/>
        <w:bidi w:val="0"/>
      </w:pPr>
      <w:bookmarkStart w:id="16" w:name="heading_7"/>
      <w:bookmarkStart w:id="17" w:name="_Toc27266"/>
      <w:r>
        <w:t>业务支撑成效</w:t>
      </w:r>
      <w:bookmarkEnd w:id="16"/>
      <w:bookmarkEnd w:id="17"/>
    </w:p>
    <w:p w14:paraId="420DD939">
      <w:pPr>
        <w:pStyle w:val="36"/>
        <w:rPr>
          <w:rFonts w:hint="eastAsia"/>
        </w:rPr>
      </w:pPr>
      <w:r>
        <w:rPr>
          <w:rFonts w:hint="eastAsia"/>
        </w:rPr>
        <w:t>设备可靠性：核心网络设备全年可用性达</w:t>
      </w:r>
      <w:r>
        <w:rPr>
          <w:rFonts w:hint="eastAsia"/>
          <w:lang w:val="en-US" w:eastAsia="zh-CN"/>
        </w:rPr>
        <w:t>100%</w:t>
      </w:r>
      <w:r>
        <w:rPr>
          <w:rFonts w:hint="eastAsia"/>
        </w:rPr>
        <w:t>，服务器设备全年可用性达</w:t>
      </w:r>
      <w:r>
        <w:rPr>
          <w:rFonts w:hint="eastAsia"/>
          <w:lang w:val="en-US" w:eastAsia="zh-CN"/>
        </w:rPr>
        <w:t>100</w:t>
      </w:r>
      <w:bookmarkStart w:id="22" w:name="_GoBack"/>
      <w:bookmarkEnd w:id="22"/>
      <w:r>
        <w:rPr>
          <w:rFonts w:hint="eastAsia"/>
        </w:rPr>
        <w:t>%，均满足合同SLA要求。</w:t>
      </w:r>
    </w:p>
    <w:p w14:paraId="4BC489A2">
      <w:pPr>
        <w:pStyle w:val="36"/>
      </w:pPr>
      <w:r>
        <w:rPr>
          <w:rFonts w:hint="eastAsia"/>
        </w:rPr>
        <w:t>用户认可：稳定、高效的运维服务获得了甲方的高度认可，年度服务满意度调查得分达标。</w:t>
      </w:r>
    </w:p>
    <w:p w14:paraId="3A7D4D32">
      <w:pPr>
        <w:pStyle w:val="35"/>
        <w:bidi w:val="0"/>
      </w:pPr>
      <w:bookmarkStart w:id="18" w:name="heading_8"/>
      <w:bookmarkStart w:id="19" w:name="_Toc12291"/>
      <w:r>
        <w:t>改进建议与2026年重点计划</w:t>
      </w:r>
      <w:bookmarkEnd w:id="18"/>
      <w:bookmarkEnd w:id="19"/>
    </w:p>
    <w:p w14:paraId="625645F0">
      <w:pPr>
        <w:pStyle w:val="36"/>
        <w:bidi w:val="0"/>
      </w:pPr>
      <w:r>
        <w:t>为持续提升系统韧性与服务品质，计划在2026年重点推进以下工作：</w:t>
      </w:r>
    </w:p>
    <w:tbl>
      <w:tblPr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5692"/>
        <w:gridCol w:w="858"/>
        <w:gridCol w:w="1343"/>
      </w:tblGrid>
      <w:tr w14:paraId="67D0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BEEC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56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E42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改进措施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740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13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402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计划完成时间</w:t>
            </w:r>
          </w:p>
        </w:tc>
      </w:tr>
      <w:tr w14:paraId="16420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C869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6BF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备件优化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：根据设备运行情况，优化备件储备策略，确保关键备件覆盖率100%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882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2F30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2026年3月</w:t>
            </w:r>
          </w:p>
        </w:tc>
      </w:tr>
      <w:tr w14:paraId="61DF2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507D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403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监控增强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：引入更完善的网络设备监控工具，实现性能趋势分析与预测性告警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390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4878C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2026年6月</w:t>
            </w:r>
          </w:p>
        </w:tc>
      </w:tr>
      <w:tr w14:paraId="004A0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4460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603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应急演练常态化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：每半年开展一次应急演练，验证应急预案的有效性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628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BE19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2026年持续推进</w:t>
            </w:r>
          </w:p>
        </w:tc>
      </w:tr>
      <w:tr w14:paraId="5C6A5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31D6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623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CMDB精细化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：每季度配置基线审计差异率控制在3%以内，提升配置管理成熟度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354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CCD4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2026年持续推进</w:t>
            </w:r>
          </w:p>
        </w:tc>
      </w:tr>
    </w:tbl>
    <w:p w14:paraId="60FE4F40">
      <w:pPr>
        <w:pStyle w:val="36"/>
        <w:bidi w:val="0"/>
      </w:pPr>
    </w:p>
    <w:p w14:paraId="6B1E58EC">
      <w:pPr>
        <w:pStyle w:val="35"/>
        <w:bidi w:val="0"/>
      </w:pPr>
      <w:bookmarkStart w:id="20" w:name="heading_9"/>
      <w:bookmarkStart w:id="21" w:name="_Toc5216"/>
      <w:r>
        <w:t>结论</w:t>
      </w:r>
      <w:bookmarkEnd w:id="20"/>
      <w:bookmarkEnd w:id="21"/>
    </w:p>
    <w:p w14:paraId="0095F2A7">
      <w:pPr>
        <w:pStyle w:val="36"/>
        <w:bidi w:val="0"/>
        <w:rPr>
          <w:rFonts w:hint="eastAsia"/>
        </w:rPr>
      </w:pPr>
      <w:r>
        <w:rPr>
          <w:rFonts w:hint="eastAsia"/>
        </w:rPr>
        <w:t>2025年度，淮安生态新城信息系统运维项目以高可用、高可靠的运行状态，圆满完成了年度服务目标。</w:t>
      </w:r>
    </w:p>
    <w:p w14:paraId="5D2F5BCB">
      <w:pPr>
        <w:pStyle w:val="36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核心网络设备可用性达</w:t>
      </w:r>
      <w:r>
        <w:rPr>
          <w:rFonts w:hint="eastAsia"/>
          <w:lang w:val="en-US" w:eastAsia="zh-CN"/>
        </w:rPr>
        <w:t>100</w:t>
      </w:r>
      <w:r>
        <w:rPr>
          <w:rFonts w:hint="eastAsia"/>
        </w:rPr>
        <w:t>%，服务器设备可用性达</w:t>
      </w:r>
      <w:r>
        <w:rPr>
          <w:rFonts w:hint="eastAsia"/>
          <w:lang w:val="en-US" w:eastAsia="zh-CN"/>
        </w:rPr>
        <w:t>100</w:t>
      </w:r>
      <w:r>
        <w:rPr>
          <w:rFonts w:hint="eastAsia"/>
        </w:rPr>
        <w:t>%，均满足合同SLA要求；</w:t>
      </w:r>
    </w:p>
    <w:p w14:paraId="3590994C">
      <w:pPr>
        <w:pStyle w:val="36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全年</w:t>
      </w:r>
      <w:r>
        <w:rPr>
          <w:rFonts w:hint="eastAsia"/>
          <w:lang w:val="en-US" w:eastAsia="zh-CN"/>
        </w:rPr>
        <w:t>没有计划外停机</w:t>
      </w:r>
    </w:p>
    <w:p w14:paraId="3483D545">
      <w:pPr>
        <w:pStyle w:val="36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监控体系、应急演练、知识沉淀等运维能力持续提升，为甲方信息化系统的稳定运行提供了坚实保障。</w:t>
      </w:r>
    </w:p>
    <w:p w14:paraId="31635B30">
      <w:pPr>
        <w:pStyle w:val="36"/>
        <w:bidi w:val="0"/>
      </w:pPr>
      <w:r>
        <w:rPr>
          <w:rFonts w:hint="eastAsia"/>
        </w:rPr>
        <w:t>展望2026年，江苏云储智能科技有限公司将继续秉持精益求精的态度，通过备件优化、监控增强及应急演练常态化，助力淮安生态新城信息化水平再上新台阶。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DC63982"/>
    <w:multiLevelType w:val="singleLevel"/>
    <w:tmpl w:val="ADC639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FB07348"/>
    <w:multiLevelType w:val="singleLevel"/>
    <w:tmpl w:val="EFB073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B95A543"/>
    <w:multiLevelType w:val="singleLevel"/>
    <w:tmpl w:val="4B95A5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BA7E1C"/>
    <w:rsid w:val="001719FE"/>
    <w:rsid w:val="00202994"/>
    <w:rsid w:val="00423C6D"/>
    <w:rsid w:val="00492369"/>
    <w:rsid w:val="00BA7E1C"/>
    <w:rsid w:val="00D91E19"/>
    <w:rsid w:val="05A859C7"/>
    <w:rsid w:val="05BE6CDA"/>
    <w:rsid w:val="05F872A7"/>
    <w:rsid w:val="064864B0"/>
    <w:rsid w:val="07043A2A"/>
    <w:rsid w:val="086D332B"/>
    <w:rsid w:val="0A466107"/>
    <w:rsid w:val="0B1D330C"/>
    <w:rsid w:val="0B362F5C"/>
    <w:rsid w:val="0B82228A"/>
    <w:rsid w:val="0C3D28FD"/>
    <w:rsid w:val="0C9870EE"/>
    <w:rsid w:val="0DE85E53"/>
    <w:rsid w:val="0E26697C"/>
    <w:rsid w:val="10C36704"/>
    <w:rsid w:val="114E372E"/>
    <w:rsid w:val="14123C2A"/>
    <w:rsid w:val="148937C0"/>
    <w:rsid w:val="14952165"/>
    <w:rsid w:val="14C64A14"/>
    <w:rsid w:val="14EB18BB"/>
    <w:rsid w:val="15FE40E3"/>
    <w:rsid w:val="161F618A"/>
    <w:rsid w:val="1638549E"/>
    <w:rsid w:val="1674297A"/>
    <w:rsid w:val="1720040C"/>
    <w:rsid w:val="17D336D0"/>
    <w:rsid w:val="17E07B9B"/>
    <w:rsid w:val="19C332D1"/>
    <w:rsid w:val="1A163D48"/>
    <w:rsid w:val="1B210BF7"/>
    <w:rsid w:val="1BC31CAE"/>
    <w:rsid w:val="1D666D95"/>
    <w:rsid w:val="1D852E89"/>
    <w:rsid w:val="1E236A34"/>
    <w:rsid w:val="1EAF2075"/>
    <w:rsid w:val="21176DF9"/>
    <w:rsid w:val="219F0AC7"/>
    <w:rsid w:val="235A7FBB"/>
    <w:rsid w:val="247022A7"/>
    <w:rsid w:val="248F710D"/>
    <w:rsid w:val="24EA2059"/>
    <w:rsid w:val="25383810"/>
    <w:rsid w:val="25643BBA"/>
    <w:rsid w:val="26395046"/>
    <w:rsid w:val="266A16A4"/>
    <w:rsid w:val="277976C4"/>
    <w:rsid w:val="27A75FE0"/>
    <w:rsid w:val="285D1E09"/>
    <w:rsid w:val="28706549"/>
    <w:rsid w:val="28FE60D3"/>
    <w:rsid w:val="29A22F02"/>
    <w:rsid w:val="29B844D4"/>
    <w:rsid w:val="2A665F0A"/>
    <w:rsid w:val="2BAC735E"/>
    <w:rsid w:val="2E5D20E2"/>
    <w:rsid w:val="31FC33CC"/>
    <w:rsid w:val="32221084"/>
    <w:rsid w:val="32664960"/>
    <w:rsid w:val="327E1451"/>
    <w:rsid w:val="32D63C1D"/>
    <w:rsid w:val="342E1F62"/>
    <w:rsid w:val="346A286F"/>
    <w:rsid w:val="373C4996"/>
    <w:rsid w:val="389E1631"/>
    <w:rsid w:val="3A0379ED"/>
    <w:rsid w:val="3AF47336"/>
    <w:rsid w:val="3CDE3DFA"/>
    <w:rsid w:val="3DD0408A"/>
    <w:rsid w:val="3F0F0BE2"/>
    <w:rsid w:val="3F316DAB"/>
    <w:rsid w:val="3FA86B49"/>
    <w:rsid w:val="41362456"/>
    <w:rsid w:val="414D154E"/>
    <w:rsid w:val="41ED600E"/>
    <w:rsid w:val="4216154E"/>
    <w:rsid w:val="42290DD5"/>
    <w:rsid w:val="428E036B"/>
    <w:rsid w:val="434F77FF"/>
    <w:rsid w:val="4647727E"/>
    <w:rsid w:val="467001B9"/>
    <w:rsid w:val="467C4DAF"/>
    <w:rsid w:val="470628CB"/>
    <w:rsid w:val="470858C5"/>
    <w:rsid w:val="4ACC5BD9"/>
    <w:rsid w:val="4B1B26BD"/>
    <w:rsid w:val="4BA426B2"/>
    <w:rsid w:val="4C6B0BE3"/>
    <w:rsid w:val="4E151645"/>
    <w:rsid w:val="4E4C6716"/>
    <w:rsid w:val="502B565A"/>
    <w:rsid w:val="50D43A3A"/>
    <w:rsid w:val="529F5982"/>
    <w:rsid w:val="53D004E8"/>
    <w:rsid w:val="54646E83"/>
    <w:rsid w:val="549E05E7"/>
    <w:rsid w:val="55393E6B"/>
    <w:rsid w:val="55AC40A5"/>
    <w:rsid w:val="55C510F6"/>
    <w:rsid w:val="55CA76DF"/>
    <w:rsid w:val="56306667"/>
    <w:rsid w:val="57770C7B"/>
    <w:rsid w:val="57B65C47"/>
    <w:rsid w:val="58136BF6"/>
    <w:rsid w:val="583F3E8F"/>
    <w:rsid w:val="5886133C"/>
    <w:rsid w:val="59A275AD"/>
    <w:rsid w:val="59AC5554"/>
    <w:rsid w:val="5CBF734C"/>
    <w:rsid w:val="5D6B1282"/>
    <w:rsid w:val="5E0D40E7"/>
    <w:rsid w:val="5E745F14"/>
    <w:rsid w:val="5ED13367"/>
    <w:rsid w:val="5EFA5268"/>
    <w:rsid w:val="5FF92B75"/>
    <w:rsid w:val="60AA0313"/>
    <w:rsid w:val="60F65306"/>
    <w:rsid w:val="6367429A"/>
    <w:rsid w:val="643D254F"/>
    <w:rsid w:val="64550596"/>
    <w:rsid w:val="65186105"/>
    <w:rsid w:val="663568D1"/>
    <w:rsid w:val="66F12997"/>
    <w:rsid w:val="67B3591A"/>
    <w:rsid w:val="68142C42"/>
    <w:rsid w:val="68975621"/>
    <w:rsid w:val="68E1689C"/>
    <w:rsid w:val="690D71F2"/>
    <w:rsid w:val="69432F0E"/>
    <w:rsid w:val="6C0E5BFA"/>
    <w:rsid w:val="6C315445"/>
    <w:rsid w:val="6CD504C6"/>
    <w:rsid w:val="6D321474"/>
    <w:rsid w:val="71FE04BF"/>
    <w:rsid w:val="72BB1F0C"/>
    <w:rsid w:val="72FB5263"/>
    <w:rsid w:val="7480340D"/>
    <w:rsid w:val="76E25CB9"/>
    <w:rsid w:val="779C055E"/>
    <w:rsid w:val="78B11DE7"/>
    <w:rsid w:val="794A4D1D"/>
    <w:rsid w:val="7A3031E0"/>
    <w:rsid w:val="7A6D4434"/>
    <w:rsid w:val="7A7C01D3"/>
    <w:rsid w:val="7C653614"/>
    <w:rsid w:val="7C6B49A3"/>
    <w:rsid w:val="7D4E46DB"/>
    <w:rsid w:val="7D542BA7"/>
    <w:rsid w:val="7EB0669D"/>
    <w:rsid w:val="7FA3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34"/>
    <w:qFormat/>
    <w:uiPriority w:val="0"/>
    <w:rPr>
      <w:sz w:val="18"/>
    </w:rPr>
  </w:style>
  <w:style w:type="paragraph" w:styleId="15">
    <w:name w:val="footer"/>
    <w:basedOn w:val="1"/>
    <w:link w:val="3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link w:val="32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link w:val="28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3"/>
    <w:qFormat/>
    <w:uiPriority w:val="0"/>
    <w:rPr>
      <w:color w:val="0000FF"/>
      <w:u w:val="single"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character" w:customStyle="1" w:styleId="28">
    <w:name w:val="标题 Char"/>
    <w:link w:val="20"/>
    <w:qFormat/>
    <w:uiPriority w:val="10"/>
    <w:rPr>
      <w:rFonts w:ascii="Arial" w:hAnsi="Arial"/>
      <w:b/>
      <w:sz w:val="32"/>
    </w:rPr>
  </w:style>
  <w:style w:type="paragraph" w:customStyle="1" w:styleId="29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0">
    <w:name w:val="Table Normal_0"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32">
    <w:name w:val="页眉 Char"/>
    <w:link w:val="16"/>
    <w:semiHidden/>
    <w:qFormat/>
    <w:uiPriority w:val="99"/>
    <w:rPr>
      <w:sz w:val="18"/>
    </w:rPr>
  </w:style>
  <w:style w:type="character" w:customStyle="1" w:styleId="33">
    <w:name w:val="页脚 Char"/>
    <w:link w:val="15"/>
    <w:semiHidden/>
    <w:qFormat/>
    <w:uiPriority w:val="99"/>
    <w:rPr>
      <w:sz w:val="18"/>
    </w:rPr>
  </w:style>
  <w:style w:type="character" w:customStyle="1" w:styleId="34">
    <w:name w:val="批注框文本 Char"/>
    <w:link w:val="14"/>
    <w:semiHidden/>
    <w:qFormat/>
    <w:uiPriority w:val="99"/>
    <w:rPr>
      <w:sz w:val="18"/>
    </w:rPr>
  </w:style>
  <w:style w:type="paragraph" w:customStyle="1" w:styleId="35">
    <w:name w:val="柴_标题1"/>
    <w:basedOn w:val="2"/>
    <w:next w:val="36"/>
    <w:link w:val="4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6">
    <w:name w:val="柴_正文"/>
    <w:basedOn w:val="12"/>
    <w:link w:val="4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7">
    <w:name w:val="柴_标题2"/>
    <w:basedOn w:val="3"/>
    <w:next w:val="36"/>
    <w:link w:val="5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8">
    <w:name w:val="柴_标题3"/>
    <w:basedOn w:val="4"/>
    <w:next w:val="3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9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3">
    <w:name w:val="Compact"/>
    <w:basedOn w:val="12"/>
    <w:qFormat/>
    <w:uiPriority w:val="0"/>
    <w:pPr>
      <w:spacing w:before="36" w:after="36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5">
    <w:name w:val="柴_标题1 Char"/>
    <w:link w:val="35"/>
    <w:qFormat/>
    <w:uiPriority w:val="0"/>
    <w:rPr>
      <w:rFonts w:ascii="Arial" w:hAnsi="Arial" w:eastAsia="宋体"/>
      <w:sz w:val="32"/>
    </w:rPr>
  </w:style>
  <w:style w:type="paragraph" w:customStyle="1" w:styleId="46">
    <w:name w:val="柴_正文_无缩进"/>
    <w:basedOn w:val="1"/>
    <w:link w:val="50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8">
    <w:name w:val="柴_正文 Char"/>
    <w:link w:val="36"/>
    <w:qFormat/>
    <w:uiPriority w:val="0"/>
    <w:rPr>
      <w:rFonts w:ascii="Arial" w:hAnsi="Arial" w:eastAsia="宋体"/>
      <w:sz w:val="24"/>
      <w:lang w:eastAsia="zh-CN"/>
    </w:rPr>
  </w:style>
  <w:style w:type="table" w:customStyle="1" w:styleId="4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柴_正文_无缩进 Char"/>
    <w:link w:val="46"/>
    <w:qFormat/>
    <w:uiPriority w:val="0"/>
    <w:rPr>
      <w:rFonts w:ascii="Arial" w:hAnsi="Arial"/>
      <w:sz w:val="24"/>
      <w:lang w:eastAsia="zh-CN"/>
    </w:rPr>
  </w:style>
  <w:style w:type="character" w:customStyle="1" w:styleId="51">
    <w:name w:val="柴_标题2 Char"/>
    <w:link w:val="37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2094</Words>
  <Characters>2502</Characters>
  <Lines>27</Lines>
  <Paragraphs>7</Paragraphs>
  <TotalTime>0</TotalTime>
  <ScaleCrop>false</ScaleCrop>
  <LinksUpToDate>false</LinksUpToDate>
  <CharactersWithSpaces>2571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2026-04-14T02:10:00Z</dcterms:created>
  <dc:creator>Apache POI</dc:creator>
  <cp:lastModifiedBy>郝宇</cp:lastModifiedBy>
  <dcterms:modified xsi:type="dcterms:W3CDTF">2026-04-15T19:51:22Z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eyJoZGlkIjoiZWI4NmUzMGY2ODA3MDc4ZTFlMjZjZTAyMjM0NmVmODgiLCJ1c2VySWQiOiIxMDc1MzgyOSJ9</vt:lpwstr>
  </property>
  <property fmtid="{D5CDD505-2E9C-101B-9397-08002B2CF9AE}" pid="3" name="KSOProductBuildVer">
    <vt:lpwstr>2052-12.1.0.25865</vt:lpwstr>
  </property>
  <property fmtid="{D5CDD505-2E9C-101B-9397-08002B2CF9AE}" pid="4" name="ICV">
    <vt:lpwstr>FFD8B8D89B3B407CA32340FDC4FDDC21_12</vt:lpwstr>
  </property>
</Properties>
</file>