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26329F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</w:p>
    <w:p w14:paraId="30B0D3C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0" w:name="_Toc15435"/>
      <w:r>
        <w:rPr>
          <w:rFonts w:hint="eastAsia"/>
          <w:lang w:val="en-US" w:eastAsia="zh-CN"/>
        </w:rPr>
        <w:t>2026年度</w:t>
      </w:r>
      <w:r>
        <w:t>运维服务技术研发规划</w:t>
      </w:r>
      <w:bookmarkEnd w:id="0"/>
    </w:p>
    <w:p w14:paraId="65423283">
      <w:pPr>
        <w:pStyle w:val="3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" w:name="_Toc10127"/>
      <w:r>
        <w:t>江苏云储智能科技有限公司</w:t>
      </w:r>
      <w:bookmarkEnd w:id="1"/>
    </w:p>
    <w:p w14:paraId="197611B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19" w:lineRule="auto"/>
        <w:jc w:val="center"/>
        <w:textAlignment w:val="baseline"/>
        <w:rPr>
          <w:rFonts w:hint="default" w:ascii="宋体" w:hAnsi="宋体" w:eastAsia="宋体" w:cs="宋体"/>
          <w:sz w:val="36"/>
          <w:szCs w:val="36"/>
          <w:lang w:val="en-US" w:eastAsia="zh-CN"/>
        </w:rPr>
        <w:sectPr>
          <w:pgSz w:w="11906" w:h="16839"/>
          <w:pgMar w:top="1431" w:right="1785" w:bottom="0" w:left="1785" w:header="0" w:footer="0" w:gutter="0"/>
          <w:cols w:space="720" w:num="1"/>
        </w:sectPr>
      </w:pP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202</w:t>
      </w:r>
      <w:r>
        <w:rPr>
          <w:rFonts w:hint="eastAsia" w:ascii="宋体" w:hAnsi="宋体" w:cs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年1月</w:t>
      </w:r>
      <w:r>
        <w:rPr>
          <w:rFonts w:hint="eastAsia" w:ascii="宋体" w:hAnsi="宋体" w:cs="宋体"/>
          <w:sz w:val="36"/>
          <w:szCs w:val="36"/>
          <w:lang w:val="en-US" w:eastAsia="zh-CN"/>
        </w:rPr>
        <w:t>6</w:t>
      </w:r>
      <w:r>
        <w:rPr>
          <w:rFonts w:hint="eastAsia" w:ascii="宋体" w:hAnsi="宋体" w:eastAsia="宋体" w:cs="宋体"/>
          <w:sz w:val="36"/>
          <w:szCs w:val="36"/>
          <w:lang w:val="en-US" w:eastAsia="zh-CN"/>
        </w:rPr>
        <w:t>日</w:t>
      </w:r>
    </w:p>
    <w:p w14:paraId="4C9D36C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69" w:line="220" w:lineRule="auto"/>
        <w:ind w:left="3954"/>
        <w:textAlignment w:val="baseline"/>
        <w:outlineLvl w:val="0"/>
        <w:rPr>
          <w:rFonts w:ascii="宋体" w:hAnsi="宋体" w:eastAsia="宋体" w:cs="宋体"/>
          <w:sz w:val="21"/>
          <w:szCs w:val="21"/>
        </w:rPr>
      </w:pPr>
      <w:bookmarkStart w:id="2" w:name="_Toc15819"/>
      <w:r>
        <w:rPr>
          <w:rFonts w:ascii="宋体" w:hAnsi="宋体" w:eastAsia="宋体" w:cs="宋体"/>
          <w:spacing w:val="-2"/>
          <w:sz w:val="21"/>
          <w:szCs w:val="21"/>
        </w:rPr>
        <w:t>文档信息</w:t>
      </w:r>
      <w:bookmarkEnd w:id="2"/>
    </w:p>
    <w:p w14:paraId="645AFAC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6" w:lineRule="exact"/>
        <w:textAlignment w:val="baseline"/>
      </w:pPr>
    </w:p>
    <w:tbl>
      <w:tblPr>
        <w:tblStyle w:val="24"/>
        <w:tblW w:w="9071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5"/>
        <w:gridCol w:w="2302"/>
        <w:gridCol w:w="1557"/>
        <w:gridCol w:w="1953"/>
      </w:tblGrid>
      <w:tr w14:paraId="73E2DD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 w:hRule="atLeast"/>
        </w:trPr>
        <w:tc>
          <w:tcPr>
            <w:tcW w:w="1704" w:type="dxa"/>
          </w:tcPr>
          <w:p w14:paraId="610F9F68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225"/>
              <w:textAlignment w:val="baseline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7367" w:type="dxa"/>
            <w:gridSpan w:val="4"/>
          </w:tcPr>
          <w:p w14:paraId="61293827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00" w:line="218" w:lineRule="auto"/>
              <w:ind w:left="108"/>
              <w:textAlignment w:val="baseline"/>
            </w:pPr>
            <w:r>
              <w:rPr>
                <w:rFonts w:hint="eastAsia"/>
                <w:spacing w:val="-1"/>
                <w:lang w:val="en-US" w:eastAsia="zh-CN"/>
              </w:rPr>
              <w:t>运维服务技术研发规划</w:t>
            </w:r>
            <w:r>
              <w:rPr>
                <w:spacing w:val="-1"/>
              </w:rPr>
              <w:t>（JSYC-ITSS-</w:t>
            </w:r>
            <w:r>
              <w:rPr>
                <w:rFonts w:hint="eastAsia"/>
                <w:spacing w:val="-1"/>
                <w:lang w:val="en-US" w:eastAsia="zh-CN"/>
              </w:rPr>
              <w:t>YWFWJSYF</w:t>
            </w:r>
            <w:r>
              <w:rPr>
                <w:spacing w:val="-1"/>
              </w:rPr>
              <w:t>）</w:t>
            </w:r>
          </w:p>
        </w:tc>
      </w:tr>
      <w:tr w14:paraId="788C31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 w:hRule="atLeast"/>
        </w:trPr>
        <w:tc>
          <w:tcPr>
            <w:tcW w:w="1704" w:type="dxa"/>
          </w:tcPr>
          <w:p w14:paraId="4054AF0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6" w:line="220" w:lineRule="auto"/>
              <w:ind w:left="435"/>
              <w:textAlignment w:val="baseline"/>
            </w:pPr>
            <w:r>
              <w:rPr>
                <w:spacing w:val="-2"/>
              </w:rPr>
              <w:t>编制单位</w:t>
            </w:r>
          </w:p>
        </w:tc>
        <w:tc>
          <w:tcPr>
            <w:tcW w:w="7367" w:type="dxa"/>
            <w:gridSpan w:val="4"/>
          </w:tcPr>
          <w:p w14:paraId="1FB7C79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7" w:line="219" w:lineRule="auto"/>
              <w:ind w:left="108"/>
              <w:textAlignment w:val="baseline"/>
            </w:pPr>
            <w:r>
              <w:rPr>
                <w:spacing w:val="-1"/>
              </w:rPr>
              <w:t>江苏云储智能科技有限公司</w:t>
            </w:r>
          </w:p>
        </w:tc>
      </w:tr>
      <w:tr w14:paraId="0218A00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7" w:hRule="atLeast"/>
        </w:trPr>
        <w:tc>
          <w:tcPr>
            <w:tcW w:w="1704" w:type="dxa"/>
          </w:tcPr>
          <w:p w14:paraId="0DD5635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435"/>
              <w:textAlignment w:val="baseline"/>
            </w:pPr>
            <w:r>
              <w:rPr>
                <w:spacing w:val="-2"/>
              </w:rPr>
              <w:t>文档版本</w:t>
            </w:r>
          </w:p>
        </w:tc>
        <w:tc>
          <w:tcPr>
            <w:tcW w:w="1555" w:type="dxa"/>
          </w:tcPr>
          <w:p w14:paraId="379209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359"/>
              <w:textAlignment w:val="baseline"/>
            </w:pPr>
            <w:r>
              <w:rPr>
                <w:spacing w:val="-2"/>
              </w:rPr>
              <w:t>版本日期</w:t>
            </w:r>
          </w:p>
        </w:tc>
        <w:tc>
          <w:tcPr>
            <w:tcW w:w="2302" w:type="dxa"/>
          </w:tcPr>
          <w:p w14:paraId="20E5DA4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19" w:lineRule="auto"/>
              <w:ind w:left="735"/>
              <w:textAlignment w:val="baseline"/>
            </w:pPr>
            <w:r>
              <w:rPr>
                <w:spacing w:val="-2"/>
              </w:rPr>
              <w:t>版本说明</w:t>
            </w:r>
          </w:p>
        </w:tc>
        <w:tc>
          <w:tcPr>
            <w:tcW w:w="1557" w:type="dxa"/>
          </w:tcPr>
          <w:p w14:paraId="55E42AA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575"/>
              <w:textAlignment w:val="baseline"/>
            </w:pPr>
            <w:r>
              <w:rPr>
                <w:spacing w:val="-3"/>
              </w:rPr>
              <w:t>作者</w:t>
            </w:r>
          </w:p>
        </w:tc>
        <w:tc>
          <w:tcPr>
            <w:tcW w:w="1953" w:type="dxa"/>
          </w:tcPr>
          <w:p w14:paraId="32301836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99" w:line="220" w:lineRule="auto"/>
              <w:ind w:left="782"/>
              <w:textAlignment w:val="baseline"/>
            </w:pPr>
            <w:r>
              <w:rPr>
                <w:spacing w:val="-5"/>
              </w:rPr>
              <w:t>审核</w:t>
            </w:r>
          </w:p>
        </w:tc>
      </w:tr>
      <w:tr w14:paraId="1895125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73F95C1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 w:line="239" w:lineRule="auto"/>
              <w:ind w:left="638"/>
              <w:textAlignment w:val="baseline"/>
            </w:pPr>
            <w:r>
              <w:rPr>
                <w:spacing w:val="-1"/>
              </w:rPr>
              <w:t>V1.0</w:t>
            </w:r>
          </w:p>
        </w:tc>
        <w:tc>
          <w:tcPr>
            <w:tcW w:w="1555" w:type="dxa"/>
          </w:tcPr>
          <w:p w14:paraId="495A8A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3"/>
              <w:ind w:left="361"/>
              <w:textAlignment w:val="baseline"/>
              <w:rPr>
                <w:rFonts w:hint="eastAsia" w:eastAsia="宋体"/>
                <w:lang w:val="en-US" w:eastAsia="zh-CN"/>
              </w:rPr>
            </w:pPr>
            <w:r>
              <w:rPr>
                <w:spacing w:val="-2"/>
              </w:rPr>
              <w:t>20</w:t>
            </w:r>
            <w:r>
              <w:rPr>
                <w:rFonts w:hint="eastAsia" w:eastAsia="宋体"/>
                <w:spacing w:val="-2"/>
                <w:lang w:val="en-US" w:eastAsia="zh-CN"/>
              </w:rPr>
              <w:t>2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  <w:r>
              <w:rPr>
                <w:spacing w:val="-2"/>
              </w:rPr>
              <w:t>-</w:t>
            </w:r>
            <w:r>
              <w:rPr>
                <w:rFonts w:hint="eastAsia" w:eastAsia="宋体"/>
                <w:spacing w:val="-2"/>
                <w:lang w:val="en-US" w:eastAsia="zh-CN"/>
              </w:rPr>
              <w:t>1</w:t>
            </w:r>
            <w:r>
              <w:rPr>
                <w:spacing w:val="-2"/>
              </w:rPr>
              <w:t>-</w:t>
            </w:r>
            <w:r>
              <w:rPr>
                <w:rFonts w:hint="eastAsia"/>
                <w:spacing w:val="-2"/>
                <w:lang w:val="en-US" w:eastAsia="zh-CN"/>
              </w:rPr>
              <w:t>6</w:t>
            </w:r>
          </w:p>
        </w:tc>
        <w:tc>
          <w:tcPr>
            <w:tcW w:w="2302" w:type="dxa"/>
          </w:tcPr>
          <w:p w14:paraId="535BA6E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19" w:lineRule="auto"/>
              <w:ind w:left="738"/>
              <w:textAlignment w:val="baseline"/>
            </w:pPr>
            <w:r>
              <w:rPr>
                <w:spacing w:val="-3"/>
              </w:rPr>
              <w:t>发布版本</w:t>
            </w:r>
          </w:p>
        </w:tc>
        <w:tc>
          <w:tcPr>
            <w:tcW w:w="1557" w:type="dxa"/>
          </w:tcPr>
          <w:p w14:paraId="6E38BC72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480"/>
              <w:textAlignment w:val="baseline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孙凯</w:t>
            </w:r>
          </w:p>
        </w:tc>
        <w:tc>
          <w:tcPr>
            <w:tcW w:w="1953" w:type="dxa"/>
          </w:tcPr>
          <w:p w14:paraId="1DA958CE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3" w:line="220" w:lineRule="auto"/>
              <w:ind w:left="672"/>
              <w:textAlignment w:val="baseline"/>
            </w:pPr>
            <w:r>
              <w:rPr>
                <w:spacing w:val="-3"/>
              </w:rPr>
              <w:t>史晓玲</w:t>
            </w:r>
          </w:p>
        </w:tc>
      </w:tr>
      <w:tr w14:paraId="712E551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6BF61C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38C960D4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4"/>
              <w:ind w:left="361"/>
              <w:textAlignment w:val="baseline"/>
            </w:pPr>
          </w:p>
        </w:tc>
        <w:tc>
          <w:tcPr>
            <w:tcW w:w="2302" w:type="dxa"/>
          </w:tcPr>
          <w:p w14:paraId="33E9353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558B5E5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32B836D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4" w:line="220" w:lineRule="auto"/>
              <w:ind w:left="672"/>
              <w:textAlignment w:val="baseline"/>
            </w:pPr>
          </w:p>
        </w:tc>
      </w:tr>
      <w:tr w14:paraId="35AC68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5112367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663BA311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5"/>
              <w:ind w:left="361"/>
              <w:textAlignment w:val="baseline"/>
            </w:pPr>
          </w:p>
        </w:tc>
        <w:tc>
          <w:tcPr>
            <w:tcW w:w="2302" w:type="dxa"/>
          </w:tcPr>
          <w:p w14:paraId="490EB9A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3687137F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4C738D15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5" w:line="220" w:lineRule="auto"/>
              <w:ind w:left="672"/>
              <w:textAlignment w:val="baseline"/>
            </w:pPr>
          </w:p>
        </w:tc>
      </w:tr>
      <w:tr w14:paraId="16CF2D4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 w:hRule="atLeast"/>
        </w:trPr>
        <w:tc>
          <w:tcPr>
            <w:tcW w:w="1704" w:type="dxa"/>
          </w:tcPr>
          <w:p w14:paraId="49F7A013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 w:line="239" w:lineRule="auto"/>
              <w:ind w:left="638"/>
              <w:textAlignment w:val="baseline"/>
            </w:pPr>
          </w:p>
        </w:tc>
        <w:tc>
          <w:tcPr>
            <w:tcW w:w="1555" w:type="dxa"/>
          </w:tcPr>
          <w:p w14:paraId="60D4F61D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66"/>
              <w:ind w:left="361"/>
              <w:textAlignment w:val="baseline"/>
            </w:pPr>
          </w:p>
        </w:tc>
        <w:tc>
          <w:tcPr>
            <w:tcW w:w="2302" w:type="dxa"/>
          </w:tcPr>
          <w:p w14:paraId="3C0A8EAA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19" w:lineRule="auto"/>
              <w:ind w:left="737"/>
              <w:textAlignment w:val="baseline"/>
            </w:pPr>
          </w:p>
        </w:tc>
        <w:tc>
          <w:tcPr>
            <w:tcW w:w="1557" w:type="dxa"/>
          </w:tcPr>
          <w:p w14:paraId="08C1D0BB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7" w:line="220" w:lineRule="auto"/>
              <w:ind w:left="480"/>
              <w:textAlignment w:val="baseline"/>
            </w:pPr>
          </w:p>
        </w:tc>
        <w:tc>
          <w:tcPr>
            <w:tcW w:w="1953" w:type="dxa"/>
          </w:tcPr>
          <w:p w14:paraId="7E62C46C">
            <w:pPr>
              <w:pStyle w:val="25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36" w:line="220" w:lineRule="auto"/>
              <w:ind w:left="672"/>
              <w:textAlignment w:val="baseline"/>
            </w:pPr>
          </w:p>
        </w:tc>
      </w:tr>
      <w:tr w14:paraId="71392D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 w:hRule="atLeast"/>
        </w:trPr>
        <w:tc>
          <w:tcPr>
            <w:tcW w:w="1704" w:type="dxa"/>
          </w:tcPr>
          <w:p w14:paraId="554838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5" w:type="dxa"/>
          </w:tcPr>
          <w:p w14:paraId="79B36CB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2302" w:type="dxa"/>
          </w:tcPr>
          <w:p w14:paraId="03ADAE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557" w:type="dxa"/>
          </w:tcPr>
          <w:p w14:paraId="28D34DB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953" w:type="dxa"/>
          </w:tcPr>
          <w:p w14:paraId="0DA00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05E60FD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463A8361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4" w:lineRule="auto"/>
        <w:textAlignment w:val="baseline"/>
      </w:pPr>
    </w:p>
    <w:p w14:paraId="3742186A">
      <w:pPr>
        <w:pStyle w:val="1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354" w:lineRule="auto"/>
        <w:textAlignment w:val="baseline"/>
      </w:pP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6136"/>
        <w:docPartObj>
          <w:docPartGallery w:val="Table of Contents"/>
          <w:docPartUnique/>
        </w:docPartObj>
      </w:sdtPr>
      <w:sdtEndPr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10395A9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</w:pPr>
          <w:r>
            <w:rPr>
              <w:rFonts w:ascii="宋体" w:hAnsi="宋体" w:eastAsia="宋体"/>
              <w:sz w:val="21"/>
            </w:rPr>
            <w:t>目录</w:t>
          </w:r>
        </w:p>
        <w:p w14:paraId="55E77544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instrText xml:space="preserve">TOC \o "1-3" \h \u </w:instrText>
          </w:r>
          <w:r>
            <w:rPr>
              <w:rFonts w:hint="eastAsia" w:ascii="Microsoft JhengHei" w:hAnsi="Microsoft JhengHei" w:eastAsia="Microsoft JhengHei" w:cs="Microsoft JhengHei"/>
              <w:sz w:val="24"/>
              <w:szCs w:val="24"/>
            </w:rPr>
            <w:fldChar w:fldCharType="separate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_Toc15435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2026年度</w:t>
          </w:r>
          <w:r>
            <w:t>运维服务技术研发规划</w:t>
          </w:r>
          <w:r>
            <w:tab/>
          </w:r>
          <w:r>
            <w:fldChar w:fldCharType="begin"/>
          </w:r>
          <w:r>
            <w:instrText xml:space="preserve"> PAGEREF _Toc15435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F1472E7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_Toc10127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t>江苏云储智能科技有限公司</w:t>
          </w:r>
          <w:r>
            <w:tab/>
          </w:r>
          <w:r>
            <w:fldChar w:fldCharType="begin"/>
          </w:r>
          <w:r>
            <w:instrText xml:space="preserve"> PAGEREF _Toc10127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168BB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_Toc15819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ascii="宋体" w:hAnsi="宋体" w:eastAsia="宋体" w:cs="宋体"/>
              <w:spacing w:val="-2"/>
              <w:szCs w:val="21"/>
            </w:rPr>
            <w:t>文档信息</w:t>
          </w:r>
          <w:r>
            <w:tab/>
          </w:r>
          <w:r>
            <w:fldChar w:fldCharType="begin"/>
          </w:r>
          <w:r>
            <w:instrText xml:space="preserve"> PAGEREF _Toc15819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1C5B616C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_Toc12852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t>概述</w:t>
          </w:r>
          <w:r>
            <w:tab/>
          </w:r>
          <w:r>
            <w:fldChar w:fldCharType="begin"/>
          </w:r>
          <w:r>
            <w:instrText xml:space="preserve"> PAGEREF _Toc12852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19F8A9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_Toc12814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 </w:t>
          </w:r>
          <w:r>
            <w:t>运维研发团队现状及规划</w:t>
          </w:r>
          <w:r>
            <w:tab/>
          </w:r>
          <w:r>
            <w:fldChar w:fldCharType="begin"/>
          </w:r>
          <w:r>
            <w:instrText xml:space="preserve"> PAGEREF _Toc12814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EBA12AD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_Toc21486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2.1. </w:t>
          </w:r>
          <w:r>
            <w:t>运维研发团队现状</w:t>
          </w:r>
          <w:r>
            <w:tab/>
          </w:r>
          <w:r>
            <w:fldChar w:fldCharType="begin"/>
          </w:r>
          <w:r>
            <w:instrText xml:space="preserve"> PAGEREF _Toc21486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4145705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_Toc8184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2.2. </w:t>
          </w:r>
          <w:r>
            <w:t>运维研发团队人员规划</w:t>
          </w:r>
          <w:r>
            <w:tab/>
          </w:r>
          <w:r>
            <w:fldChar w:fldCharType="begin"/>
          </w:r>
          <w:r>
            <w:instrText xml:space="preserve"> PAGEREF _Toc8184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B0CFE72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_Toc9484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t>运维服务研发规划</w:t>
          </w:r>
          <w:r>
            <w:tab/>
          </w:r>
          <w:r>
            <w:fldChar w:fldCharType="begin"/>
          </w:r>
          <w:r>
            <w:instrText xml:space="preserve"> PAGEREF _Toc9484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59ACE02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_Toc8103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t>运维管理平台功能优化</w:t>
          </w:r>
          <w:r>
            <w:tab/>
          </w:r>
          <w:r>
            <w:fldChar w:fldCharType="begin"/>
          </w:r>
          <w:r>
            <w:instrText xml:space="preserve"> PAGEREF _Toc8103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8C0CB2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_Toc510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3.1.1. </w:t>
          </w:r>
          <w:r>
            <w:t>背景</w:t>
          </w:r>
          <w:r>
            <w:tab/>
          </w:r>
          <w:r>
            <w:fldChar w:fldCharType="begin"/>
          </w:r>
          <w:r>
            <w:instrText xml:space="preserve"> PAGEREF _Toc510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AE2065F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_Toc21876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3.1.2. </w:t>
          </w:r>
          <w:r>
            <w:t>工具优化描述</w:t>
          </w:r>
          <w:r>
            <w:tab/>
          </w:r>
          <w:r>
            <w:fldChar w:fldCharType="begin"/>
          </w:r>
          <w:r>
            <w:instrText xml:space="preserve"> PAGEREF _Toc21876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F24C505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_Toc22740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3.1.3. </w:t>
          </w:r>
          <w:r>
            <w:t>进度时间表</w:t>
          </w:r>
          <w:r>
            <w:tab/>
          </w:r>
          <w:r>
            <w:fldChar w:fldCharType="begin"/>
          </w:r>
          <w:r>
            <w:instrText xml:space="preserve"> PAGEREF _Toc22740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9D31DA0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_Toc19930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3.1.4. </w:t>
          </w:r>
          <w:r>
            <w:t>人力投入</w:t>
          </w:r>
          <w:r>
            <w:tab/>
          </w:r>
          <w:r>
            <w:fldChar w:fldCharType="begin"/>
          </w:r>
          <w:r>
            <w:instrText xml:space="preserve"> PAGEREF _Toc19930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003B71B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_Toc18437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3.1.5. </w:t>
          </w:r>
          <w:r>
            <w:t>质量要求</w:t>
          </w:r>
          <w:r>
            <w:tab/>
          </w:r>
          <w:r>
            <w:fldChar w:fldCharType="begin"/>
          </w:r>
          <w:r>
            <w:instrText xml:space="preserve"> PAGEREF _Toc18437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0159DEC9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_Toc2489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t>监控告警平台升级</w:t>
          </w:r>
          <w:r>
            <w:tab/>
          </w:r>
          <w:r>
            <w:fldChar w:fldCharType="begin"/>
          </w:r>
          <w:r>
            <w:instrText xml:space="preserve"> PAGEREF _Toc2489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3893CB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_Toc16429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3.2.1. </w:t>
          </w:r>
          <w:r>
            <w:t>背景</w:t>
          </w:r>
          <w:r>
            <w:tab/>
          </w:r>
          <w:r>
            <w:fldChar w:fldCharType="begin"/>
          </w:r>
          <w:r>
            <w:instrText xml:space="preserve"> PAGEREF _Toc16429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6DD8CA7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_Toc17809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3.2.2. </w:t>
          </w:r>
          <w:r>
            <w:t>优化内容</w:t>
          </w:r>
          <w:r>
            <w:tab/>
          </w:r>
          <w:r>
            <w:fldChar w:fldCharType="begin"/>
          </w:r>
          <w:r>
            <w:instrText xml:space="preserve"> PAGEREF _Toc17809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5595EA3">
          <w:pPr>
            <w:pStyle w:val="13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_Toc10455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3.2.3. </w:t>
          </w:r>
          <w:r>
            <w:t>进度安排</w:t>
          </w:r>
          <w:r>
            <w:tab/>
          </w:r>
          <w:r>
            <w:fldChar w:fldCharType="begin"/>
          </w:r>
          <w:r>
            <w:instrText xml:space="preserve"> PAGEREF _Toc10455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3C5ACB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_Toc7075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4. </w:t>
          </w:r>
          <w:r>
            <w:t>技术手册研发规划</w:t>
          </w:r>
          <w:r>
            <w:tab/>
          </w:r>
          <w:r>
            <w:fldChar w:fldCharType="begin"/>
          </w:r>
          <w:r>
            <w:instrText xml:space="preserve"> PAGEREF _Toc7075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70FDC4D0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_Toc18583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 </w:t>
          </w:r>
          <w:r>
            <w:t>新技术储备</w:t>
          </w:r>
          <w:r>
            <w:tab/>
          </w:r>
          <w:r>
            <w:fldChar w:fldCharType="begin"/>
          </w:r>
          <w:r>
            <w:instrText xml:space="preserve"> PAGEREF _Toc18583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F05E817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_Toc24609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5.1. </w:t>
          </w:r>
          <w:r>
            <w:t>自动化运维技术</w:t>
          </w:r>
          <w:r>
            <w:tab/>
          </w:r>
          <w:r>
            <w:fldChar w:fldCharType="begin"/>
          </w:r>
          <w:r>
            <w:instrText xml:space="preserve"> PAGEREF _Toc24609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2725AF48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_Toc29442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5.2. </w:t>
          </w:r>
          <w:r>
            <w:t>容器化与云原生技术</w:t>
          </w:r>
          <w:r>
            <w:tab/>
          </w:r>
          <w:r>
            <w:fldChar w:fldCharType="begin"/>
          </w:r>
          <w:r>
            <w:instrText xml:space="preserve"> PAGEREF _Toc29442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391A36A3">
          <w:pPr>
            <w:pStyle w:val="17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_Toc20434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5.3. </w:t>
          </w:r>
          <w:r>
            <w:t>AIOps智能运维</w:t>
          </w:r>
          <w:r>
            <w:tab/>
          </w:r>
          <w:r>
            <w:fldChar w:fldCharType="begin"/>
          </w:r>
          <w:r>
            <w:instrText xml:space="preserve"> PAGEREF _Toc20434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67B141AF">
          <w:pPr>
            <w:pStyle w:val="16"/>
            <w:keepNext w:val="0"/>
            <w:keepLines w:val="0"/>
            <w:pageBreakBefore w:val="0"/>
            <w:widowControl w:val="0"/>
            <w:tabs>
              <w:tab w:val="right" w:leader="dot" w:pos="8554"/>
            </w:tabs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begin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instrText xml:space="preserve"> HYPERLINK \l _Toc21311 </w:instrText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separate"/>
          </w:r>
          <w:r>
            <w:rPr>
              <w:rFonts w:hint="default"/>
            </w:rPr>
            <w:t xml:space="preserve">6. </w:t>
          </w:r>
          <w:r>
            <w:t>研发经费投入</w:t>
          </w:r>
          <w:r>
            <w:tab/>
          </w:r>
          <w:r>
            <w:fldChar w:fldCharType="begin"/>
          </w:r>
          <w:r>
            <w:instrText xml:space="preserve"> PAGEREF _Toc21311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  <w:p w14:paraId="5CACEE9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line="220" w:lineRule="auto"/>
            <w:textAlignment w:val="baseline"/>
            <w:rPr>
              <w:rFonts w:hint="eastAsia" w:ascii="Microsoft JhengHei" w:hAnsi="Microsoft JhengHei" w:eastAsia="Microsoft JhengHei" w:cs="Microsoft JhengHei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Microsoft JhengHei" w:hAnsi="Microsoft JhengHei" w:eastAsia="Microsoft JhengHei" w:cs="Microsoft JhengHei"/>
              <w:szCs w:val="24"/>
            </w:rPr>
            <w:fldChar w:fldCharType="end"/>
          </w:r>
        </w:p>
      </w:sdtContent>
    </w:sdt>
    <w:p w14:paraId="0643F5F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20" w:lineRule="auto"/>
        <w:textAlignment w:val="baseline"/>
        <w:rPr>
          <w:rFonts w:hint="eastAsia" w:ascii="Microsoft JhengHei" w:hAnsi="Microsoft JhengHei" w:eastAsia="Microsoft JhengHei" w:cs="Microsoft JhengHei"/>
          <w:snapToGrid w:val="0"/>
          <w:color w:val="000000"/>
          <w:kern w:val="0"/>
          <w:sz w:val="24"/>
          <w:szCs w:val="24"/>
          <w:lang w:val="en-US" w:eastAsia="en-US" w:bidi="ar-SA"/>
        </w:rPr>
        <w:sectPr>
          <w:footerReference r:id="rId5" w:type="default"/>
          <w:pgSz w:w="11906" w:h="16839"/>
          <w:pgMar w:top="1431" w:right="1567" w:bottom="1146" w:left="1785" w:header="0" w:footer="896" w:gutter="0"/>
          <w:cols w:space="720" w:num="1"/>
        </w:sectPr>
      </w:pPr>
    </w:p>
    <w:p w14:paraId="44097F52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" w:name="heading_2"/>
      <w:bookmarkStart w:id="4" w:name="_Toc12852"/>
      <w:r>
        <w:t>概述</w:t>
      </w:r>
      <w:bookmarkEnd w:id="3"/>
      <w:bookmarkEnd w:id="4"/>
    </w:p>
    <w:p w14:paraId="5EC09E58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本文档介绍了公司运维服务团队在服务交付过程中，与运维服务产品相关的技术研发规划。主要包括：运维工具研发和运维方案研发。</w:t>
      </w:r>
    </w:p>
    <w:p w14:paraId="5B50B07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度，公司成功完成了360安全云数字化协作平台的二次开发，实现了工单详情模块、问题列表页、发布申请功能等核心功能的上线应用，有效提升了运维工作效率。同时，完成了PC服务器标准化操作作业指导书、PC服务器巡检表、数据库巡检手册等3本技术手册的研发，为运维人员的日常工作提供了标准化的操作指导。</w:t>
      </w:r>
    </w:p>
    <w:p w14:paraId="4E54B38E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2026年，公司将在2025年研发成果的基础上，继续深化运维工具的功能优化，提升监控告警能力，加强新技术储备，进一步支撑公司运维业务的快速发展。</w:t>
      </w:r>
    </w:p>
    <w:p w14:paraId="1BFC6841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5" w:name="_Toc12814"/>
      <w:bookmarkStart w:id="6" w:name="heading_3"/>
      <w:r>
        <w:t>运维研发团队现状及规划</w:t>
      </w:r>
      <w:bookmarkEnd w:id="5"/>
      <w:bookmarkEnd w:id="6"/>
    </w:p>
    <w:p w14:paraId="196FB5A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7" w:name="heading_4"/>
      <w:bookmarkStart w:id="8" w:name="_Toc21486"/>
      <w:r>
        <w:t>运维研发团队现状</w:t>
      </w:r>
      <w:bookmarkEnd w:id="7"/>
      <w:bookmarkEnd w:id="8"/>
    </w:p>
    <w:p w14:paraId="1A555C67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公司研发部现有研发人员14人，包括研发部经理1人，系统架构师3人，需求工程师4人，软件测试工程师2人，软件工程师4人。</w:t>
      </w:r>
    </w:p>
    <w:p w14:paraId="41D22A1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2025年，研发团队成功完成了360安全云数字化协作平台的二次开发，积累了丰富的运维工具研发经验，团队技术能力得到进一步提升。</w:t>
      </w:r>
    </w:p>
    <w:p w14:paraId="623B194B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9" w:name="_Toc8184"/>
      <w:bookmarkStart w:id="10" w:name="heading_5"/>
      <w:r>
        <w:t>运维研发团队人员规划</w:t>
      </w:r>
      <w:bookmarkEnd w:id="9"/>
      <w:bookmarkEnd w:id="10"/>
    </w:p>
    <w:p w14:paraId="65A10A3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根据2026年的研发规划，计划投入8人至运维相关研发工作，具体包括：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53"/>
        <w:gridCol w:w="844"/>
        <w:gridCol w:w="5904"/>
      </w:tblGrid>
      <w:tr w14:paraId="33BCED3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253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EB32C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84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703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590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B77C6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主要职责</w:t>
            </w:r>
          </w:p>
        </w:tc>
      </w:tr>
      <w:tr w14:paraId="06AAFBF1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3B082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2ED5C6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5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F5D2E8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负责研发团队管理，计划预算，整体绩效考核</w:t>
            </w:r>
          </w:p>
        </w:tc>
      </w:tr>
      <w:tr w14:paraId="7E2355B6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80FC2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系统架构师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5BD7C0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5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5F6604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负责技术架构设计，技术方案评审</w:t>
            </w:r>
          </w:p>
        </w:tc>
      </w:tr>
      <w:tr w14:paraId="6D4220F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D6647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需求工程师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CE34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2人</w:t>
            </w:r>
          </w:p>
        </w:tc>
        <w:tc>
          <w:tcPr>
            <w:tcW w:w="5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9DF1FD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负责需求调研、分析，与运维部门沟通</w:t>
            </w:r>
          </w:p>
        </w:tc>
      </w:tr>
      <w:tr w14:paraId="29F4922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3448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软件工程师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DFFE52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3人</w:t>
            </w:r>
          </w:p>
        </w:tc>
        <w:tc>
          <w:tcPr>
            <w:tcW w:w="590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CBE9E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负责代码开发，功能实现</w:t>
            </w:r>
          </w:p>
        </w:tc>
      </w:tr>
      <w:tr w14:paraId="1FA3C4F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5C0A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软件测试工程师</w:t>
            </w:r>
          </w:p>
        </w:tc>
        <w:tc>
          <w:tcPr>
            <w:tcW w:w="8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1939B1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590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796C3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负责功能测试，性能测试，测试报告编写</w:t>
            </w:r>
          </w:p>
        </w:tc>
      </w:tr>
    </w:tbl>
    <w:p w14:paraId="5627191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此外，运维部将安排1名技术支持工程师配合研发工作，负责需求反馈和用户验收测试。</w:t>
      </w:r>
    </w:p>
    <w:p w14:paraId="3208DA3D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1" w:name="heading_6"/>
      <w:bookmarkStart w:id="12" w:name="_Toc9484"/>
      <w:r>
        <w:t>运维服务研发规划</w:t>
      </w:r>
      <w:bookmarkEnd w:id="11"/>
      <w:bookmarkEnd w:id="12"/>
    </w:p>
    <w:p w14:paraId="4E08A657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3" w:name="_Toc8103"/>
      <w:bookmarkStart w:id="14" w:name="heading_7"/>
      <w:r>
        <w:t>运维管理平台功能优化</w:t>
      </w:r>
      <w:bookmarkEnd w:id="13"/>
      <w:bookmarkEnd w:id="14"/>
    </w:p>
    <w:p w14:paraId="2C3DFEB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5" w:name="heading_8"/>
      <w:bookmarkStart w:id="16" w:name="_Toc510"/>
      <w:r>
        <w:t>背景</w:t>
      </w:r>
      <w:bookmarkEnd w:id="15"/>
      <w:bookmarkEnd w:id="16"/>
    </w:p>
    <w:p w14:paraId="5E7013E5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2025年，公司完成了360安全云数字化协作平台的二次开发，实现了工单详情、问题列表、发布申请等基础功能。但在实际使用过程中，运维团队反馈仍存在以下不足：知识库与工单系统的联动不够紧密，运维人员需要在两个模块间切换；报表统计功能较为简单，无法满足SLA多维度分析需求；移动端支持不完善，现场运维人员无法及时处理工单。</w:t>
      </w:r>
    </w:p>
    <w:p w14:paraId="31FEAE71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7" w:name="heading_9"/>
      <w:bookmarkStart w:id="18" w:name="_Toc21876"/>
      <w:r>
        <w:t>工具优化描述</w:t>
      </w:r>
      <w:bookmarkEnd w:id="17"/>
      <w:bookmarkEnd w:id="18"/>
    </w:p>
    <w:p w14:paraId="08124A8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2026年计划对运维管理平台进行以下功能优化：</w:t>
      </w:r>
    </w:p>
    <w:p w14:paraId="6BE557DE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知识库与工单深度联动</w:t>
      </w:r>
    </w:p>
    <w:p w14:paraId="37A04A63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实现工单处理过程中自动推荐相关知识条目；工单关闭时，支持一键将解决方案转为知识条目；知识库中可查看关联工单的处理记录和效果评价。</w:t>
      </w:r>
    </w:p>
    <w:p w14:paraId="4DF56DCE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报表统计功能增强</w:t>
      </w:r>
    </w:p>
    <w:p w14:paraId="2734DAA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新增SLA多维度统计报表（按客户、按设备类型、按故障级别）；支持自定义报表模板和定时发送功能；增加服务报告自动生成功能，减少人工整理工作量。</w:t>
      </w:r>
    </w:p>
    <w:p w14:paraId="57CBE70D">
      <w:pPr>
        <w:pStyle w:val="40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移动端功能完善</w:t>
      </w:r>
    </w:p>
    <w:p w14:paraId="5087FEB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开发移动端工单处理功能，支持现场拍照上传、工单状态更新；支持移动端知识库查询；支持移动端告警接收和处理。</w:t>
      </w:r>
    </w:p>
    <w:p w14:paraId="18B63D9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19" w:name="heading_10"/>
      <w:bookmarkStart w:id="20" w:name="_Toc22740"/>
      <w:r>
        <w:t>进度时间表</w:t>
      </w:r>
      <w:bookmarkEnd w:id="19"/>
      <w:bookmarkEnd w:id="20"/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9"/>
        <w:gridCol w:w="2090"/>
        <w:gridCol w:w="4502"/>
      </w:tblGrid>
      <w:tr w14:paraId="193C3F5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409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510E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任务阶段</w:t>
            </w:r>
          </w:p>
        </w:tc>
        <w:tc>
          <w:tcPr>
            <w:tcW w:w="209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2EA53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时间节点</w:t>
            </w:r>
          </w:p>
        </w:tc>
        <w:tc>
          <w:tcPr>
            <w:tcW w:w="4502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859E16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工作内容</w:t>
            </w:r>
          </w:p>
        </w:tc>
      </w:tr>
      <w:tr w14:paraId="5006656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A4A3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需求分析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C9843C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2026年1月-2月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59BBEA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调研运维部门需求，形成需求规格说明书</w:t>
            </w:r>
          </w:p>
        </w:tc>
      </w:tr>
      <w:tr w14:paraId="50D1878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635432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总体设计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6E64CF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2026年3月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571FCA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完成系统设计方案，技术评审</w:t>
            </w:r>
          </w:p>
        </w:tc>
      </w:tr>
      <w:tr w14:paraId="46F6B36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D229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研发&amp;测试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272DCC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2026年4月-8月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D4A5EB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功能开发、单元测试、集成测试</w:t>
            </w:r>
          </w:p>
        </w:tc>
      </w:tr>
      <w:tr w14:paraId="039365CE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ECFF0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试运行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4BA51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2026年9月-10月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F41C20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部署试运行，收集用户反馈</w:t>
            </w:r>
          </w:p>
        </w:tc>
      </w:tr>
      <w:tr w14:paraId="7895CF0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71E776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BUG修复与功能完善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A0BD9F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2026年10月-11月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04E5E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修复问题，优化功能</w:t>
            </w:r>
          </w:p>
        </w:tc>
      </w:tr>
      <w:tr w14:paraId="54B1199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409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8FE5B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正式上线</w:t>
            </w:r>
          </w:p>
        </w:tc>
        <w:tc>
          <w:tcPr>
            <w:tcW w:w="209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72D9B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  <w:tc>
          <w:tcPr>
            <w:tcW w:w="450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20E3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正式发布，组织培训</w:t>
            </w:r>
          </w:p>
        </w:tc>
      </w:tr>
    </w:tbl>
    <w:p w14:paraId="54B7C1E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1" w:name="heading_11"/>
      <w:bookmarkStart w:id="22" w:name="_Toc19930"/>
      <w:r>
        <w:t>人力投入</w:t>
      </w:r>
      <w:bookmarkEnd w:id="21"/>
      <w:bookmarkEnd w:id="22"/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31"/>
        <w:gridCol w:w="1174"/>
        <w:gridCol w:w="4696"/>
      </w:tblGrid>
      <w:tr w14:paraId="19F5E32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3131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4CB11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职位名称</w:t>
            </w:r>
          </w:p>
        </w:tc>
        <w:tc>
          <w:tcPr>
            <w:tcW w:w="1174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FABE31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人数</w:t>
            </w:r>
          </w:p>
        </w:tc>
        <w:tc>
          <w:tcPr>
            <w:tcW w:w="4696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DCBD5D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投入规划</w:t>
            </w:r>
          </w:p>
        </w:tc>
      </w:tr>
      <w:tr w14:paraId="3C15DA77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835705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研发部经理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7DB9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519B44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项目管理，技术把关</w:t>
            </w:r>
          </w:p>
        </w:tc>
      </w:tr>
      <w:tr w14:paraId="54CBF5D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87123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系统架构师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377C54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A7C9DA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架构设计，技术评审</w:t>
            </w:r>
          </w:p>
        </w:tc>
      </w:tr>
      <w:tr w14:paraId="07304B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CB4557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2D096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6421A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需求调研，需求文档编写</w:t>
            </w:r>
          </w:p>
        </w:tc>
      </w:tr>
      <w:tr w14:paraId="62BDD228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11A14B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CD373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BA5AD5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功能开发</w:t>
            </w:r>
          </w:p>
        </w:tc>
      </w:tr>
      <w:tr w14:paraId="30C1A475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49111F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软件测试工程师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42A98D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DF1C4D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测试用例编写，功能测试</w:t>
            </w:r>
          </w:p>
        </w:tc>
      </w:tr>
      <w:tr w14:paraId="18474F5A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3131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FCFC9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17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A13D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8人</w:t>
            </w:r>
          </w:p>
        </w:tc>
        <w:tc>
          <w:tcPr>
            <w:tcW w:w="469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82279B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</w:p>
        </w:tc>
      </w:tr>
    </w:tbl>
    <w:p w14:paraId="1C92B5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3" w:name="heading_12"/>
      <w:bookmarkStart w:id="24" w:name="_Toc18437"/>
      <w:r>
        <w:t>质量要求</w:t>
      </w:r>
      <w:bookmarkEnd w:id="23"/>
      <w:bookmarkEnd w:id="24"/>
    </w:p>
    <w:p w14:paraId="4CBEAD3E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可扩展性：各功能模块采用松耦合设计，便于后续功能扩展</w:t>
      </w:r>
    </w:p>
    <w:p w14:paraId="3632FCD1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易用性：界面简洁直观，操作流程符合运维人员使用习惯</w:t>
      </w:r>
    </w:p>
    <w:p w14:paraId="7155D854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稳定性：系统7×24小时稳定运行，核心功能可用性≥99.5%</w:t>
      </w:r>
    </w:p>
    <w:p w14:paraId="116BCDA1">
      <w:pPr>
        <w:pStyle w:val="40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安全性：数据传输加密，权限控制严格，操作日志完整</w:t>
      </w:r>
    </w:p>
    <w:p w14:paraId="3E732DB3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5" w:name="_Toc2489"/>
      <w:bookmarkStart w:id="26" w:name="heading_13"/>
      <w:r>
        <w:t>监控告警平台升级</w:t>
      </w:r>
      <w:bookmarkEnd w:id="25"/>
      <w:bookmarkEnd w:id="26"/>
    </w:p>
    <w:p w14:paraId="4881CBF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7" w:name="heading_14"/>
      <w:bookmarkStart w:id="28" w:name="_Toc16429"/>
      <w:r>
        <w:t>背景</w:t>
      </w:r>
      <w:bookmarkEnd w:id="27"/>
      <w:bookmarkEnd w:id="28"/>
    </w:p>
    <w:p w14:paraId="35EAE04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当前公司使用H3C智能管理中心作为监控工具，实现了对网络设备和服务器的基本监控。但随着客户设备数量的增加和监控需求的多样化，现有监控平台在告警收敛、智能分析和可视化展示方面存在不足。</w:t>
      </w:r>
    </w:p>
    <w:p w14:paraId="1A7B00E8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29" w:name="heading_15"/>
      <w:bookmarkStart w:id="30" w:name="_Toc17809"/>
      <w:r>
        <w:t>优化内容</w:t>
      </w:r>
      <w:bookmarkEnd w:id="29"/>
      <w:bookmarkEnd w:id="30"/>
    </w:p>
    <w:p w14:paraId="0C6BAFA8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告警收敛与抑制</w:t>
      </w:r>
    </w:p>
    <w:p w14:paraId="079CF9F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增加告警聚合规则，避免重复告警风暴；增加告警依赖关系配置，根因告警触发时抑制子告警</w:t>
      </w:r>
    </w:p>
    <w:p w14:paraId="283F32D0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智能分析</w:t>
      </w:r>
    </w:p>
    <w:p w14:paraId="4F089DA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基于历史数据，实现容量趋势预测；增加异常检测能力，识别潜在故障</w:t>
      </w:r>
    </w:p>
    <w:p w14:paraId="67BD5FFC">
      <w:pPr>
        <w:pStyle w:val="40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可视化大屏</w:t>
      </w:r>
    </w:p>
    <w:p w14:paraId="205BBDB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为客户定制运维可视化大屏，展示系统健康度、SLA达成情况、TOP故障设备等</w:t>
      </w:r>
    </w:p>
    <w:p w14:paraId="0A8616A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1" w:name="_Toc10455"/>
      <w:bookmarkStart w:id="32" w:name="heading_16"/>
      <w:r>
        <w:t>进度安排</w:t>
      </w:r>
      <w:bookmarkEnd w:id="31"/>
      <w:bookmarkEnd w:id="32"/>
    </w:p>
    <w:p w14:paraId="67B413BF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监控告警平台升级工作与运维管理平台优化同步推进，预计2026年9月完成开发，10月试运行，12月正式上线。</w:t>
      </w:r>
    </w:p>
    <w:p w14:paraId="6BFECD83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3" w:name="_Toc7075"/>
      <w:bookmarkStart w:id="34" w:name="heading_17"/>
      <w:r>
        <w:t>技术手册研发规划</w:t>
      </w:r>
      <w:bookmarkEnd w:id="33"/>
      <w:bookmarkEnd w:id="34"/>
    </w:p>
    <w:p w14:paraId="780BD03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为了提高运维工程师在工作中发现问题以及解决问题的效率，缩短事件及问题的解决时间，2026年计划继续研发相关技术手册。</w:t>
      </w:r>
    </w:p>
    <w:p w14:paraId="1BC151D1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在2025年已完成3本手册的基础上，2026年计划新增以下技术手册：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25"/>
        <w:gridCol w:w="5251"/>
        <w:gridCol w:w="2625"/>
      </w:tblGrid>
      <w:tr w14:paraId="53152FE3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1125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E1320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5250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09914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技术手册名称</w:t>
            </w:r>
          </w:p>
        </w:tc>
        <w:tc>
          <w:tcPr>
            <w:tcW w:w="2625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692FC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计划完成时间</w:t>
            </w:r>
          </w:p>
        </w:tc>
      </w:tr>
      <w:tr w14:paraId="418770B9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8935A9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1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06C9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网络设备故障排查手册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2ED0E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</w:tr>
      <w:tr w14:paraId="0C9AF01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98EB41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2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E0A691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服务器硬件维护手册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56D3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2026年6月</w:t>
            </w:r>
          </w:p>
        </w:tc>
      </w:tr>
      <w:tr w14:paraId="37450BAF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CF6FA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52E01B2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安全事件应急处置手册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06A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2026年9月</w:t>
            </w:r>
          </w:p>
        </w:tc>
      </w:tr>
      <w:tr w14:paraId="1D980F2D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112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2943FA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4</w:t>
            </w:r>
          </w:p>
        </w:tc>
        <w:tc>
          <w:tcPr>
            <w:tcW w:w="52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237D59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运维工具操作手册（进阶版）</w:t>
            </w:r>
          </w:p>
        </w:tc>
        <w:tc>
          <w:tcPr>
            <w:tcW w:w="26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594F1F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2026年12月</w:t>
            </w:r>
          </w:p>
        </w:tc>
      </w:tr>
    </w:tbl>
    <w:p w14:paraId="62531A00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技术手册的研发由研发部负责，运维部配合提供实际案例和操作经验。所有手册完成后将纳入服务知识库，供运维人员查阅使用。</w:t>
      </w:r>
    </w:p>
    <w:p w14:paraId="68C79E9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5" w:name="heading_18"/>
      <w:bookmarkStart w:id="36" w:name="_Toc18583"/>
      <w:r>
        <w:t>新技术储备</w:t>
      </w:r>
      <w:bookmarkEnd w:id="35"/>
      <w:bookmarkEnd w:id="36"/>
    </w:p>
    <w:p w14:paraId="507E5049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为适应运维技术发展趋势，提升团队技术能力，2026年计划进行以下新技术储备：</w:t>
      </w:r>
    </w:p>
    <w:p w14:paraId="309A1A79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7" w:name="_Toc24609"/>
      <w:bookmarkStart w:id="42" w:name="_GoBack"/>
      <w:r>
        <w:t>自动化运维技术</w:t>
      </w:r>
      <w:bookmarkEnd w:id="37"/>
    </w:p>
    <w:p w14:paraId="75EF3EDA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学习Ansible、Terraform等自动化运维工具，探索标准化运维场景的自动化实现，减少人工操作，降低操作风险。</w:t>
      </w:r>
    </w:p>
    <w:p w14:paraId="26C909A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8" w:name="_Toc29442"/>
      <w:r>
        <w:t>容器化与云原生技术</w:t>
      </w:r>
      <w:bookmarkEnd w:id="38"/>
    </w:p>
    <w:p w14:paraId="5642F19B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深入学习Docker和Kubernetes，了解容器化部署和编排技术，为未来客户系统容器化转型储备技术能力。</w:t>
      </w:r>
    </w:p>
    <w:p w14:paraId="6AF3273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39" w:name="_Toc20434"/>
      <w:r>
        <w:t>AIOps智能运维</w:t>
      </w:r>
      <w:bookmarkEnd w:id="39"/>
    </w:p>
    <w:p w14:paraId="2ACCADF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跟踪AIOps（智能运维）技术发展，了解机器学习在故障预测、异常检测、根因分析等场景的应用，评估引入可行性。</w:t>
      </w:r>
    </w:p>
    <w:bookmarkEnd w:id="42"/>
    <w:p w14:paraId="7F5D7537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bookmarkStart w:id="40" w:name="_Toc21311"/>
      <w:bookmarkStart w:id="41" w:name="heading_19"/>
      <w:r>
        <w:t>研发经费投入</w:t>
      </w:r>
      <w:bookmarkEnd w:id="40"/>
      <w:bookmarkEnd w:id="41"/>
    </w:p>
    <w:p w14:paraId="226EA682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 w:eastAsia="宋体"/>
          <w:lang w:val="en-US" w:eastAsia="zh-CN"/>
        </w:rPr>
      </w:pPr>
      <w:r>
        <w:t>2026年度运维技术研发预算经费为：68万元。</w:t>
      </w:r>
      <w:r>
        <w:rPr>
          <w:rFonts w:hint="eastAsia"/>
          <w:lang w:val="en-US" w:eastAsia="zh-CN"/>
        </w:rPr>
        <w:t>具体分布如下：</w:t>
      </w:r>
    </w:p>
    <w:tbl>
      <w:tblPr>
        <w:tblStyle w:val="20"/>
        <w:tblW w:w="9001" w:type="dxa"/>
        <w:jc w:val="center"/>
        <w:tblBorders>
          <w:top w:val="none" w:color="DEE0E3" w:sz="0" w:space="0"/>
          <w:left w:val="none" w:color="DEE0E3" w:sz="0" w:space="0"/>
          <w:bottom w:val="none" w:color="DEE0E3" w:sz="0" w:space="0"/>
          <w:right w:val="none" w:color="DEE0E3" w:sz="0" w:space="0"/>
          <w:insideH w:val="none" w:color="DEE0E3" w:sz="0" w:space="0"/>
          <w:insideV w:val="none" w:color="DEE0E3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48"/>
        <w:gridCol w:w="1956"/>
        <w:gridCol w:w="4697"/>
      </w:tblGrid>
      <w:tr w14:paraId="073417C2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tblHeader/>
          <w:jc w:val="center"/>
        </w:trPr>
        <w:tc>
          <w:tcPr>
            <w:tcW w:w="2348" w:type="dxa"/>
            <w:tcBorders>
              <w:top w:val="single" w:color="auto" w:sz="12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37E477CC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项目</w:t>
            </w:r>
          </w:p>
        </w:tc>
        <w:tc>
          <w:tcPr>
            <w:tcW w:w="1956" w:type="dxa"/>
            <w:tcBorders>
              <w:top w:val="single" w:color="auto" w:sz="12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E73974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预算金额</w:t>
            </w:r>
          </w:p>
        </w:tc>
        <w:tc>
          <w:tcPr>
            <w:tcW w:w="4697" w:type="dxa"/>
            <w:tcBorders>
              <w:top w:val="single" w:color="auto" w:sz="12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44E553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 w14:paraId="6B80BFD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83BBA0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日常经费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E97775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60万元</w:t>
            </w:r>
          </w:p>
        </w:tc>
        <w:tc>
          <w:tcPr>
            <w:tcW w:w="46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097D87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研发人员工资薪金等</w:t>
            </w:r>
          </w:p>
        </w:tc>
      </w:tr>
      <w:tr w14:paraId="4A8C471B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A15D77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设备经费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1C88EF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5万元</w:t>
            </w:r>
          </w:p>
        </w:tc>
        <w:tc>
          <w:tcPr>
            <w:tcW w:w="46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1CE7BA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云服务器、测试设备采购</w:t>
            </w:r>
          </w:p>
        </w:tc>
      </w:tr>
      <w:tr w14:paraId="014888F4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single" w:color="auto" w:sz="4" w:space="0"/>
              <w:left w:val="single" w:color="auto" w:sz="12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7B872D9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外部服务费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04E9FE7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textAlignment w:val="baseline"/>
            </w:pPr>
            <w:r>
              <w:t>3万元</w:t>
            </w:r>
          </w:p>
        </w:tc>
        <w:tc>
          <w:tcPr>
            <w:tcW w:w="46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1CE67D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leftChars="0" w:right="0" w:rightChars="0" w:firstLine="0" w:firstLineChars="0"/>
              <w:jc w:val="left"/>
              <w:textAlignment w:val="baseline"/>
            </w:pPr>
            <w:r>
              <w:t>技术咨询、外聘专家等</w:t>
            </w:r>
          </w:p>
        </w:tc>
      </w:tr>
      <w:tr w14:paraId="26DA63C0">
        <w:tblPrEx>
          <w:tblBorders>
            <w:top w:val="none" w:color="DEE0E3" w:sz="0" w:space="0"/>
            <w:left w:val="none" w:color="DEE0E3" w:sz="0" w:space="0"/>
            <w:bottom w:val="none" w:color="DEE0E3" w:sz="0" w:space="0"/>
            <w:right w:val="none" w:color="DEE0E3" w:sz="0" w:space="0"/>
            <w:insideH w:val="none" w:color="DEE0E3" w:sz="0" w:space="0"/>
            <w:insideV w:val="non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 w:hRule="atLeast"/>
          <w:jc w:val="center"/>
        </w:trPr>
        <w:tc>
          <w:tcPr>
            <w:tcW w:w="234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4F3B3B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合计</w:t>
            </w:r>
          </w:p>
        </w:tc>
        <w:tc>
          <w:tcPr>
            <w:tcW w:w="195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nil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211188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center"/>
              <w:textAlignment w:val="baseline"/>
              <w:rPr>
                <w:b/>
              </w:rPr>
            </w:pPr>
            <w:r>
              <w:rPr>
                <w:rFonts w:ascii="Arial" w:hAnsi="Arial" w:eastAsia="等线" w:cs="Arial"/>
                <w:b/>
                <w:sz w:val="22"/>
              </w:rPr>
              <w:t>68万元</w:t>
            </w:r>
          </w:p>
        </w:tc>
        <w:tc>
          <w:tcPr>
            <w:tcW w:w="469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noWrap w:val="0"/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 w14:paraId="648614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0" w:after="120" w:line="240" w:lineRule="auto"/>
              <w:ind w:left="0" w:leftChars="0" w:right="0" w:rightChars="0" w:firstLine="0" w:firstLineChars="0"/>
              <w:jc w:val="right"/>
              <w:textAlignment w:val="baseline"/>
              <w:rPr>
                <w:b/>
              </w:rPr>
            </w:pPr>
          </w:p>
        </w:tc>
      </w:tr>
    </w:tbl>
    <w:p w14:paraId="6CD6C4EC">
      <w:pPr>
        <w:pStyle w:val="27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t>较2025年增加12万元，主要用于移动端开发、AI分析功能探索和外部技术咨询服务。</w:t>
      </w:r>
    </w:p>
    <w:p w14:paraId="13155C5F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05" w:line="360" w:lineRule="auto"/>
        <w:ind w:left="23" w:right="60" w:firstLine="482"/>
        <w:jc w:val="both"/>
        <w:textAlignment w:val="baseline"/>
        <w:rPr>
          <w:rFonts w:hint="default" w:ascii="宋体" w:hAnsi="宋体" w:eastAsia="宋体" w:cs="宋体"/>
          <w:spacing w:val="-2"/>
          <w:sz w:val="24"/>
          <w:szCs w:val="24"/>
          <w:lang w:val="en-US" w:eastAsia="zh-CN"/>
        </w:rPr>
      </w:pPr>
    </w:p>
    <w:sectPr>
      <w:footerReference r:id="rId6" w:type="default"/>
      <w:pgSz w:w="11906" w:h="16839"/>
      <w:pgMar w:top="1431" w:right="1440" w:bottom="1146" w:left="1681" w:header="0" w:footer="896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C39694">
    <w:pPr>
      <w:spacing w:line="210" w:lineRule="auto"/>
      <w:ind w:left="3928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7"/>
        <w:sz w:val="21"/>
        <w:szCs w:val="21"/>
      </w:rPr>
      <w:t>第</w:t>
    </w:r>
    <w:r>
      <w:rPr>
        <w:rFonts w:ascii="宋体" w:hAnsi="宋体" w:eastAsia="宋体" w:cs="宋体"/>
        <w:spacing w:val="11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2</w:t>
    </w:r>
    <w:r>
      <w:rPr>
        <w:rFonts w:ascii="宋体" w:hAnsi="宋体" w:eastAsia="宋体" w:cs="宋体"/>
        <w:spacing w:val="14"/>
        <w:sz w:val="21"/>
        <w:szCs w:val="21"/>
      </w:rPr>
      <w:t xml:space="preserve"> </w:t>
    </w:r>
    <w:r>
      <w:rPr>
        <w:rFonts w:ascii="宋体" w:hAnsi="宋体" w:eastAsia="宋体" w:cs="宋体"/>
        <w:spacing w:val="-7"/>
        <w:sz w:val="21"/>
        <w:szCs w:val="21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804D82">
    <w:pPr>
      <w:spacing w:line="210" w:lineRule="auto"/>
      <w:ind w:left="3980"/>
      <w:rPr>
        <w:rFonts w:ascii="宋体" w:hAnsi="宋体" w:eastAsia="宋体" w:cs="宋体"/>
        <w:sz w:val="21"/>
        <w:szCs w:val="21"/>
      </w:rPr>
    </w:pPr>
    <w:r>
      <w:rPr>
        <w:rFonts w:ascii="宋体" w:hAnsi="宋体" w:eastAsia="宋体" w:cs="宋体"/>
        <w:spacing w:val="-8"/>
        <w:sz w:val="21"/>
        <w:szCs w:val="21"/>
      </w:rPr>
      <w:t>第</w:t>
    </w:r>
    <w:r>
      <w:rPr>
        <w:rFonts w:ascii="宋体" w:hAnsi="宋体" w:eastAsia="宋体" w:cs="宋体"/>
        <w:spacing w:val="23"/>
        <w:sz w:val="21"/>
        <w:szCs w:val="21"/>
      </w:rPr>
      <w:t xml:space="preserve"> </w:t>
    </w:r>
    <w:r>
      <w:rPr>
        <w:rFonts w:ascii="宋体" w:hAnsi="宋体" w:eastAsia="宋体" w:cs="宋体"/>
        <w:spacing w:val="-8"/>
        <w:sz w:val="21"/>
        <w:szCs w:val="21"/>
      </w:rPr>
      <w:t>10</w:t>
    </w:r>
    <w:r>
      <w:rPr>
        <w:rFonts w:ascii="宋体" w:hAnsi="宋体" w:eastAsia="宋体" w:cs="宋体"/>
        <w:spacing w:val="13"/>
        <w:sz w:val="21"/>
        <w:szCs w:val="21"/>
      </w:rPr>
      <w:t xml:space="preserve"> </w:t>
    </w:r>
    <w:r>
      <w:rPr>
        <w:rFonts w:ascii="宋体" w:hAnsi="宋体" w:eastAsia="宋体" w:cs="宋体"/>
        <w:spacing w:val="-8"/>
        <w:sz w:val="21"/>
        <w:szCs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3A4E254F"/>
    <w:multiLevelType w:val="singleLevel"/>
    <w:tmpl w:val="3A4E254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60EFC233"/>
    <w:multiLevelType w:val="singleLevel"/>
    <w:tmpl w:val="60EFC23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8BFC9A0"/>
    <w:multiLevelType w:val="singleLevel"/>
    <w:tmpl w:val="68BFC9A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NotTrackMoves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9EF6C13"/>
    <w:rsid w:val="0FA7589A"/>
    <w:rsid w:val="11005262"/>
    <w:rsid w:val="1A8D3AE0"/>
    <w:rsid w:val="1AE6371B"/>
    <w:rsid w:val="24D27269"/>
    <w:rsid w:val="2A9011F2"/>
    <w:rsid w:val="2D5819DC"/>
    <w:rsid w:val="3138098C"/>
    <w:rsid w:val="38430663"/>
    <w:rsid w:val="464A67EB"/>
    <w:rsid w:val="474E338F"/>
    <w:rsid w:val="4B616322"/>
    <w:rsid w:val="4C994BE1"/>
    <w:rsid w:val="4D3F5640"/>
    <w:rsid w:val="576C677A"/>
    <w:rsid w:val="57D32355"/>
    <w:rsid w:val="635602DE"/>
    <w:rsid w:val="69BF6BDD"/>
    <w:rsid w:val="736305DA"/>
    <w:rsid w:val="78827754"/>
    <w:rsid w:val="7FA51F7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table" w:customStyle="1" w:styleId="24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5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6">
    <w:name w:val="柴_标题1"/>
    <w:basedOn w:val="2"/>
    <w:next w:val="27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7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28">
    <w:name w:val="柴_标题2"/>
    <w:basedOn w:val="3"/>
    <w:next w:val="27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29">
    <w:name w:val="柴_标题3"/>
    <w:basedOn w:val="4"/>
    <w:next w:val="27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0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1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32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6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7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8</Pages>
  <Words>2500</Words>
  <Characters>2765</Characters>
  <Lines>0</Lines>
  <Paragraphs>0</Paragraphs>
  <TotalTime>1</TotalTime>
  <ScaleCrop>false</ScaleCrop>
  <LinksUpToDate>false</LinksUpToDate>
  <CharactersWithSpaces>2858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2025-08-16T03:17:00Z</dcterms:created>
  <dc:creator>PC</dc:creator>
  <cp:lastModifiedBy>郝宇</cp:lastModifiedBy>
  <dcterms:modified xsi:type="dcterms:W3CDTF">2026-04-16T20:24:16Z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2025-08-19T18:03:20Z</vt:filetime>
  </property>
  <property fmtid="{D5CDD505-2E9C-101B-9397-08002B2CF9AE}" pid="3" name="CRO">
    <vt:lpwstr>wqlLaW5nc29mdCBQREYgdG8gV1BTIDExNQ</vt:lpwstr>
  </property>
  <property fmtid="{D5CDD505-2E9C-101B-9397-08002B2CF9AE}" pid="4" name="ICV">
    <vt:lpwstr>0093F2EB7B364A05B49EE85816F38200_12</vt:lpwstr>
  </property>
  <property fmtid="{D5CDD505-2E9C-101B-9397-08002B2CF9AE}" pid="5" name="KSOProductBuildVer">
    <vt:lpwstr>2052-12.1.0.25865</vt:lpwstr>
  </property>
  <property fmtid="{D5CDD505-2E9C-101B-9397-08002B2CF9AE}" pid="6" name="KSOTemplateDocerSaveRecord">
    <vt:lpwstr>eyJoZGlkIjoiZWI4NmUzMGY2ODA3MDc4ZTFlMjZjZTAyMjM0NmVmODgiLCJ1c2VySWQiOiIxMDc1MzgyOSJ9</vt:lpwstr>
  </property>
</Properties>
</file>