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378B098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0" w:name="_Toc23726"/>
    </w:p>
    <w:p w14:paraId="140A6893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服务台管理制度</w:t>
      </w:r>
      <w:bookmarkEnd w:id="0"/>
    </w:p>
    <w:p w14:paraId="09039C51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1" w:name="_Toc24584"/>
      <w:r>
        <w:t>江苏云储智能科技有限公司</w:t>
      </w:r>
      <w:bookmarkEnd w:id="1"/>
    </w:p>
    <w:p w14:paraId="02A4BAF2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275"/>
        <w:ind w:left="3465"/>
        <w:textAlignment w:val="baseline"/>
        <w:rPr>
          <w:rFonts w:ascii="宋体" w:hAnsi="宋体" w:eastAsia="宋体" w:cs="宋体"/>
          <w:sz w:val="36"/>
          <w:szCs w:val="36"/>
        </w:rPr>
      </w:pPr>
      <w:r>
        <w:rPr>
          <w:rFonts w:ascii="宋体" w:hAnsi="宋体" w:eastAsia="宋体" w:cs="宋体"/>
          <w:spacing w:val="-3"/>
          <w:sz w:val="36"/>
          <w:szCs w:val="36"/>
        </w:rPr>
        <w:t>2025-1-4</w:t>
      </w:r>
    </w:p>
    <w:p w14:paraId="504CC881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ascii="宋体" w:hAnsi="宋体" w:eastAsia="宋体" w:cs="宋体"/>
          <w:sz w:val="36"/>
          <w:szCs w:val="36"/>
        </w:rPr>
        <w:sectPr>
          <w:footerReference r:id="rId5" w:type="default"/>
          <w:pgSz w:w="11906" w:h="16839"/>
          <w:pgMar w:top="1431" w:right="1785" w:bottom="1234" w:left="1785" w:header="0" w:footer="1070" w:gutter="0"/>
          <w:cols w:space="720" w:num="1"/>
        </w:sectPr>
      </w:pPr>
    </w:p>
    <w:p w14:paraId="0779C669">
      <w:pPr>
        <w:pStyle w:val="1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3" w:lineRule="auto"/>
        <w:textAlignment w:val="baseline"/>
      </w:pPr>
    </w:p>
    <w:p w14:paraId="512B1D53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91" w:line="220" w:lineRule="auto"/>
        <w:ind w:left="3710"/>
        <w:textAlignment w:val="baseline"/>
        <w:outlineLvl w:val="1"/>
        <w:rPr>
          <w:rFonts w:ascii="宋体" w:hAnsi="宋体" w:eastAsia="宋体" w:cs="宋体"/>
          <w:sz w:val="28"/>
          <w:szCs w:val="28"/>
        </w:rPr>
      </w:pPr>
      <w:bookmarkStart w:id="2" w:name="_Toc8297"/>
      <w:r>
        <w:rPr>
          <w:rFonts w:ascii="宋体" w:hAnsi="宋体" w:eastAsia="宋体" w:cs="宋体"/>
          <w:spacing w:val="-3"/>
          <w:sz w:val="28"/>
          <w:szCs w:val="28"/>
        </w:rPr>
        <w:t>文档信息</w:t>
      </w:r>
      <w:bookmarkEnd w:id="2"/>
    </w:p>
    <w:p w14:paraId="2BA7F5F7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131" w:lineRule="exact"/>
        <w:textAlignment w:val="baseline"/>
      </w:pPr>
    </w:p>
    <w:tbl>
      <w:tblPr>
        <w:tblStyle w:val="24"/>
        <w:tblW w:w="9072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846"/>
        <w:gridCol w:w="1416"/>
        <w:gridCol w:w="2300"/>
        <w:gridCol w:w="1557"/>
        <w:gridCol w:w="1953"/>
      </w:tblGrid>
      <w:tr w14:paraId="230B87C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1" w:hRule="atLeast"/>
        </w:trPr>
        <w:tc>
          <w:tcPr>
            <w:tcW w:w="1846" w:type="dxa"/>
          </w:tcPr>
          <w:p w14:paraId="7830E85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99" w:line="220" w:lineRule="auto"/>
              <w:ind w:left="296"/>
              <w:textAlignment w:val="baseline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2"/>
                <w:sz w:val="21"/>
                <w:szCs w:val="21"/>
              </w:rPr>
              <w:t>文档名称编号</w:t>
            </w:r>
          </w:p>
        </w:tc>
        <w:tc>
          <w:tcPr>
            <w:tcW w:w="7226" w:type="dxa"/>
            <w:gridSpan w:val="4"/>
          </w:tcPr>
          <w:p w14:paraId="61D3E06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99" w:line="220" w:lineRule="auto"/>
              <w:ind w:left="1882"/>
              <w:textAlignment w:val="baseline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1"/>
                <w:sz w:val="21"/>
                <w:szCs w:val="21"/>
              </w:rPr>
              <w:t>服务台管理制度（</w:t>
            </w:r>
            <w:r>
              <w:rPr>
                <w:rFonts w:hint="eastAsia" w:ascii="宋体" w:hAnsi="宋体" w:cs="宋体"/>
                <w:spacing w:val="-1"/>
                <w:sz w:val="21"/>
                <w:szCs w:val="21"/>
                <w:lang w:val="en-US" w:eastAsia="zh-CN"/>
              </w:rPr>
              <w:t>JSYC</w:t>
            </w:r>
            <w:bookmarkStart w:id="14" w:name="_GoBack"/>
            <w:bookmarkEnd w:id="14"/>
            <w:r>
              <w:rPr>
                <w:rFonts w:ascii="宋体" w:hAnsi="宋体" w:eastAsia="宋体" w:cs="宋体"/>
                <w:spacing w:val="-1"/>
                <w:sz w:val="21"/>
                <w:szCs w:val="21"/>
              </w:rPr>
              <w:t>-ITSS-FWTGL）</w:t>
            </w:r>
          </w:p>
        </w:tc>
      </w:tr>
      <w:tr w14:paraId="16FBCBA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6" w:hRule="atLeast"/>
        </w:trPr>
        <w:tc>
          <w:tcPr>
            <w:tcW w:w="1846" w:type="dxa"/>
          </w:tcPr>
          <w:p w14:paraId="37BF08E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96" w:line="220" w:lineRule="auto"/>
              <w:ind w:left="506"/>
              <w:textAlignment w:val="baseline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2"/>
                <w:sz w:val="21"/>
                <w:szCs w:val="21"/>
              </w:rPr>
              <w:t>编制单位</w:t>
            </w:r>
          </w:p>
        </w:tc>
        <w:tc>
          <w:tcPr>
            <w:tcW w:w="7226" w:type="dxa"/>
            <w:gridSpan w:val="4"/>
          </w:tcPr>
          <w:p w14:paraId="68C1CF0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97" w:line="219" w:lineRule="auto"/>
              <w:ind w:left="2144"/>
              <w:textAlignment w:val="baseline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1"/>
                <w:sz w:val="21"/>
                <w:szCs w:val="21"/>
              </w:rPr>
              <w:t>江苏云储智能科技有限公司</w:t>
            </w:r>
          </w:p>
        </w:tc>
      </w:tr>
      <w:tr w14:paraId="60E516D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7" w:hRule="atLeast"/>
        </w:trPr>
        <w:tc>
          <w:tcPr>
            <w:tcW w:w="1846" w:type="dxa"/>
          </w:tcPr>
          <w:p w14:paraId="10FE2C9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99" w:line="219" w:lineRule="auto"/>
              <w:ind w:left="506"/>
              <w:textAlignment w:val="baseline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2"/>
                <w:sz w:val="21"/>
                <w:szCs w:val="21"/>
              </w:rPr>
              <w:t>文档版本</w:t>
            </w:r>
          </w:p>
        </w:tc>
        <w:tc>
          <w:tcPr>
            <w:tcW w:w="1416" w:type="dxa"/>
          </w:tcPr>
          <w:p w14:paraId="583FA75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99" w:line="219" w:lineRule="auto"/>
              <w:ind w:left="290"/>
              <w:textAlignment w:val="baseline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2"/>
                <w:sz w:val="21"/>
                <w:szCs w:val="21"/>
              </w:rPr>
              <w:t>版本日期</w:t>
            </w:r>
          </w:p>
        </w:tc>
        <w:tc>
          <w:tcPr>
            <w:tcW w:w="2300" w:type="dxa"/>
          </w:tcPr>
          <w:p w14:paraId="07520E3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99" w:line="219" w:lineRule="auto"/>
              <w:ind w:left="734"/>
              <w:textAlignment w:val="baseline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2"/>
                <w:sz w:val="21"/>
                <w:szCs w:val="21"/>
              </w:rPr>
              <w:t>版本说明</w:t>
            </w:r>
          </w:p>
        </w:tc>
        <w:tc>
          <w:tcPr>
            <w:tcW w:w="1557" w:type="dxa"/>
          </w:tcPr>
          <w:p w14:paraId="7A5DBC3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99" w:line="220" w:lineRule="auto"/>
              <w:ind w:left="574"/>
              <w:textAlignment w:val="baseline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3"/>
                <w:sz w:val="21"/>
                <w:szCs w:val="21"/>
              </w:rPr>
              <w:t>作者</w:t>
            </w:r>
          </w:p>
        </w:tc>
        <w:tc>
          <w:tcPr>
            <w:tcW w:w="1953" w:type="dxa"/>
          </w:tcPr>
          <w:p w14:paraId="2EC5A07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99" w:line="220" w:lineRule="auto"/>
              <w:ind w:left="781"/>
              <w:textAlignment w:val="baseline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5"/>
                <w:sz w:val="21"/>
                <w:szCs w:val="21"/>
              </w:rPr>
              <w:t>审核</w:t>
            </w:r>
          </w:p>
        </w:tc>
      </w:tr>
      <w:tr w14:paraId="56FA620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4" w:hRule="atLeast"/>
        </w:trPr>
        <w:tc>
          <w:tcPr>
            <w:tcW w:w="1846" w:type="dxa"/>
            <w:shd w:val="clear" w:color="auto" w:fill="auto"/>
          </w:tcPr>
          <w:p w14:paraId="4063ACD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61" w:line="239" w:lineRule="auto"/>
              <w:ind w:left="709" w:leftChars="0"/>
              <w:textAlignment w:val="baseline"/>
              <w:rPr>
                <w:rFonts w:ascii="宋体" w:hAnsi="宋体" w:eastAsia="宋体" w:cs="宋体"/>
                <w:snapToGrid w:val="0"/>
                <w:color w:val="000000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ascii="宋体" w:hAnsi="宋体" w:eastAsia="宋体" w:cs="宋体"/>
                <w:spacing w:val="-1"/>
                <w:sz w:val="21"/>
                <w:szCs w:val="21"/>
              </w:rPr>
              <w:t>V1.0</w:t>
            </w:r>
          </w:p>
        </w:tc>
        <w:tc>
          <w:tcPr>
            <w:tcW w:w="1416" w:type="dxa"/>
            <w:shd w:val="clear" w:color="auto" w:fill="auto"/>
          </w:tcPr>
          <w:p w14:paraId="4DA9F99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61"/>
              <w:ind w:left="290" w:leftChars="0"/>
              <w:textAlignment w:val="baseline"/>
              <w:rPr>
                <w:rFonts w:ascii="宋体" w:hAnsi="宋体" w:eastAsia="宋体" w:cs="宋体"/>
                <w:snapToGrid w:val="0"/>
                <w:color w:val="000000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ascii="宋体" w:hAnsi="宋体" w:eastAsia="宋体" w:cs="宋体"/>
                <w:spacing w:val="-2"/>
                <w:sz w:val="21"/>
                <w:szCs w:val="21"/>
              </w:rPr>
              <w:t>2025-1-4</w:t>
            </w:r>
          </w:p>
        </w:tc>
        <w:tc>
          <w:tcPr>
            <w:tcW w:w="2300" w:type="dxa"/>
            <w:shd w:val="clear" w:color="auto" w:fill="auto"/>
          </w:tcPr>
          <w:p w14:paraId="075C8C2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31" w:line="219" w:lineRule="auto"/>
              <w:ind w:left="738" w:leftChars="0"/>
              <w:textAlignment w:val="baseline"/>
              <w:rPr>
                <w:rFonts w:ascii="宋体" w:hAnsi="宋体" w:eastAsia="宋体" w:cs="宋体"/>
                <w:snapToGrid w:val="0"/>
                <w:color w:val="000000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ascii="宋体" w:hAnsi="宋体" w:eastAsia="宋体" w:cs="宋体"/>
                <w:spacing w:val="-3"/>
                <w:sz w:val="21"/>
                <w:szCs w:val="21"/>
              </w:rPr>
              <w:t>发布版本</w:t>
            </w:r>
          </w:p>
        </w:tc>
        <w:tc>
          <w:tcPr>
            <w:tcW w:w="1557" w:type="dxa"/>
            <w:shd w:val="clear" w:color="auto" w:fill="auto"/>
          </w:tcPr>
          <w:p w14:paraId="0D4901F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32" w:line="220" w:lineRule="auto"/>
              <w:ind w:left="480" w:leftChars="0"/>
              <w:textAlignment w:val="baseline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王朋</w:t>
            </w:r>
          </w:p>
        </w:tc>
        <w:tc>
          <w:tcPr>
            <w:tcW w:w="1953" w:type="dxa"/>
            <w:shd w:val="clear" w:color="auto" w:fill="auto"/>
          </w:tcPr>
          <w:p w14:paraId="54340F0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31" w:line="220" w:lineRule="auto"/>
              <w:ind w:left="672" w:leftChars="0"/>
              <w:textAlignment w:val="baseline"/>
              <w:rPr>
                <w:rFonts w:ascii="宋体" w:hAnsi="宋体" w:eastAsia="宋体" w:cs="宋体"/>
                <w:snapToGrid w:val="0"/>
                <w:color w:val="000000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ascii="宋体" w:hAnsi="宋体" w:eastAsia="宋体" w:cs="宋体"/>
                <w:spacing w:val="-3"/>
                <w:sz w:val="21"/>
                <w:szCs w:val="21"/>
              </w:rPr>
              <w:t>史晓玲</w:t>
            </w:r>
          </w:p>
        </w:tc>
      </w:tr>
      <w:tr w14:paraId="41DF058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8" w:hRule="atLeast"/>
        </w:trPr>
        <w:tc>
          <w:tcPr>
            <w:tcW w:w="1846" w:type="dxa"/>
          </w:tcPr>
          <w:p w14:paraId="2A7158A2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1416" w:type="dxa"/>
          </w:tcPr>
          <w:p w14:paraId="7E87270B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2300" w:type="dxa"/>
          </w:tcPr>
          <w:p w14:paraId="3EE2ED9B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1557" w:type="dxa"/>
          </w:tcPr>
          <w:p w14:paraId="6F95A0C6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1953" w:type="dxa"/>
          </w:tcPr>
          <w:p w14:paraId="6B9386DA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</w:tr>
      <w:tr w14:paraId="58ECD82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8" w:hRule="atLeast"/>
        </w:trPr>
        <w:tc>
          <w:tcPr>
            <w:tcW w:w="1846" w:type="dxa"/>
          </w:tcPr>
          <w:p w14:paraId="4038C59C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1416" w:type="dxa"/>
          </w:tcPr>
          <w:p w14:paraId="335AD64F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2300" w:type="dxa"/>
          </w:tcPr>
          <w:p w14:paraId="2423389F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1557" w:type="dxa"/>
          </w:tcPr>
          <w:p w14:paraId="492CB848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1953" w:type="dxa"/>
          </w:tcPr>
          <w:p w14:paraId="3E8D2C6F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</w:tr>
      <w:tr w14:paraId="277C41C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8" w:hRule="atLeast"/>
        </w:trPr>
        <w:tc>
          <w:tcPr>
            <w:tcW w:w="1846" w:type="dxa"/>
          </w:tcPr>
          <w:p w14:paraId="4B350005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1416" w:type="dxa"/>
          </w:tcPr>
          <w:p w14:paraId="10604E5A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2300" w:type="dxa"/>
          </w:tcPr>
          <w:p w14:paraId="68191E2A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1557" w:type="dxa"/>
          </w:tcPr>
          <w:p w14:paraId="682638B3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1953" w:type="dxa"/>
          </w:tcPr>
          <w:p w14:paraId="7EF39EC0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</w:tr>
      <w:tr w14:paraId="630E24D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8" w:hRule="atLeast"/>
        </w:trPr>
        <w:tc>
          <w:tcPr>
            <w:tcW w:w="1846" w:type="dxa"/>
          </w:tcPr>
          <w:p w14:paraId="12F0FADE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1416" w:type="dxa"/>
          </w:tcPr>
          <w:p w14:paraId="5FD71ABE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2300" w:type="dxa"/>
          </w:tcPr>
          <w:p w14:paraId="1C8F2149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1557" w:type="dxa"/>
          </w:tcPr>
          <w:p w14:paraId="0408EE61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1953" w:type="dxa"/>
          </w:tcPr>
          <w:p w14:paraId="7D87F647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</w:tr>
      <w:tr w14:paraId="7BF195A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9" w:hRule="atLeast"/>
        </w:trPr>
        <w:tc>
          <w:tcPr>
            <w:tcW w:w="1846" w:type="dxa"/>
          </w:tcPr>
          <w:p w14:paraId="1CB17D9D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1416" w:type="dxa"/>
          </w:tcPr>
          <w:p w14:paraId="26911CDB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2300" w:type="dxa"/>
          </w:tcPr>
          <w:p w14:paraId="3CA5E109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1557" w:type="dxa"/>
          </w:tcPr>
          <w:p w14:paraId="6B126B48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1953" w:type="dxa"/>
          </w:tcPr>
          <w:p w14:paraId="5EF10125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</w:tr>
    </w:tbl>
    <w:p w14:paraId="3FB2FFEE">
      <w:pPr>
        <w:pStyle w:val="1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</w:p>
    <w:p w14:paraId="3FF5ACDE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sectPr>
          <w:footerReference r:id="rId6" w:type="default"/>
          <w:pgSz w:w="11906" w:h="16839"/>
          <w:pgMar w:top="1431" w:right="1127" w:bottom="1233" w:left="1696" w:header="0" w:footer="1070" w:gutter="0"/>
          <w:cols w:space="720" w:num="1"/>
        </w:sectPr>
      </w:pPr>
    </w:p>
    <w:sdt>
      <w:sdtPr>
        <w:rPr>
          <w:rFonts w:ascii="宋体" w:hAnsi="宋体" w:eastAsia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56965"/>
        <w:docPartObj>
          <w:docPartGallery w:val="Table of Contents"/>
          <w:docPartUnique/>
        </w:docPartObj>
      </w:sdtPr>
      <w:sdtEndPr>
        <w:rPr>
          <w:rFonts w:ascii="Calibri" w:hAnsi="Calibri" w:eastAsia="Calibri" w:cs="Calibri"/>
          <w:snapToGrid w:val="0"/>
          <w:color w:val="000000"/>
          <w:kern w:val="0"/>
          <w:sz w:val="21"/>
          <w:szCs w:val="21"/>
          <w:lang w:val="en-US" w:eastAsia="en-US" w:bidi="ar-SA"/>
        </w:rPr>
      </w:sdtEndPr>
      <w:sdtContent>
        <w:p w14:paraId="754E4902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textAlignment w:val="baseline"/>
          </w:pPr>
          <w:r>
            <w:rPr>
              <w:rFonts w:ascii="宋体" w:hAnsi="宋体" w:eastAsia="宋体"/>
              <w:sz w:val="21"/>
            </w:rPr>
            <w:t>目录</w:t>
          </w:r>
        </w:p>
        <w:p w14:paraId="30214BAF">
          <w:pPr>
            <w:pStyle w:val="16"/>
            <w:keepNext w:val="0"/>
            <w:keepLines w:val="0"/>
            <w:pageBreakBefore w:val="0"/>
            <w:widowControl w:val="0"/>
            <w:tabs>
              <w:tab w:val="right" w:leader="dot" w:pos="8492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ascii="Calibri" w:hAnsi="Calibri" w:eastAsia="Calibri" w:cs="Calibri"/>
              <w:sz w:val="21"/>
              <w:szCs w:val="21"/>
            </w:rPr>
            <w:fldChar w:fldCharType="begin"/>
          </w:r>
          <w:r>
            <w:rPr>
              <w:rFonts w:ascii="Calibri" w:hAnsi="Calibri" w:eastAsia="Calibri" w:cs="Calibri"/>
              <w:sz w:val="21"/>
              <w:szCs w:val="21"/>
            </w:rPr>
            <w:instrText xml:space="preserve">TOC \o "1-3" \h \u </w:instrText>
          </w:r>
          <w:r>
            <w:rPr>
              <w:rFonts w:ascii="Calibri" w:hAnsi="Calibri" w:eastAsia="Calibri" w:cs="Calibri"/>
              <w:sz w:val="21"/>
              <w:szCs w:val="21"/>
            </w:rPr>
            <w:fldChar w:fldCharType="separate"/>
          </w:r>
          <w:r>
            <w:rPr>
              <w:rFonts w:ascii="Calibri" w:hAnsi="Calibri" w:eastAsia="Calibri" w:cs="Calibri"/>
              <w:szCs w:val="21"/>
            </w:rPr>
            <w:fldChar w:fldCharType="begin"/>
          </w:r>
          <w:r>
            <w:rPr>
              <w:rFonts w:ascii="Calibri" w:hAnsi="Calibri" w:eastAsia="Calibri" w:cs="Calibri"/>
              <w:szCs w:val="21"/>
            </w:rPr>
            <w:instrText xml:space="preserve"> HYPERLINK \l _Toc23726 </w:instrText>
          </w:r>
          <w:r>
            <w:rPr>
              <w:rFonts w:ascii="Calibri" w:hAnsi="Calibri" w:eastAsia="Calibri" w:cs="Calibri"/>
              <w:szCs w:val="21"/>
            </w:rPr>
            <w:fldChar w:fldCharType="separate"/>
          </w:r>
          <w:r>
            <w:t>服务台管理制度</w:t>
          </w:r>
          <w:r>
            <w:tab/>
          </w:r>
          <w:r>
            <w:fldChar w:fldCharType="begin"/>
          </w:r>
          <w:r>
            <w:instrText xml:space="preserve"> PAGEREF _Toc23726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ascii="Calibri" w:hAnsi="Calibri" w:eastAsia="Calibri" w:cs="Calibri"/>
              <w:szCs w:val="21"/>
            </w:rPr>
            <w:fldChar w:fldCharType="end"/>
          </w:r>
        </w:p>
        <w:p w14:paraId="44FEC013">
          <w:pPr>
            <w:pStyle w:val="16"/>
            <w:keepNext w:val="0"/>
            <w:keepLines w:val="0"/>
            <w:pageBreakBefore w:val="0"/>
            <w:widowControl w:val="0"/>
            <w:tabs>
              <w:tab w:val="right" w:leader="dot" w:pos="8492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ascii="Calibri" w:hAnsi="Calibri" w:eastAsia="Calibri" w:cs="Calibri"/>
              <w:szCs w:val="21"/>
            </w:rPr>
            <w:fldChar w:fldCharType="begin"/>
          </w:r>
          <w:r>
            <w:rPr>
              <w:rFonts w:ascii="Calibri" w:hAnsi="Calibri" w:eastAsia="Calibri" w:cs="Calibri"/>
              <w:szCs w:val="21"/>
            </w:rPr>
            <w:instrText xml:space="preserve"> HYPERLINK \l _Toc24584 </w:instrText>
          </w:r>
          <w:r>
            <w:rPr>
              <w:rFonts w:ascii="Calibri" w:hAnsi="Calibri" w:eastAsia="Calibri" w:cs="Calibri"/>
              <w:szCs w:val="21"/>
            </w:rPr>
            <w:fldChar w:fldCharType="separate"/>
          </w:r>
          <w:r>
            <w:t>江苏云储智能科技有限公司</w:t>
          </w:r>
          <w:r>
            <w:tab/>
          </w:r>
          <w:r>
            <w:fldChar w:fldCharType="begin"/>
          </w:r>
          <w:r>
            <w:instrText xml:space="preserve"> PAGEREF _Toc24584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ascii="Calibri" w:hAnsi="Calibri" w:eastAsia="Calibri" w:cs="Calibri"/>
              <w:szCs w:val="21"/>
            </w:rPr>
            <w:fldChar w:fldCharType="end"/>
          </w:r>
        </w:p>
        <w:p w14:paraId="1D582ED3">
          <w:pPr>
            <w:pStyle w:val="17"/>
            <w:keepNext w:val="0"/>
            <w:keepLines w:val="0"/>
            <w:pageBreakBefore w:val="0"/>
            <w:widowControl w:val="0"/>
            <w:tabs>
              <w:tab w:val="right" w:leader="dot" w:pos="8492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ascii="Calibri" w:hAnsi="Calibri" w:eastAsia="Calibri" w:cs="Calibri"/>
              <w:szCs w:val="21"/>
            </w:rPr>
            <w:fldChar w:fldCharType="begin"/>
          </w:r>
          <w:r>
            <w:rPr>
              <w:rFonts w:ascii="Calibri" w:hAnsi="Calibri" w:eastAsia="Calibri" w:cs="Calibri"/>
              <w:szCs w:val="21"/>
            </w:rPr>
            <w:instrText xml:space="preserve"> HYPERLINK \l _Toc8297 </w:instrText>
          </w:r>
          <w:r>
            <w:rPr>
              <w:rFonts w:ascii="Calibri" w:hAnsi="Calibri" w:eastAsia="Calibri" w:cs="Calibri"/>
              <w:szCs w:val="21"/>
            </w:rPr>
            <w:fldChar w:fldCharType="separate"/>
          </w:r>
          <w:r>
            <w:rPr>
              <w:rFonts w:ascii="宋体" w:hAnsi="宋体" w:eastAsia="宋体" w:cs="宋体"/>
              <w:spacing w:val="-3"/>
              <w:szCs w:val="28"/>
            </w:rPr>
            <w:t>文档信息</w:t>
          </w:r>
          <w:r>
            <w:tab/>
          </w:r>
          <w:r>
            <w:fldChar w:fldCharType="begin"/>
          </w:r>
          <w:r>
            <w:instrText xml:space="preserve"> PAGEREF _Toc8297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rFonts w:ascii="Calibri" w:hAnsi="Calibri" w:eastAsia="Calibri" w:cs="Calibri"/>
              <w:szCs w:val="21"/>
            </w:rPr>
            <w:fldChar w:fldCharType="end"/>
          </w:r>
        </w:p>
        <w:p w14:paraId="320690DA">
          <w:pPr>
            <w:pStyle w:val="16"/>
            <w:keepNext w:val="0"/>
            <w:keepLines w:val="0"/>
            <w:pageBreakBefore w:val="0"/>
            <w:widowControl w:val="0"/>
            <w:tabs>
              <w:tab w:val="right" w:leader="dot" w:pos="8492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ascii="Calibri" w:hAnsi="Calibri" w:eastAsia="Calibri" w:cs="Calibri"/>
              <w:szCs w:val="21"/>
            </w:rPr>
            <w:fldChar w:fldCharType="begin"/>
          </w:r>
          <w:r>
            <w:rPr>
              <w:rFonts w:ascii="Calibri" w:hAnsi="Calibri" w:eastAsia="Calibri" w:cs="Calibri"/>
              <w:szCs w:val="21"/>
            </w:rPr>
            <w:instrText xml:space="preserve"> HYPERLINK \l _Toc7013 </w:instrText>
          </w:r>
          <w:r>
            <w:rPr>
              <w:rFonts w:ascii="Calibri" w:hAnsi="Calibri" w:eastAsia="Calibri" w:cs="Calibri"/>
              <w:szCs w:val="21"/>
            </w:rPr>
            <w:fldChar w:fldCharType="separate"/>
          </w:r>
          <w:r>
            <w:rPr>
              <w:rFonts w:hint="default"/>
            </w:rPr>
            <w:t xml:space="preserve">1. </w:t>
          </w:r>
          <w:r>
            <w:t>目的</w:t>
          </w:r>
          <w:r>
            <w:tab/>
          </w:r>
          <w:r>
            <w:fldChar w:fldCharType="begin"/>
          </w:r>
          <w:r>
            <w:instrText xml:space="preserve"> PAGEREF _Toc7013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Calibri" w:hAnsi="Calibri" w:eastAsia="Calibri" w:cs="Calibri"/>
              <w:szCs w:val="21"/>
            </w:rPr>
            <w:fldChar w:fldCharType="end"/>
          </w:r>
        </w:p>
        <w:p w14:paraId="7F8F0F0A">
          <w:pPr>
            <w:pStyle w:val="16"/>
            <w:keepNext w:val="0"/>
            <w:keepLines w:val="0"/>
            <w:pageBreakBefore w:val="0"/>
            <w:widowControl w:val="0"/>
            <w:tabs>
              <w:tab w:val="right" w:leader="dot" w:pos="8492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ascii="Calibri" w:hAnsi="Calibri" w:eastAsia="Calibri" w:cs="Calibri"/>
              <w:szCs w:val="21"/>
            </w:rPr>
            <w:fldChar w:fldCharType="begin"/>
          </w:r>
          <w:r>
            <w:rPr>
              <w:rFonts w:ascii="Calibri" w:hAnsi="Calibri" w:eastAsia="Calibri" w:cs="Calibri"/>
              <w:szCs w:val="21"/>
            </w:rPr>
            <w:instrText xml:space="preserve"> HYPERLINK \l _Toc25539 </w:instrText>
          </w:r>
          <w:r>
            <w:rPr>
              <w:rFonts w:ascii="Calibri" w:hAnsi="Calibri" w:eastAsia="Calibri" w:cs="Calibri"/>
              <w:szCs w:val="21"/>
            </w:rPr>
            <w:fldChar w:fldCharType="separate"/>
          </w:r>
          <w:r>
            <w:rPr>
              <w:rFonts w:hint="default"/>
            </w:rPr>
            <w:t xml:space="preserve">2. </w:t>
          </w:r>
          <w:r>
            <w:t>适用范围</w:t>
          </w:r>
          <w:r>
            <w:tab/>
          </w:r>
          <w:r>
            <w:fldChar w:fldCharType="begin"/>
          </w:r>
          <w:r>
            <w:instrText xml:space="preserve"> PAGEREF _Toc25539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Calibri" w:hAnsi="Calibri" w:eastAsia="Calibri" w:cs="Calibri"/>
              <w:szCs w:val="21"/>
            </w:rPr>
            <w:fldChar w:fldCharType="end"/>
          </w:r>
        </w:p>
        <w:p w14:paraId="75257F87">
          <w:pPr>
            <w:pStyle w:val="16"/>
            <w:keepNext w:val="0"/>
            <w:keepLines w:val="0"/>
            <w:pageBreakBefore w:val="0"/>
            <w:widowControl w:val="0"/>
            <w:tabs>
              <w:tab w:val="right" w:leader="dot" w:pos="8492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ascii="Calibri" w:hAnsi="Calibri" w:eastAsia="Calibri" w:cs="Calibri"/>
              <w:szCs w:val="21"/>
            </w:rPr>
            <w:fldChar w:fldCharType="begin"/>
          </w:r>
          <w:r>
            <w:rPr>
              <w:rFonts w:ascii="Calibri" w:hAnsi="Calibri" w:eastAsia="Calibri" w:cs="Calibri"/>
              <w:szCs w:val="21"/>
            </w:rPr>
            <w:instrText xml:space="preserve"> HYPERLINK \l _Toc21927 </w:instrText>
          </w:r>
          <w:r>
            <w:rPr>
              <w:rFonts w:ascii="Calibri" w:hAnsi="Calibri" w:eastAsia="Calibri" w:cs="Calibri"/>
              <w:szCs w:val="21"/>
            </w:rPr>
            <w:fldChar w:fldCharType="separate"/>
          </w:r>
          <w:r>
            <w:rPr>
              <w:rFonts w:hint="default"/>
            </w:rPr>
            <w:t xml:space="preserve">3. </w:t>
          </w:r>
          <w:r>
            <w:t>引用文件</w:t>
          </w:r>
          <w:r>
            <w:tab/>
          </w:r>
          <w:r>
            <w:fldChar w:fldCharType="begin"/>
          </w:r>
          <w:r>
            <w:instrText xml:space="preserve"> PAGEREF _Toc21927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Calibri" w:hAnsi="Calibri" w:eastAsia="Calibri" w:cs="Calibri"/>
              <w:szCs w:val="21"/>
            </w:rPr>
            <w:fldChar w:fldCharType="end"/>
          </w:r>
        </w:p>
        <w:p w14:paraId="000C5B16">
          <w:pPr>
            <w:pStyle w:val="16"/>
            <w:keepNext w:val="0"/>
            <w:keepLines w:val="0"/>
            <w:pageBreakBefore w:val="0"/>
            <w:widowControl w:val="0"/>
            <w:tabs>
              <w:tab w:val="right" w:leader="dot" w:pos="8492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ascii="Calibri" w:hAnsi="Calibri" w:eastAsia="Calibri" w:cs="Calibri"/>
              <w:szCs w:val="21"/>
            </w:rPr>
            <w:fldChar w:fldCharType="begin"/>
          </w:r>
          <w:r>
            <w:rPr>
              <w:rFonts w:ascii="Calibri" w:hAnsi="Calibri" w:eastAsia="Calibri" w:cs="Calibri"/>
              <w:szCs w:val="21"/>
            </w:rPr>
            <w:instrText xml:space="preserve"> HYPERLINK \l _Toc31283 </w:instrText>
          </w:r>
          <w:r>
            <w:rPr>
              <w:rFonts w:ascii="Calibri" w:hAnsi="Calibri" w:eastAsia="Calibri" w:cs="Calibri"/>
              <w:szCs w:val="21"/>
            </w:rPr>
            <w:fldChar w:fldCharType="separate"/>
          </w:r>
          <w:r>
            <w:rPr>
              <w:rFonts w:hint="default"/>
            </w:rPr>
            <w:t xml:space="preserve">4. </w:t>
          </w:r>
          <w:r>
            <w:t>流程制度</w:t>
          </w:r>
          <w:r>
            <w:tab/>
          </w:r>
          <w:r>
            <w:fldChar w:fldCharType="begin"/>
          </w:r>
          <w:r>
            <w:instrText xml:space="preserve"> PAGEREF _Toc31283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Calibri" w:hAnsi="Calibri" w:eastAsia="Calibri" w:cs="Calibri"/>
              <w:szCs w:val="21"/>
            </w:rPr>
            <w:fldChar w:fldCharType="end"/>
          </w:r>
        </w:p>
        <w:p w14:paraId="1DA573FC">
          <w:pPr>
            <w:pStyle w:val="17"/>
            <w:keepNext w:val="0"/>
            <w:keepLines w:val="0"/>
            <w:pageBreakBefore w:val="0"/>
            <w:widowControl w:val="0"/>
            <w:tabs>
              <w:tab w:val="right" w:leader="dot" w:pos="8492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ascii="Calibri" w:hAnsi="Calibri" w:eastAsia="Calibri" w:cs="Calibri"/>
              <w:szCs w:val="21"/>
            </w:rPr>
            <w:fldChar w:fldCharType="begin"/>
          </w:r>
          <w:r>
            <w:rPr>
              <w:rFonts w:ascii="Calibri" w:hAnsi="Calibri" w:eastAsia="Calibri" w:cs="Calibri"/>
              <w:szCs w:val="21"/>
            </w:rPr>
            <w:instrText xml:space="preserve"> HYPERLINK \l _Toc19539 </w:instrText>
          </w:r>
          <w:r>
            <w:rPr>
              <w:rFonts w:ascii="Calibri" w:hAnsi="Calibri" w:eastAsia="Calibri" w:cs="Calibri"/>
              <w:szCs w:val="21"/>
            </w:rPr>
            <w:fldChar w:fldCharType="separate"/>
          </w:r>
          <w:r>
            <w:rPr>
              <w:rFonts w:hint="default"/>
            </w:rPr>
            <w:t xml:space="preserve">4.1. </w:t>
          </w:r>
          <w:r>
            <w:t>服务台流程图</w:t>
          </w:r>
          <w:r>
            <w:tab/>
          </w:r>
          <w:r>
            <w:fldChar w:fldCharType="begin"/>
          </w:r>
          <w:r>
            <w:instrText xml:space="preserve"> PAGEREF _Toc19539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Calibri" w:hAnsi="Calibri" w:eastAsia="Calibri" w:cs="Calibri"/>
              <w:szCs w:val="21"/>
            </w:rPr>
            <w:fldChar w:fldCharType="end"/>
          </w:r>
        </w:p>
        <w:p w14:paraId="223C915A">
          <w:pPr>
            <w:pStyle w:val="17"/>
            <w:keepNext w:val="0"/>
            <w:keepLines w:val="0"/>
            <w:pageBreakBefore w:val="0"/>
            <w:widowControl w:val="0"/>
            <w:tabs>
              <w:tab w:val="right" w:leader="dot" w:pos="8492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ascii="Calibri" w:hAnsi="Calibri" w:eastAsia="Calibri" w:cs="Calibri"/>
              <w:szCs w:val="21"/>
            </w:rPr>
            <w:fldChar w:fldCharType="begin"/>
          </w:r>
          <w:r>
            <w:rPr>
              <w:rFonts w:ascii="Calibri" w:hAnsi="Calibri" w:eastAsia="Calibri" w:cs="Calibri"/>
              <w:szCs w:val="21"/>
            </w:rPr>
            <w:instrText xml:space="preserve"> HYPERLINK \l _Toc19283 </w:instrText>
          </w:r>
          <w:r>
            <w:rPr>
              <w:rFonts w:ascii="Calibri" w:hAnsi="Calibri" w:eastAsia="Calibri" w:cs="Calibri"/>
              <w:szCs w:val="21"/>
            </w:rPr>
            <w:fldChar w:fldCharType="separate"/>
          </w:r>
          <w:r>
            <w:rPr>
              <w:rFonts w:hint="default"/>
            </w:rPr>
            <w:t xml:space="preserve">4.2. </w:t>
          </w:r>
          <w:r>
            <w:t>服务台管理流程的步骤</w:t>
          </w:r>
          <w:r>
            <w:tab/>
          </w:r>
          <w:r>
            <w:fldChar w:fldCharType="begin"/>
          </w:r>
          <w:r>
            <w:instrText xml:space="preserve"> PAGEREF _Toc19283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Calibri" w:hAnsi="Calibri" w:eastAsia="Calibri" w:cs="Calibri"/>
              <w:szCs w:val="21"/>
            </w:rPr>
            <w:fldChar w:fldCharType="end"/>
          </w:r>
        </w:p>
        <w:p w14:paraId="5E5145D0">
          <w:pPr>
            <w:pStyle w:val="17"/>
            <w:keepNext w:val="0"/>
            <w:keepLines w:val="0"/>
            <w:pageBreakBefore w:val="0"/>
            <w:widowControl w:val="0"/>
            <w:tabs>
              <w:tab w:val="right" w:leader="dot" w:pos="8492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ascii="Calibri" w:hAnsi="Calibri" w:eastAsia="Calibri" w:cs="Calibri"/>
              <w:szCs w:val="21"/>
            </w:rPr>
            <w:fldChar w:fldCharType="begin"/>
          </w:r>
          <w:r>
            <w:rPr>
              <w:rFonts w:ascii="Calibri" w:hAnsi="Calibri" w:eastAsia="Calibri" w:cs="Calibri"/>
              <w:szCs w:val="21"/>
            </w:rPr>
            <w:instrText xml:space="preserve"> HYPERLINK \l _Toc4133 </w:instrText>
          </w:r>
          <w:r>
            <w:rPr>
              <w:rFonts w:ascii="Calibri" w:hAnsi="Calibri" w:eastAsia="Calibri" w:cs="Calibri"/>
              <w:szCs w:val="21"/>
            </w:rPr>
            <w:fldChar w:fldCharType="separate"/>
          </w:r>
          <w:r>
            <w:rPr>
              <w:rFonts w:hint="default"/>
            </w:rPr>
            <w:t xml:space="preserve">4.3. </w:t>
          </w:r>
          <w:r>
            <w:t>服务台沟通渠道</w:t>
          </w:r>
          <w:r>
            <w:tab/>
          </w:r>
          <w:r>
            <w:fldChar w:fldCharType="begin"/>
          </w:r>
          <w:r>
            <w:instrText xml:space="preserve"> PAGEREF _Toc4133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Calibri" w:hAnsi="Calibri" w:eastAsia="Calibri" w:cs="Calibri"/>
              <w:szCs w:val="21"/>
            </w:rPr>
            <w:fldChar w:fldCharType="end"/>
          </w:r>
        </w:p>
        <w:p w14:paraId="71B45C88">
          <w:pPr>
            <w:pStyle w:val="17"/>
            <w:keepNext w:val="0"/>
            <w:keepLines w:val="0"/>
            <w:pageBreakBefore w:val="0"/>
            <w:widowControl w:val="0"/>
            <w:tabs>
              <w:tab w:val="right" w:leader="dot" w:pos="8492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ascii="Calibri" w:hAnsi="Calibri" w:eastAsia="Calibri" w:cs="Calibri"/>
              <w:szCs w:val="21"/>
            </w:rPr>
            <w:fldChar w:fldCharType="begin"/>
          </w:r>
          <w:r>
            <w:rPr>
              <w:rFonts w:ascii="Calibri" w:hAnsi="Calibri" w:eastAsia="Calibri" w:cs="Calibri"/>
              <w:szCs w:val="21"/>
            </w:rPr>
            <w:instrText xml:space="preserve"> HYPERLINK \l _Toc22126 </w:instrText>
          </w:r>
          <w:r>
            <w:rPr>
              <w:rFonts w:ascii="Calibri" w:hAnsi="Calibri" w:eastAsia="Calibri" w:cs="Calibri"/>
              <w:szCs w:val="21"/>
            </w:rPr>
            <w:fldChar w:fldCharType="separate"/>
          </w:r>
          <w:r>
            <w:rPr>
              <w:rFonts w:hint="default"/>
            </w:rPr>
            <w:t xml:space="preserve">4.4. </w:t>
          </w:r>
          <w:r>
            <w:t>服务台职责</w:t>
          </w:r>
          <w:r>
            <w:tab/>
          </w:r>
          <w:r>
            <w:fldChar w:fldCharType="begin"/>
          </w:r>
          <w:r>
            <w:instrText xml:space="preserve"> PAGEREF _Toc22126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Calibri" w:hAnsi="Calibri" w:eastAsia="Calibri" w:cs="Calibri"/>
              <w:szCs w:val="21"/>
            </w:rPr>
            <w:fldChar w:fldCharType="end"/>
          </w:r>
        </w:p>
        <w:p w14:paraId="31891410">
          <w:pPr>
            <w:pStyle w:val="17"/>
            <w:keepNext w:val="0"/>
            <w:keepLines w:val="0"/>
            <w:pageBreakBefore w:val="0"/>
            <w:widowControl w:val="0"/>
            <w:tabs>
              <w:tab w:val="right" w:leader="dot" w:pos="8492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ascii="Calibri" w:hAnsi="Calibri" w:eastAsia="Calibri" w:cs="Calibri"/>
              <w:szCs w:val="21"/>
            </w:rPr>
            <w:fldChar w:fldCharType="begin"/>
          </w:r>
          <w:r>
            <w:rPr>
              <w:rFonts w:ascii="Calibri" w:hAnsi="Calibri" w:eastAsia="Calibri" w:cs="Calibri"/>
              <w:szCs w:val="21"/>
            </w:rPr>
            <w:instrText xml:space="preserve"> HYPERLINK \l _Toc30410 </w:instrText>
          </w:r>
          <w:r>
            <w:rPr>
              <w:rFonts w:ascii="Calibri" w:hAnsi="Calibri" w:eastAsia="Calibri" w:cs="Calibri"/>
              <w:szCs w:val="21"/>
            </w:rPr>
            <w:fldChar w:fldCharType="separate"/>
          </w:r>
          <w:r>
            <w:rPr>
              <w:rFonts w:hint="default"/>
            </w:rPr>
            <w:t xml:space="preserve">4.5. </w:t>
          </w:r>
          <w:r>
            <w:t>服务台操作规程</w:t>
          </w:r>
          <w:r>
            <w:tab/>
          </w:r>
          <w:r>
            <w:fldChar w:fldCharType="begin"/>
          </w:r>
          <w:r>
            <w:instrText xml:space="preserve"> PAGEREF _Toc30410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Calibri" w:hAnsi="Calibri" w:eastAsia="Calibri" w:cs="Calibri"/>
              <w:szCs w:val="21"/>
            </w:rPr>
            <w:fldChar w:fldCharType="end"/>
          </w:r>
        </w:p>
        <w:p w14:paraId="032AB1A3">
          <w:pPr>
            <w:pStyle w:val="17"/>
            <w:keepNext w:val="0"/>
            <w:keepLines w:val="0"/>
            <w:pageBreakBefore w:val="0"/>
            <w:widowControl w:val="0"/>
            <w:tabs>
              <w:tab w:val="right" w:leader="dot" w:pos="8492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ascii="Calibri" w:hAnsi="Calibri" w:eastAsia="Calibri" w:cs="Calibri"/>
              <w:szCs w:val="21"/>
            </w:rPr>
            <w:fldChar w:fldCharType="begin"/>
          </w:r>
          <w:r>
            <w:rPr>
              <w:rFonts w:ascii="Calibri" w:hAnsi="Calibri" w:eastAsia="Calibri" w:cs="Calibri"/>
              <w:szCs w:val="21"/>
            </w:rPr>
            <w:instrText xml:space="preserve"> HYPERLINK \l _Toc26561 </w:instrText>
          </w:r>
          <w:r>
            <w:rPr>
              <w:rFonts w:ascii="Calibri" w:hAnsi="Calibri" w:eastAsia="Calibri" w:cs="Calibri"/>
              <w:szCs w:val="21"/>
            </w:rPr>
            <w:fldChar w:fldCharType="separate"/>
          </w:r>
          <w:r>
            <w:rPr>
              <w:rFonts w:hint="default"/>
            </w:rPr>
            <w:t xml:space="preserve">4.6. </w:t>
          </w:r>
          <w:r>
            <w:t>服务台绩效考核</w:t>
          </w:r>
          <w:r>
            <w:tab/>
          </w:r>
          <w:r>
            <w:fldChar w:fldCharType="begin"/>
          </w:r>
          <w:r>
            <w:instrText xml:space="preserve"> PAGEREF _Toc26561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ascii="Calibri" w:hAnsi="Calibri" w:eastAsia="Calibri" w:cs="Calibri"/>
              <w:szCs w:val="21"/>
            </w:rPr>
            <w:fldChar w:fldCharType="end"/>
          </w:r>
        </w:p>
        <w:p w14:paraId="4747651F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spacing w:line="220" w:lineRule="auto"/>
            <w:textAlignment w:val="baseline"/>
            <w:rPr>
              <w:rFonts w:ascii="Calibri" w:hAnsi="Calibri" w:eastAsia="Calibri" w:cs="Calibri"/>
              <w:snapToGrid w:val="0"/>
              <w:color w:val="000000"/>
              <w:kern w:val="0"/>
              <w:sz w:val="21"/>
              <w:szCs w:val="21"/>
              <w:lang w:val="en-US" w:eastAsia="en-US" w:bidi="ar-SA"/>
            </w:rPr>
          </w:pPr>
          <w:r>
            <w:rPr>
              <w:rFonts w:ascii="Calibri" w:hAnsi="Calibri" w:eastAsia="Calibri" w:cs="Calibri"/>
              <w:szCs w:val="21"/>
            </w:rPr>
            <w:fldChar w:fldCharType="end"/>
          </w:r>
        </w:p>
      </w:sdtContent>
    </w:sdt>
    <w:p w14:paraId="2CBE6BDE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20" w:lineRule="auto"/>
        <w:textAlignment w:val="baseline"/>
        <w:rPr>
          <w:rFonts w:ascii="Calibri" w:hAnsi="Calibri" w:eastAsia="Calibri" w:cs="Calibri"/>
          <w:snapToGrid w:val="0"/>
          <w:color w:val="000000"/>
          <w:kern w:val="0"/>
          <w:sz w:val="21"/>
          <w:szCs w:val="21"/>
          <w:lang w:val="en-US" w:eastAsia="en-US" w:bidi="ar-SA"/>
        </w:rPr>
        <w:sectPr>
          <w:footerReference r:id="rId7" w:type="default"/>
          <w:pgSz w:w="11906" w:h="16839"/>
          <w:pgMar w:top="1431" w:right="1710" w:bottom="1234" w:left="1704" w:header="0" w:footer="1070" w:gutter="0"/>
          <w:cols w:space="720" w:num="1"/>
        </w:sectPr>
      </w:pPr>
    </w:p>
    <w:p w14:paraId="1F59EFFF">
      <w:pPr>
        <w:pStyle w:val="26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3" w:name="_Toc7013"/>
      <w:r>
        <w:t>目的</w:t>
      </w:r>
      <w:bookmarkEnd w:id="3"/>
    </w:p>
    <w:p w14:paraId="46473F14">
      <w:pPr>
        <w:pStyle w:val="27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为了更好的为公司运维服务提供支持，规范公司服务台在发生事件和服务请求时的接收、识别、记录、分派和关闭的整个过程，特制定此管理制度。</w:t>
      </w:r>
    </w:p>
    <w:p w14:paraId="397E909E">
      <w:pPr>
        <w:pStyle w:val="26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4" w:name="_Toc25539"/>
      <w:r>
        <w:t>适用范围</w:t>
      </w:r>
      <w:bookmarkEnd w:id="4"/>
    </w:p>
    <w:p w14:paraId="7E0ED9AC">
      <w:pPr>
        <w:pStyle w:val="27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本制度适用于本公司运维服务部。</w:t>
      </w:r>
    </w:p>
    <w:p w14:paraId="04F49A13">
      <w:pPr>
        <w:pStyle w:val="26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5" w:name="_Toc21927"/>
      <w:r>
        <w:t>引用文件</w:t>
      </w:r>
      <w:bookmarkEnd w:id="5"/>
    </w:p>
    <w:p w14:paraId="5C6C6E3F">
      <w:pPr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79" w:line="220" w:lineRule="auto"/>
        <w:ind w:left="425" w:leftChars="0" w:hanging="425" w:firstLineChars="0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pacing w:val="-2"/>
          <w:sz w:val="24"/>
          <w:szCs w:val="24"/>
        </w:rPr>
        <w:t>T/CESA 1299—2023</w:t>
      </w:r>
      <w:r>
        <w:rPr>
          <w:rFonts w:ascii="宋体" w:hAnsi="宋体" w:eastAsia="宋体" w:cs="宋体"/>
          <w:spacing w:val="-2"/>
          <w:sz w:val="24"/>
          <w:szCs w:val="24"/>
        </w:rPr>
        <w:t xml:space="preserve"> 《信息技术服务 运行维护服务能力成熟度模型》</w:t>
      </w:r>
    </w:p>
    <w:p w14:paraId="2CEB31A9">
      <w:pPr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273" w:line="220" w:lineRule="auto"/>
        <w:ind w:left="425" w:leftChars="0" w:hanging="425" w:firstLineChars="0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1"/>
          <w:sz w:val="24"/>
          <w:szCs w:val="24"/>
        </w:rPr>
        <w:t xml:space="preserve">GB/T 28827.1-2022 </w:t>
      </w:r>
      <w:r>
        <w:rPr>
          <w:rFonts w:ascii="宋体" w:hAnsi="宋体" w:eastAsia="宋体" w:cs="宋体"/>
          <w:spacing w:val="-2"/>
          <w:sz w:val="24"/>
          <w:szCs w:val="24"/>
        </w:rPr>
        <w:t>《信息技术服务 运行维护 第</w:t>
      </w:r>
      <w:r>
        <w:rPr>
          <w:rFonts w:ascii="宋体" w:hAnsi="宋体" w:eastAsia="宋体" w:cs="宋体"/>
          <w:spacing w:val="-33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2"/>
          <w:sz w:val="24"/>
          <w:szCs w:val="24"/>
        </w:rPr>
        <w:t>1</w:t>
      </w:r>
      <w:r>
        <w:rPr>
          <w:rFonts w:ascii="宋体" w:hAnsi="宋体" w:eastAsia="宋体" w:cs="宋体"/>
          <w:spacing w:val="-47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2"/>
          <w:sz w:val="24"/>
          <w:szCs w:val="24"/>
        </w:rPr>
        <w:t>部分：通用要求》</w:t>
      </w:r>
    </w:p>
    <w:p w14:paraId="3A6C2399">
      <w:pPr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272" w:line="220" w:lineRule="auto"/>
        <w:ind w:left="425" w:leftChars="0" w:hanging="425" w:firstLineChars="0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1"/>
          <w:sz w:val="24"/>
          <w:szCs w:val="24"/>
        </w:rPr>
        <w:t>GB/T 29264-2012 《信息技术服务 分类与代码》</w:t>
      </w:r>
    </w:p>
    <w:p w14:paraId="6DDB7C97">
      <w:pPr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273" w:line="220" w:lineRule="auto"/>
        <w:ind w:left="425" w:leftChars="0" w:hanging="425" w:firstLineChars="0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1"/>
          <w:sz w:val="24"/>
          <w:szCs w:val="24"/>
        </w:rPr>
        <w:t>GB/T 28827.2-2012 《信息技术服务 运行维护 第</w:t>
      </w:r>
      <w:r>
        <w:rPr>
          <w:rFonts w:ascii="宋体" w:hAnsi="宋体" w:eastAsia="宋体" w:cs="宋体"/>
          <w:spacing w:val="-48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1"/>
          <w:sz w:val="24"/>
          <w:szCs w:val="24"/>
        </w:rPr>
        <w:t>2</w:t>
      </w:r>
      <w:r>
        <w:rPr>
          <w:rFonts w:ascii="宋体" w:hAnsi="宋体" w:eastAsia="宋体" w:cs="宋体"/>
          <w:spacing w:val="-47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1"/>
          <w:sz w:val="24"/>
          <w:szCs w:val="24"/>
        </w:rPr>
        <w:t>部分:</w:t>
      </w:r>
      <w:r>
        <w:rPr>
          <w:rFonts w:ascii="宋体" w:hAnsi="宋体" w:eastAsia="宋体" w:cs="宋体"/>
          <w:spacing w:val="-2"/>
          <w:sz w:val="24"/>
          <w:szCs w:val="24"/>
        </w:rPr>
        <w:t>交付规范》</w:t>
      </w:r>
    </w:p>
    <w:p w14:paraId="39EEC944">
      <w:pPr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273" w:line="220" w:lineRule="auto"/>
        <w:ind w:left="425" w:leftChars="0" w:hanging="425" w:firstLineChars="0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1"/>
          <w:sz w:val="24"/>
          <w:szCs w:val="24"/>
        </w:rPr>
        <w:t xml:space="preserve">GB/T 28827.3-2012 《信息技术服务 运行维护 </w:t>
      </w:r>
      <w:r>
        <w:rPr>
          <w:rFonts w:ascii="宋体" w:hAnsi="宋体" w:eastAsia="宋体" w:cs="宋体"/>
          <w:spacing w:val="-2"/>
          <w:sz w:val="24"/>
          <w:szCs w:val="24"/>
        </w:rPr>
        <w:t>第</w:t>
      </w:r>
      <w:r>
        <w:rPr>
          <w:rFonts w:ascii="宋体" w:hAnsi="宋体" w:eastAsia="宋体" w:cs="宋体"/>
          <w:spacing w:val="-46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2"/>
          <w:sz w:val="24"/>
          <w:szCs w:val="24"/>
        </w:rPr>
        <w:t>3</w:t>
      </w:r>
      <w:r>
        <w:rPr>
          <w:rFonts w:ascii="宋体" w:hAnsi="宋体" w:eastAsia="宋体" w:cs="宋体"/>
          <w:spacing w:val="-48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2"/>
          <w:sz w:val="24"/>
          <w:szCs w:val="24"/>
        </w:rPr>
        <w:t>部分:应急响应规范》</w:t>
      </w:r>
    </w:p>
    <w:p w14:paraId="6CC69594">
      <w:pPr>
        <w:pStyle w:val="26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6" w:name="_Toc31283"/>
      <w:r>
        <w:t>流程制度</w:t>
      </w:r>
      <w:bookmarkEnd w:id="6"/>
    </w:p>
    <w:p w14:paraId="308FA543">
      <w:pPr>
        <w:pStyle w:val="28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7" w:name="bookmark19"/>
      <w:bookmarkEnd w:id="7"/>
      <w:bookmarkStart w:id="8" w:name="_Toc19539"/>
      <w:r>
        <w:t>服务台流程图</w:t>
      </w:r>
      <w:bookmarkEnd w:id="8"/>
    </w:p>
    <w:p w14:paraId="585DCB60">
      <w:pPr>
        <w:pStyle w:val="27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0" w:leftChars="0" w:right="0" w:rightChars="0" w:firstLine="0" w:firstLineChars="0"/>
        <w:jc w:val="center"/>
        <w:textAlignment w:val="baseline"/>
      </w:pPr>
      <w:r>
        <w:drawing>
          <wp:inline distT="0" distB="0" distL="114300" distR="114300">
            <wp:extent cx="2760980" cy="3710940"/>
            <wp:effectExtent l="0" t="0" r="1270" b="381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60980" cy="3710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402CB7">
      <w:pPr>
        <w:pStyle w:val="28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9" w:name="_Toc19283"/>
      <w:r>
        <w:t>服务台管理流程的步骤</w:t>
      </w:r>
      <w:bookmarkEnd w:id="9"/>
    </w:p>
    <w:tbl>
      <w:tblPr>
        <w:tblStyle w:val="24"/>
        <w:tblW w:w="8295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492"/>
        <w:gridCol w:w="5803"/>
      </w:tblGrid>
      <w:tr w14:paraId="4164348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1" w:hRule="atLeast"/>
        </w:trPr>
        <w:tc>
          <w:tcPr>
            <w:tcW w:w="2492" w:type="dxa"/>
            <w:shd w:val="clear" w:color="auto" w:fill="B2B2B2"/>
          </w:tcPr>
          <w:p w14:paraId="68EFB1F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60" w:line="220" w:lineRule="auto"/>
              <w:ind w:left="773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项目名称</w:t>
            </w:r>
          </w:p>
        </w:tc>
        <w:tc>
          <w:tcPr>
            <w:tcW w:w="5803" w:type="dxa"/>
            <w:shd w:val="clear" w:color="auto" w:fill="B2B2B2"/>
          </w:tcPr>
          <w:p w14:paraId="565F6CB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9" w:line="220" w:lineRule="auto"/>
              <w:ind w:left="2694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0"/>
                <w:sz w:val="24"/>
                <w:szCs w:val="24"/>
              </w:rPr>
              <w:t>内容</w:t>
            </w:r>
          </w:p>
        </w:tc>
      </w:tr>
      <w:tr w14:paraId="17979CB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34" w:hRule="atLeast"/>
        </w:trPr>
        <w:tc>
          <w:tcPr>
            <w:tcW w:w="2492" w:type="dxa"/>
          </w:tcPr>
          <w:p w14:paraId="76FABC1B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65" w:lineRule="auto"/>
              <w:textAlignment w:val="baseline"/>
            </w:pPr>
          </w:p>
          <w:p w14:paraId="78148E2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78" w:line="220" w:lineRule="auto"/>
              <w:ind w:left="1009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事件</w:t>
            </w:r>
          </w:p>
        </w:tc>
        <w:tc>
          <w:tcPr>
            <w:tcW w:w="5803" w:type="dxa"/>
          </w:tcPr>
          <w:p w14:paraId="701EBE1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33" w:line="242" w:lineRule="auto"/>
              <w:ind w:left="112" w:hanging="1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通过接收热线电话，</w:t>
            </w:r>
            <w:r>
              <w:rPr>
                <w:rFonts w:ascii="Calibri" w:hAnsi="Calibri" w:eastAsia="Calibri" w:cs="Calibri"/>
                <w:spacing w:val="-2"/>
                <w:sz w:val="24"/>
                <w:szCs w:val="24"/>
              </w:rPr>
              <w:t>Email</w:t>
            </w:r>
            <w:r>
              <w:rPr>
                <w:rFonts w:ascii="Calibri" w:hAnsi="Calibri" w:eastAsia="Calibri" w:cs="Calibri"/>
                <w:spacing w:val="18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或其他方式得</w:t>
            </w: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到客户的服</w:t>
            </w:r>
            <w:r>
              <w:rPr>
                <w:rFonts w:ascii="宋体" w:hAnsi="宋体" w:eastAsia="宋体" w:cs="宋体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务请求，服务台收集相关信息受理进入事件处理流程。</w:t>
            </w:r>
          </w:p>
        </w:tc>
      </w:tr>
      <w:tr w14:paraId="59AC026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2" w:hRule="atLeast"/>
        </w:trPr>
        <w:tc>
          <w:tcPr>
            <w:tcW w:w="2492" w:type="dxa"/>
          </w:tcPr>
          <w:p w14:paraId="4C2FBD4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91" w:line="220" w:lineRule="auto"/>
              <w:ind w:left="652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分类，记录</w:t>
            </w:r>
          </w:p>
        </w:tc>
        <w:tc>
          <w:tcPr>
            <w:tcW w:w="5803" w:type="dxa"/>
          </w:tcPr>
          <w:p w14:paraId="2134A09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34" w:line="222" w:lineRule="auto"/>
              <w:ind w:left="111" w:right="170" w:hanging="1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接收到客户服务请求和问题，对问题进行分类，填写</w:t>
            </w:r>
            <w:r>
              <w:rPr>
                <w:rFonts w:ascii="宋体" w:hAnsi="宋体" w:eastAsia="宋体" w:cs="宋体"/>
                <w:spacing w:val="-10"/>
                <w:sz w:val="24"/>
                <w:szCs w:val="24"/>
              </w:rPr>
              <w:t>《服务信息记录单》。</w:t>
            </w:r>
          </w:p>
        </w:tc>
      </w:tr>
      <w:tr w14:paraId="0827689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2" w:hRule="atLeast"/>
        </w:trPr>
        <w:tc>
          <w:tcPr>
            <w:tcW w:w="2492" w:type="dxa"/>
          </w:tcPr>
          <w:p w14:paraId="0D587BF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93" w:line="220" w:lineRule="auto"/>
              <w:ind w:left="409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服务台人员处理</w:t>
            </w:r>
          </w:p>
        </w:tc>
        <w:tc>
          <w:tcPr>
            <w:tcW w:w="5803" w:type="dxa"/>
          </w:tcPr>
          <w:p w14:paraId="02FAD97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37" w:line="221" w:lineRule="auto"/>
              <w:ind w:left="113" w:right="170" w:hanging="4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将问题反馈到运维服务部，分派运维服务人员进行处</w:t>
            </w:r>
            <w:r>
              <w:rPr>
                <w:rFonts w:ascii="宋体" w:hAnsi="宋体" w:eastAsia="宋体" w:cs="宋体"/>
                <w:spacing w:val="-12"/>
                <w:sz w:val="24"/>
                <w:szCs w:val="24"/>
              </w:rPr>
              <w:t>理。</w:t>
            </w:r>
          </w:p>
        </w:tc>
      </w:tr>
      <w:tr w14:paraId="2B0B1BA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3" w:hRule="atLeast"/>
        </w:trPr>
        <w:tc>
          <w:tcPr>
            <w:tcW w:w="2492" w:type="dxa"/>
          </w:tcPr>
          <w:p w14:paraId="35D2D60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95" w:line="220" w:lineRule="auto"/>
              <w:ind w:left="174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处理完成，用户确认</w:t>
            </w:r>
          </w:p>
        </w:tc>
        <w:tc>
          <w:tcPr>
            <w:tcW w:w="5803" w:type="dxa"/>
          </w:tcPr>
          <w:p w14:paraId="1D4A6DF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95" w:line="220" w:lineRule="auto"/>
              <w:ind w:left="111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运维人员解决完问题经用户确认</w:t>
            </w:r>
          </w:p>
        </w:tc>
      </w:tr>
      <w:tr w14:paraId="672EE8E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3" w:hRule="atLeast"/>
        </w:trPr>
        <w:tc>
          <w:tcPr>
            <w:tcW w:w="2492" w:type="dxa"/>
          </w:tcPr>
          <w:p w14:paraId="3BC5A0C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96" w:line="220" w:lineRule="auto"/>
              <w:ind w:left="296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总结知识到知识库</w:t>
            </w:r>
          </w:p>
        </w:tc>
        <w:tc>
          <w:tcPr>
            <w:tcW w:w="5803" w:type="dxa"/>
          </w:tcPr>
          <w:p w14:paraId="3169415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96" w:line="220" w:lineRule="auto"/>
              <w:ind w:left="109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将问题排查和解决方法分析总结后归纳到知识库</w:t>
            </w:r>
          </w:p>
        </w:tc>
      </w:tr>
      <w:tr w14:paraId="1C80F55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7" w:hRule="atLeast"/>
        </w:trPr>
        <w:tc>
          <w:tcPr>
            <w:tcW w:w="2492" w:type="dxa"/>
          </w:tcPr>
          <w:p w14:paraId="7BA8DB8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98" w:line="220" w:lineRule="auto"/>
              <w:ind w:left="1013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关闭</w:t>
            </w:r>
          </w:p>
        </w:tc>
        <w:tc>
          <w:tcPr>
            <w:tcW w:w="5803" w:type="dxa"/>
          </w:tcPr>
          <w:p w14:paraId="47DEC7C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97" w:line="220" w:lineRule="auto"/>
              <w:ind w:left="113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完成此条服务，结束</w:t>
            </w:r>
          </w:p>
        </w:tc>
      </w:tr>
    </w:tbl>
    <w:p w14:paraId="1697AF16">
      <w:pPr>
        <w:pStyle w:val="28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10" w:name="_Toc4133"/>
      <w:r>
        <w:t>服务台沟通渠道</w:t>
      </w:r>
      <w:bookmarkEnd w:id="10"/>
    </w:p>
    <w:p w14:paraId="04A282B6">
      <w:pPr>
        <w:pStyle w:val="27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包括：</w:t>
      </w:r>
    </w:p>
    <w:p w14:paraId="4A608F97">
      <w:pPr>
        <w:pStyle w:val="27"/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</w:pPr>
      <w:r>
        <w:t>电子邮件(E-mail):</w:t>
      </w:r>
      <w:r>
        <w:rPr>
          <w:rFonts w:hint="eastAsia"/>
          <w:lang w:val="en-US" w:eastAsia="zh-CN"/>
        </w:rPr>
        <w:t>zhengy@jsyunchu.com</w:t>
      </w:r>
    </w:p>
    <w:p w14:paraId="1C05A3A6">
      <w:pPr>
        <w:pStyle w:val="27"/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t>电话:</w:t>
      </w:r>
      <w:r>
        <w:rPr>
          <w:rFonts w:hint="eastAsia"/>
          <w:lang w:val="en-US" w:eastAsia="zh-CN"/>
        </w:rPr>
        <w:t>17705146873</w:t>
      </w:r>
    </w:p>
    <w:p w14:paraId="4DCEAFDF">
      <w:pPr>
        <w:pStyle w:val="27"/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</w:pPr>
      <w:r>
        <w:t>将呼叫请求转发到移动电话、便携式电脑和掌上型电脑的技术。</w:t>
      </w:r>
    </w:p>
    <w:p w14:paraId="610D595C">
      <w:pPr>
        <w:pStyle w:val="28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11" w:name="_Toc22126"/>
      <w:r>
        <w:t>服务台职责</w:t>
      </w:r>
      <w:bookmarkEnd w:id="11"/>
    </w:p>
    <w:p w14:paraId="662E0117">
      <w:pPr>
        <w:keepNext w:val="0"/>
        <w:keepLines w:val="0"/>
        <w:pageBreakBefore w:val="0"/>
        <w:widowControl w:val="0"/>
        <w:numPr>
          <w:ilvl w:val="0"/>
          <w:numId w:val="4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79" w:line="220" w:lineRule="auto"/>
        <w:ind w:left="425" w:leftChars="0" w:hanging="425" w:firstLineChars="0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6"/>
          <w:sz w:val="24"/>
          <w:szCs w:val="24"/>
        </w:rPr>
        <w:t>保持</w:t>
      </w:r>
      <w:r>
        <w:rPr>
          <w:rFonts w:ascii="宋体" w:hAnsi="宋体" w:eastAsia="宋体" w:cs="宋体"/>
          <w:spacing w:val="-44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6"/>
          <w:sz w:val="24"/>
          <w:szCs w:val="24"/>
        </w:rPr>
        <w:t>7*24</w:t>
      </w:r>
      <w:r>
        <w:rPr>
          <w:rFonts w:ascii="宋体" w:hAnsi="宋体" w:eastAsia="宋体" w:cs="宋体"/>
          <w:spacing w:val="-44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6"/>
          <w:sz w:val="24"/>
          <w:szCs w:val="24"/>
        </w:rPr>
        <w:t>小时电话畅通状态；</w:t>
      </w:r>
    </w:p>
    <w:p w14:paraId="31FF2351">
      <w:pPr>
        <w:keepNext w:val="0"/>
        <w:keepLines w:val="0"/>
        <w:pageBreakBefore w:val="0"/>
        <w:widowControl w:val="0"/>
        <w:numPr>
          <w:ilvl w:val="0"/>
          <w:numId w:val="4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82" w:line="220" w:lineRule="auto"/>
        <w:ind w:left="425" w:leftChars="0" w:hanging="425" w:firstLineChars="0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5"/>
          <w:sz w:val="24"/>
          <w:szCs w:val="24"/>
        </w:rPr>
        <w:t>接受客户请求（可以通过电话、电子邮件和传真等</w:t>
      </w:r>
      <w:r>
        <w:rPr>
          <w:rFonts w:ascii="宋体" w:hAnsi="宋体" w:eastAsia="宋体" w:cs="宋体"/>
          <w:spacing w:val="5"/>
          <w:sz w:val="24"/>
          <w:szCs w:val="24"/>
        </w:rPr>
        <w:t>）；</w:t>
      </w:r>
    </w:p>
    <w:p w14:paraId="105D5ED7">
      <w:pPr>
        <w:keepNext w:val="0"/>
        <w:keepLines w:val="0"/>
        <w:pageBreakBefore w:val="0"/>
        <w:widowControl w:val="0"/>
        <w:numPr>
          <w:ilvl w:val="0"/>
          <w:numId w:val="4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82" w:line="220" w:lineRule="auto"/>
        <w:ind w:left="425" w:leftChars="0" w:hanging="425" w:firstLineChars="0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6"/>
          <w:sz w:val="24"/>
          <w:szCs w:val="24"/>
        </w:rPr>
        <w:t>快速响应客户事件（包括服务请求</w:t>
      </w:r>
      <w:r>
        <w:rPr>
          <w:rFonts w:ascii="宋体" w:hAnsi="宋体" w:eastAsia="宋体" w:cs="宋体"/>
          <w:spacing w:val="-4"/>
          <w:sz w:val="24"/>
          <w:szCs w:val="24"/>
        </w:rPr>
        <w:t>），</w:t>
      </w:r>
      <w:r>
        <w:rPr>
          <w:rFonts w:ascii="宋体" w:hAnsi="宋体" w:eastAsia="宋体" w:cs="宋体"/>
          <w:spacing w:val="-6"/>
          <w:sz w:val="24"/>
          <w:szCs w:val="24"/>
        </w:rPr>
        <w:t>记录客户联系方式等相关信息，</w:t>
      </w:r>
    </w:p>
    <w:p w14:paraId="19FFBCA9">
      <w:pPr>
        <w:keepNext w:val="0"/>
        <w:keepLines w:val="0"/>
        <w:pageBreakBefore w:val="0"/>
        <w:widowControl w:val="0"/>
        <w:numPr>
          <w:ilvl w:val="0"/>
          <w:numId w:val="4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92" w:line="289" w:lineRule="auto"/>
        <w:ind w:left="425" w:leftChars="0" w:right="40" w:hanging="425" w:firstLineChars="0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1"/>
          <w:sz w:val="24"/>
          <w:szCs w:val="24"/>
        </w:rPr>
        <w:t>并将信息及时传递给业务部门运维联络人员，如联络人员联系不上，则</w:t>
      </w:r>
      <w:r>
        <w:rPr>
          <w:rFonts w:ascii="宋体" w:hAnsi="宋体" w:eastAsia="宋体" w:cs="宋体"/>
          <w:spacing w:val="-2"/>
          <w:sz w:val="24"/>
          <w:szCs w:val="24"/>
        </w:rPr>
        <w:t>根据部门提供的名单，逐级向上联系，及时反映情况，不可懈怠。</w:t>
      </w:r>
    </w:p>
    <w:p w14:paraId="7631B24F">
      <w:pPr>
        <w:keepNext w:val="0"/>
        <w:keepLines w:val="0"/>
        <w:pageBreakBefore w:val="0"/>
        <w:widowControl w:val="0"/>
        <w:numPr>
          <w:ilvl w:val="0"/>
          <w:numId w:val="4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74" w:line="220" w:lineRule="auto"/>
        <w:ind w:left="425" w:leftChars="0" w:hanging="425" w:firstLineChars="0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4"/>
          <w:sz w:val="24"/>
          <w:szCs w:val="24"/>
        </w:rPr>
        <w:t>及时通知客户其请求的当前状况和最新进展；</w:t>
      </w:r>
    </w:p>
    <w:p w14:paraId="267AB4F7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16" w:line="293" w:lineRule="auto"/>
        <w:ind w:left="867" w:right="40" w:hanging="413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根据服务级别协议，初步评估客户请求，尽力</w:t>
      </w:r>
      <w:r>
        <w:rPr>
          <w:rFonts w:ascii="宋体" w:hAnsi="宋体" w:eastAsia="宋体" w:cs="宋体"/>
          <w:spacing w:val="-1"/>
          <w:sz w:val="24"/>
          <w:szCs w:val="24"/>
        </w:rPr>
        <w:t>解决它们或将其安排给有</w:t>
      </w:r>
      <w:r>
        <w:rPr>
          <w:rFonts w:ascii="宋体" w:hAnsi="宋体" w:eastAsia="宋体" w:cs="宋体"/>
          <w:spacing w:val="-10"/>
          <w:sz w:val="24"/>
          <w:szCs w:val="24"/>
        </w:rPr>
        <w:t>关人员解决；</w:t>
      </w:r>
    </w:p>
    <w:p w14:paraId="0CBAC7B0">
      <w:pPr>
        <w:keepNext w:val="0"/>
        <w:keepLines w:val="0"/>
        <w:pageBreakBefore w:val="0"/>
        <w:widowControl w:val="0"/>
        <w:numPr>
          <w:ilvl w:val="0"/>
          <w:numId w:val="4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74" w:line="293" w:lineRule="auto"/>
        <w:ind w:left="425" w:leftChars="0" w:right="40" w:hanging="425" w:firstLineChars="0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根据服务级别协议的要求，监督规章制度的执</w:t>
      </w:r>
      <w:r>
        <w:rPr>
          <w:rFonts w:ascii="宋体" w:hAnsi="宋体" w:eastAsia="宋体" w:cs="宋体"/>
          <w:spacing w:val="-1"/>
          <w:sz w:val="24"/>
          <w:szCs w:val="24"/>
        </w:rPr>
        <w:t>行情况并在必要时对其进</w:t>
      </w:r>
      <w:r>
        <w:rPr>
          <w:rFonts w:ascii="宋体" w:hAnsi="宋体" w:eastAsia="宋体" w:cs="宋体"/>
          <w:spacing w:val="-14"/>
          <w:sz w:val="24"/>
          <w:szCs w:val="24"/>
        </w:rPr>
        <w:t>行修改；</w:t>
      </w:r>
    </w:p>
    <w:p w14:paraId="66B65BEC">
      <w:pPr>
        <w:keepNext w:val="0"/>
        <w:keepLines w:val="0"/>
        <w:pageBreakBefore w:val="0"/>
        <w:widowControl w:val="0"/>
        <w:numPr>
          <w:ilvl w:val="0"/>
          <w:numId w:val="4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73" w:line="220" w:lineRule="auto"/>
        <w:ind w:left="425" w:leftChars="0" w:hanging="425" w:firstLineChars="0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3"/>
          <w:sz w:val="24"/>
          <w:szCs w:val="24"/>
        </w:rPr>
        <w:t>对客户请求从提出直至终止和验证的整个过程进行管理；</w:t>
      </w:r>
    </w:p>
    <w:p w14:paraId="5C279CFF">
      <w:pPr>
        <w:keepNext w:val="0"/>
        <w:keepLines w:val="0"/>
        <w:pageBreakBefore w:val="0"/>
        <w:widowControl w:val="0"/>
        <w:numPr>
          <w:ilvl w:val="0"/>
          <w:numId w:val="4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82" w:line="220" w:lineRule="auto"/>
        <w:ind w:left="425" w:leftChars="0" w:hanging="425" w:firstLineChars="0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3"/>
          <w:sz w:val="24"/>
          <w:szCs w:val="24"/>
        </w:rPr>
        <w:t>在需要短期内调整服务级别时及时与客户沟通；</w:t>
      </w:r>
    </w:p>
    <w:p w14:paraId="7D44F77D">
      <w:pPr>
        <w:keepNext w:val="0"/>
        <w:keepLines w:val="0"/>
        <w:pageBreakBefore w:val="0"/>
        <w:widowControl w:val="0"/>
        <w:numPr>
          <w:ilvl w:val="0"/>
          <w:numId w:val="4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82" w:line="220" w:lineRule="auto"/>
        <w:ind w:left="425" w:leftChars="0" w:hanging="425" w:firstLineChars="0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4"/>
          <w:sz w:val="24"/>
          <w:szCs w:val="24"/>
        </w:rPr>
        <w:t>提供管理方面的信息和建议以改进服务品质；</w:t>
      </w:r>
    </w:p>
    <w:p w14:paraId="1372817F">
      <w:pPr>
        <w:keepNext w:val="0"/>
        <w:keepLines w:val="0"/>
        <w:pageBreakBefore w:val="0"/>
        <w:widowControl w:val="0"/>
        <w:numPr>
          <w:ilvl w:val="0"/>
          <w:numId w:val="4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81" w:line="220" w:lineRule="auto"/>
        <w:ind w:left="425" w:leftChars="0" w:hanging="425" w:firstLineChars="0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5"/>
          <w:sz w:val="24"/>
          <w:szCs w:val="24"/>
        </w:rPr>
        <w:t>根据用户的反馈发现</w:t>
      </w:r>
      <w:r>
        <w:rPr>
          <w:rFonts w:ascii="宋体" w:hAnsi="宋体" w:eastAsia="宋体" w:cs="宋体"/>
          <w:spacing w:val="-38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5"/>
          <w:sz w:val="24"/>
          <w:szCs w:val="24"/>
        </w:rPr>
        <w:t>IT</w:t>
      </w:r>
      <w:r>
        <w:rPr>
          <w:rFonts w:ascii="宋体" w:hAnsi="宋体" w:eastAsia="宋体" w:cs="宋体"/>
          <w:spacing w:val="-50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5"/>
          <w:sz w:val="24"/>
          <w:szCs w:val="24"/>
        </w:rPr>
        <w:t>服务运作中产生的问题；</w:t>
      </w:r>
    </w:p>
    <w:p w14:paraId="39EA115E">
      <w:pPr>
        <w:keepNext w:val="0"/>
        <w:keepLines w:val="0"/>
        <w:pageBreakBefore w:val="0"/>
        <w:widowControl w:val="0"/>
        <w:numPr>
          <w:ilvl w:val="0"/>
          <w:numId w:val="4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82" w:line="220" w:lineRule="auto"/>
        <w:ind w:left="425" w:leftChars="0" w:hanging="425" w:firstLineChars="0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4"/>
          <w:sz w:val="24"/>
          <w:szCs w:val="24"/>
        </w:rPr>
        <w:t>终止事故并与客户一道确认事故的解决情况；</w:t>
      </w:r>
    </w:p>
    <w:p w14:paraId="356C6AA3">
      <w:pPr>
        <w:keepNext w:val="0"/>
        <w:keepLines w:val="0"/>
        <w:pageBreakBefore w:val="0"/>
        <w:widowControl w:val="0"/>
        <w:numPr>
          <w:ilvl w:val="0"/>
          <w:numId w:val="4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81" w:line="220" w:lineRule="auto"/>
        <w:ind w:left="425" w:leftChars="0" w:hanging="425" w:firstLineChars="0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5"/>
          <w:sz w:val="24"/>
          <w:szCs w:val="24"/>
        </w:rPr>
        <w:t>需使用服务台标准用语与客户进行沟通；</w:t>
      </w:r>
    </w:p>
    <w:p w14:paraId="074FA6A5">
      <w:pPr>
        <w:keepNext w:val="0"/>
        <w:keepLines w:val="0"/>
        <w:pageBreakBefore w:val="0"/>
        <w:widowControl w:val="0"/>
        <w:numPr>
          <w:ilvl w:val="0"/>
          <w:numId w:val="4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82" w:line="220" w:lineRule="auto"/>
        <w:ind w:left="425" w:leftChars="0" w:hanging="425" w:firstLineChars="0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4"/>
          <w:sz w:val="24"/>
          <w:szCs w:val="24"/>
        </w:rPr>
        <w:t>不能与客户有过激的语言冲突。</w:t>
      </w:r>
    </w:p>
    <w:p w14:paraId="256474E2">
      <w:pPr>
        <w:pStyle w:val="28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12" w:name="_Toc30410"/>
      <w:r>
        <w:t>服务台操作规程</w:t>
      </w:r>
      <w:bookmarkEnd w:id="12"/>
    </w:p>
    <w:p w14:paraId="0DF97779">
      <w:pPr>
        <w:pStyle w:val="41"/>
        <w:keepNext w:val="0"/>
        <w:keepLines w:val="0"/>
        <w:pageBreakBefore w:val="0"/>
        <w:widowControl w:val="0"/>
        <w:numPr>
          <w:ilvl w:val="0"/>
          <w:numId w:val="5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</w:pPr>
      <w:r>
        <w:t>受理及记录</w:t>
      </w:r>
    </w:p>
    <w:p w14:paraId="2CC74A26">
      <w:pPr>
        <w:pStyle w:val="27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事件通过用户打电话进来,或通过邮件，所有事件记录进《信息服务记录单》中，并在运维服务管理系统进行事件发起。</w:t>
      </w:r>
    </w:p>
    <w:p w14:paraId="1BC2C72E">
      <w:pPr>
        <w:pStyle w:val="41"/>
        <w:keepNext w:val="0"/>
        <w:keepLines w:val="0"/>
        <w:pageBreakBefore w:val="0"/>
        <w:widowControl w:val="0"/>
        <w:numPr>
          <w:ilvl w:val="0"/>
          <w:numId w:val="5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</w:pPr>
      <w:r>
        <w:t>判断并分派</w:t>
      </w:r>
    </w:p>
    <w:p w14:paraId="34571E2A">
      <w:pPr>
        <w:pStyle w:val="27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确定是事件（包括服务请求）还是申述。如果是服务请求，依照服</w:t>
      </w:r>
    </w:p>
    <w:p w14:paraId="6D3A76B2">
      <w:pPr>
        <w:pStyle w:val="27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务请求流程; 如果是申述,依照申述流程,如不是,进行事件的影响、收集信息等，尝试解决问题。</w:t>
      </w:r>
    </w:p>
    <w:p w14:paraId="51BB8350">
      <w:pPr>
        <w:pStyle w:val="41"/>
        <w:keepNext w:val="0"/>
        <w:keepLines w:val="0"/>
        <w:pageBreakBefore w:val="0"/>
        <w:widowControl w:val="0"/>
        <w:numPr>
          <w:ilvl w:val="0"/>
          <w:numId w:val="5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</w:pPr>
      <w:r>
        <w:t>判断是否已解决</w:t>
      </w:r>
    </w:p>
    <w:p w14:paraId="47B87A1C">
      <w:pPr>
        <w:pStyle w:val="27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确定问题是否已解决,如解决,由服务台确认,如非,继续诊断。</w:t>
      </w:r>
    </w:p>
    <w:p w14:paraId="61E7D384">
      <w:pPr>
        <w:pStyle w:val="41"/>
        <w:keepNext w:val="0"/>
        <w:keepLines w:val="0"/>
        <w:pageBreakBefore w:val="0"/>
        <w:widowControl w:val="0"/>
        <w:numPr>
          <w:ilvl w:val="0"/>
          <w:numId w:val="5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</w:pPr>
      <w:r>
        <w:t>事件升级</w:t>
      </w:r>
    </w:p>
    <w:p w14:paraId="4CCCBB0F">
      <w:pPr>
        <w:pStyle w:val="27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如果某一事件不能在规定的时间内由服务台（一线支持）解决，那么更多有经验的人员和有更高权限的人员将参与进来，需注意的是需要沟通，了解事件计划多长时间解决，并将事件升级的状况及时反馈给客户评价。</w:t>
      </w:r>
    </w:p>
    <w:p w14:paraId="1DFD85A4">
      <w:pPr>
        <w:pStyle w:val="41"/>
        <w:keepNext w:val="0"/>
        <w:keepLines w:val="0"/>
        <w:pageBreakBefore w:val="0"/>
        <w:widowControl w:val="0"/>
        <w:numPr>
          <w:ilvl w:val="0"/>
          <w:numId w:val="5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</w:pPr>
      <w:r>
        <w:t>调查和诊断</w:t>
      </w:r>
    </w:p>
    <w:p w14:paraId="3196425C">
      <w:pPr>
        <w:pStyle w:val="27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技术支持人员利用自身技能和相关工具，力图在规定的时间内提出解决方案,尝试解决事件。</w:t>
      </w:r>
    </w:p>
    <w:p w14:paraId="4836A60D">
      <w:pPr>
        <w:pStyle w:val="41"/>
        <w:keepNext w:val="0"/>
        <w:keepLines w:val="0"/>
        <w:pageBreakBefore w:val="0"/>
        <w:widowControl w:val="0"/>
        <w:numPr>
          <w:ilvl w:val="0"/>
          <w:numId w:val="5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</w:pPr>
      <w:r>
        <w:t>服务台确认</w:t>
      </w:r>
    </w:p>
    <w:p w14:paraId="2924E660">
      <w:pPr>
        <w:pStyle w:val="27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对事件的解决方案进行确认,如未解决,根据情况采取相应动作。</w:t>
      </w:r>
    </w:p>
    <w:p w14:paraId="14F3A531">
      <w:pPr>
        <w:pStyle w:val="41"/>
        <w:keepNext w:val="0"/>
        <w:keepLines w:val="0"/>
        <w:pageBreakBefore w:val="0"/>
        <w:widowControl w:val="0"/>
        <w:numPr>
          <w:ilvl w:val="0"/>
          <w:numId w:val="5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</w:pPr>
      <w:r>
        <w:t>结束</w:t>
      </w:r>
    </w:p>
    <w:p w14:paraId="2582C083">
      <w:pPr>
        <w:pStyle w:val="27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如果确认已解决，关闭记录，更新文档; 必要时进行回顾。</w:t>
      </w:r>
    </w:p>
    <w:p w14:paraId="27011964">
      <w:pPr>
        <w:pStyle w:val="41"/>
        <w:keepNext w:val="0"/>
        <w:keepLines w:val="0"/>
        <w:pageBreakBefore w:val="0"/>
        <w:widowControl w:val="0"/>
        <w:numPr>
          <w:ilvl w:val="0"/>
          <w:numId w:val="5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</w:pPr>
      <w:r>
        <w:t>定期产生报表</w:t>
      </w:r>
    </w:p>
    <w:p w14:paraId="03252DC3">
      <w:pPr>
        <w:pStyle w:val="27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事件支持人员将根据管理要求定期产生相关报表。总结常见问题及解决办法和应对措施，分析用户行为习惯和知识技能实现对运维工作的决策支持和优化。</w:t>
      </w:r>
    </w:p>
    <w:p w14:paraId="6450B04F">
      <w:pPr>
        <w:pStyle w:val="28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13" w:name="_Toc26561"/>
      <w:r>
        <w:t>服务台绩效考核</w:t>
      </w:r>
      <w:bookmarkEnd w:id="13"/>
    </w:p>
    <w:tbl>
      <w:tblPr>
        <w:tblStyle w:val="24"/>
        <w:tblW w:w="9797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77"/>
        <w:gridCol w:w="2697"/>
        <w:gridCol w:w="4152"/>
        <w:gridCol w:w="1161"/>
        <w:gridCol w:w="1010"/>
      </w:tblGrid>
      <w:tr w14:paraId="4C6F733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1" w:hRule="atLeast"/>
          <w:jc w:val="center"/>
        </w:trPr>
        <w:tc>
          <w:tcPr>
            <w:tcW w:w="777" w:type="dxa"/>
            <w:shd w:val="clear" w:color="auto" w:fill="C0C0C0"/>
            <w:vAlign w:val="center"/>
          </w:tcPr>
          <w:p w14:paraId="1B701DE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05" w:line="221" w:lineRule="auto"/>
              <w:ind w:left="195" w:leftChars="0"/>
              <w:textAlignment w:val="baseline"/>
              <w:rPr>
                <w:rFonts w:hint="eastAsia" w:ascii="宋体" w:hAnsi="宋体" w:eastAsia="宋体" w:cs="宋体"/>
                <w:b/>
                <w:bCs/>
                <w:snapToGrid w:val="0"/>
                <w:color w:val="000000"/>
                <w:spacing w:val="-7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ascii="宋体" w:hAnsi="宋体" w:eastAsia="宋体" w:cs="宋体"/>
                <w:b/>
                <w:bCs/>
                <w:spacing w:val="-7"/>
                <w:sz w:val="24"/>
                <w:szCs w:val="24"/>
              </w:rPr>
              <w:t>序号</w:t>
            </w:r>
          </w:p>
        </w:tc>
        <w:tc>
          <w:tcPr>
            <w:tcW w:w="2697" w:type="dxa"/>
            <w:shd w:val="clear" w:color="auto" w:fill="C0C0C0"/>
            <w:vAlign w:val="center"/>
          </w:tcPr>
          <w:p w14:paraId="7EB1C0C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05" w:line="221" w:lineRule="auto"/>
              <w:ind w:left="195" w:leftChars="0"/>
              <w:textAlignment w:val="baseline"/>
              <w:rPr>
                <w:rFonts w:hint="default" w:ascii="宋体" w:hAnsi="宋体" w:eastAsia="宋体" w:cs="宋体"/>
                <w:b/>
                <w:bCs/>
                <w:snapToGrid w:val="0"/>
                <w:color w:val="000000"/>
                <w:spacing w:val="-7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ascii="宋体" w:hAnsi="宋体" w:eastAsia="宋体" w:cs="宋体"/>
                <w:b/>
                <w:bCs/>
                <w:spacing w:val="-7"/>
                <w:sz w:val="24"/>
                <w:szCs w:val="24"/>
              </w:rPr>
              <w:t>衡量指标</w:t>
            </w:r>
          </w:p>
        </w:tc>
        <w:tc>
          <w:tcPr>
            <w:tcW w:w="4152" w:type="dxa"/>
            <w:shd w:val="clear" w:color="auto" w:fill="C0C0C0"/>
            <w:vAlign w:val="center"/>
          </w:tcPr>
          <w:p w14:paraId="4E8D08B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05" w:line="221" w:lineRule="auto"/>
              <w:ind w:left="195" w:leftChars="0"/>
              <w:textAlignment w:val="baseline"/>
              <w:rPr>
                <w:rFonts w:hint="eastAsia" w:ascii="宋体" w:hAnsi="宋体" w:eastAsia="宋体" w:cs="宋体"/>
                <w:b/>
                <w:bCs/>
                <w:snapToGrid w:val="0"/>
                <w:color w:val="000000"/>
                <w:spacing w:val="-7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ascii="宋体" w:hAnsi="宋体" w:eastAsia="宋体" w:cs="宋体"/>
                <w:b/>
                <w:bCs/>
                <w:spacing w:val="-7"/>
                <w:sz w:val="24"/>
                <w:szCs w:val="24"/>
              </w:rPr>
              <w:t>指标计算说明</w:t>
            </w:r>
          </w:p>
        </w:tc>
        <w:tc>
          <w:tcPr>
            <w:tcW w:w="1161" w:type="dxa"/>
            <w:shd w:val="clear" w:color="auto" w:fill="C0C0C0"/>
            <w:vAlign w:val="center"/>
          </w:tcPr>
          <w:p w14:paraId="3F2361B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05" w:line="221" w:lineRule="auto"/>
              <w:ind w:left="195" w:leftChars="0"/>
              <w:textAlignment w:val="baseline"/>
              <w:rPr>
                <w:rFonts w:hint="eastAsia" w:ascii="宋体" w:hAnsi="宋体" w:eastAsia="宋体" w:cs="宋体"/>
                <w:b/>
                <w:bCs/>
                <w:snapToGrid w:val="0"/>
                <w:color w:val="000000"/>
                <w:spacing w:val="-7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bCs/>
                <w:spacing w:val="-7"/>
                <w:sz w:val="24"/>
                <w:szCs w:val="24"/>
                <w:lang w:val="en-US" w:eastAsia="zh-CN"/>
              </w:rPr>
              <w:t>考核频次</w:t>
            </w:r>
          </w:p>
        </w:tc>
        <w:tc>
          <w:tcPr>
            <w:tcW w:w="1010" w:type="dxa"/>
            <w:shd w:val="clear" w:color="auto" w:fill="C0C0C0"/>
            <w:vAlign w:val="center"/>
          </w:tcPr>
          <w:p w14:paraId="185517A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05" w:line="221" w:lineRule="auto"/>
              <w:ind w:left="195" w:leftChars="0"/>
              <w:textAlignment w:val="baseline"/>
              <w:rPr>
                <w:rFonts w:hint="default" w:ascii="宋体" w:hAnsi="宋体" w:eastAsia="宋体" w:cs="宋体"/>
                <w:b/>
                <w:bCs/>
                <w:snapToGrid w:val="0"/>
                <w:color w:val="000000"/>
                <w:spacing w:val="-7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cs="宋体"/>
                <w:b/>
                <w:bCs/>
                <w:spacing w:val="-7"/>
                <w:sz w:val="24"/>
                <w:szCs w:val="24"/>
                <w:lang w:val="en-US" w:eastAsia="zh-CN"/>
              </w:rPr>
              <w:t>目标值</w:t>
            </w:r>
          </w:p>
        </w:tc>
      </w:tr>
      <w:tr w14:paraId="3D56BD0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1" w:hRule="atLeast"/>
          <w:jc w:val="center"/>
        </w:trPr>
        <w:tc>
          <w:tcPr>
            <w:tcW w:w="777" w:type="dxa"/>
            <w:vAlign w:val="center"/>
          </w:tcPr>
          <w:p w14:paraId="3B6E98AB">
            <w:pPr>
              <w:pStyle w:val="4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</w:t>
            </w:r>
          </w:p>
        </w:tc>
        <w:tc>
          <w:tcPr>
            <w:tcW w:w="2697" w:type="dxa"/>
            <w:vAlign w:val="center"/>
          </w:tcPr>
          <w:p w14:paraId="2DD25E3E">
            <w:pPr>
              <w:pStyle w:val="4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szCs w:val="24"/>
              </w:rPr>
            </w:pPr>
            <w:r>
              <w:t>服务台录入事件的完整性</w:t>
            </w:r>
          </w:p>
        </w:tc>
        <w:tc>
          <w:tcPr>
            <w:tcW w:w="4152" w:type="dxa"/>
            <w:vAlign w:val="center"/>
          </w:tcPr>
          <w:p w14:paraId="72274268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72" w:line="220" w:lineRule="auto"/>
              <w:ind w:left="100"/>
              <w:textAlignment w:val="baseline"/>
              <w:rPr>
                <w:sz w:val="24"/>
                <w:szCs w:val="24"/>
              </w:rPr>
            </w:pPr>
            <w:r>
              <w:rPr>
                <w:spacing w:val="1"/>
                <w:sz w:val="24"/>
                <w:szCs w:val="24"/>
              </w:rPr>
              <w:t>1-（不完整事件数/总事件数）</w:t>
            </w:r>
            <w:r>
              <w:rPr>
                <w:spacing w:val="-2"/>
                <w:sz w:val="24"/>
                <w:szCs w:val="24"/>
              </w:rPr>
              <w:t>*100%</w:t>
            </w:r>
          </w:p>
        </w:tc>
        <w:tc>
          <w:tcPr>
            <w:tcW w:w="1161" w:type="dxa"/>
            <w:vAlign w:val="center"/>
          </w:tcPr>
          <w:p w14:paraId="198F7B68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35" w:line="220" w:lineRule="auto"/>
              <w:ind w:left="231" w:leftChars="0"/>
              <w:textAlignment w:val="baseline"/>
              <w:rPr>
                <w:sz w:val="24"/>
                <w:szCs w:val="24"/>
              </w:rPr>
            </w:pPr>
            <w:r>
              <w:rPr>
                <w:spacing w:val="-2"/>
                <w:sz w:val="24"/>
                <w:szCs w:val="24"/>
              </w:rPr>
              <w:t>按季度</w:t>
            </w:r>
          </w:p>
        </w:tc>
        <w:tc>
          <w:tcPr>
            <w:tcW w:w="1010" w:type="dxa"/>
            <w:vAlign w:val="center"/>
          </w:tcPr>
          <w:p w14:paraId="1110C160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35" w:line="220" w:lineRule="auto"/>
              <w:ind w:left="231" w:leftChars="0"/>
              <w:textAlignment w:val="baseline"/>
              <w:rPr>
                <w:rFonts w:hint="default" w:eastAsia="宋体"/>
                <w:spacing w:val="-2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pacing w:val="-2"/>
                <w:sz w:val="24"/>
                <w:szCs w:val="24"/>
                <w:lang w:val="en-US" w:eastAsia="zh-CN"/>
              </w:rPr>
              <w:t>≥95%</w:t>
            </w:r>
          </w:p>
        </w:tc>
      </w:tr>
    </w:tbl>
    <w:p w14:paraId="1B484CAD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89" w:line="362" w:lineRule="auto"/>
        <w:ind w:left="668" w:right="237" w:firstLine="478"/>
        <w:textAlignment w:val="baseline"/>
        <w:rPr>
          <w:rFonts w:ascii="宋体" w:hAnsi="宋体" w:eastAsia="宋体" w:cs="宋体"/>
          <w:sz w:val="24"/>
          <w:szCs w:val="24"/>
        </w:rPr>
      </w:pPr>
    </w:p>
    <w:sectPr>
      <w:footerReference r:id="rId8" w:type="default"/>
      <w:pgSz w:w="11906" w:h="16839"/>
      <w:pgMar w:top="1431" w:right="1785" w:bottom="1373" w:left="1785" w:header="0" w:footer="1211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D673648">
    <w:pPr>
      <w:spacing w:line="167" w:lineRule="auto"/>
      <w:ind w:left="4127"/>
      <w:rPr>
        <w:rFonts w:ascii="Calibri" w:hAnsi="Calibri" w:eastAsia="Calibri" w:cs="Calibri"/>
        <w:sz w:val="18"/>
        <w:szCs w:val="18"/>
      </w:rPr>
    </w:pPr>
    <w:r>
      <w:rPr>
        <w:rFonts w:ascii="Calibri" w:hAnsi="Calibri" w:eastAsia="Calibri" w:cs="Calibri"/>
        <w:sz w:val="18"/>
        <w:szCs w:val="18"/>
      </w:rPr>
      <w:t>0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5BE8DEE">
    <w:pPr>
      <w:spacing w:line="166" w:lineRule="auto"/>
      <w:ind w:left="4226"/>
      <w:rPr>
        <w:rFonts w:ascii="Calibri" w:hAnsi="Calibri" w:eastAsia="Calibri" w:cs="Calibri"/>
        <w:sz w:val="18"/>
        <w:szCs w:val="18"/>
      </w:rPr>
    </w:pPr>
    <w:r>
      <w:rPr>
        <w:rFonts w:ascii="Calibri" w:hAnsi="Calibri" w:eastAsia="Calibri" w:cs="Calibri"/>
        <w:sz w:val="18"/>
        <w:szCs w:val="18"/>
      </w:rPr>
      <w:t>1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B3DD5E">
    <w:pPr>
      <w:spacing w:line="167" w:lineRule="auto"/>
      <w:ind w:left="4213"/>
      <w:rPr>
        <w:rFonts w:ascii="Calibri" w:hAnsi="Calibri" w:eastAsia="Calibri" w:cs="Calibri"/>
        <w:sz w:val="18"/>
        <w:szCs w:val="18"/>
      </w:rPr>
    </w:pPr>
    <w:r>
      <w:rPr>
        <w:rFonts w:ascii="Calibri" w:hAnsi="Calibri" w:eastAsia="Calibri" w:cs="Calibri"/>
        <w:sz w:val="18"/>
        <w:szCs w:val="18"/>
      </w:rPr>
      <w:t>2</w: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DD8C24D">
    <w:pPr>
      <w:spacing w:line="165" w:lineRule="auto"/>
      <w:ind w:left="4130"/>
      <w:rPr>
        <w:rFonts w:ascii="Calibri" w:hAnsi="Calibri" w:eastAsia="Calibri" w:cs="Calibri"/>
        <w:sz w:val="18"/>
        <w:szCs w:val="18"/>
      </w:rPr>
    </w:pPr>
    <w:r>
      <w:rPr>
        <w:rFonts w:ascii="Calibri" w:hAnsi="Calibri" w:eastAsia="Calibri" w:cs="Calibri"/>
        <w:sz w:val="18"/>
        <w:szCs w:val="18"/>
      </w:rPr>
      <w:t>5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>
    <w:nsid w:val="CC3E6955"/>
    <w:multiLevelType w:val="singleLevel"/>
    <w:tmpl w:val="CC3E6955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>
    <w:nsid w:val="F9D1283E"/>
    <w:multiLevelType w:val="singleLevel"/>
    <w:tmpl w:val="F9D1283E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3">
    <w:nsid w:val="08FA327B"/>
    <w:multiLevelType w:val="singleLevel"/>
    <w:tmpl w:val="08FA327B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4">
    <w:nsid w:val="1FA11AE3"/>
    <w:multiLevelType w:val="singleLevel"/>
    <w:tmpl w:val="1FA11AE3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4"/>
  </w:num>
  <w:num w:numId="3">
    <w:abstractNumId w:val="2"/>
  </w:num>
  <w:num w:numId="4">
    <w:abstractNumId w:val="3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doNotTrackMoves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03B66CB0"/>
    <w:rsid w:val="33AB32FB"/>
    <w:rsid w:val="54A51975"/>
    <w:rsid w:val="565C47A3"/>
    <w:rsid w:val="675039C2"/>
    <w:rsid w:val="71C86FD9"/>
    <w:rsid w:val="7831514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hAnsi="Arial" w:eastAsia="宋体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22">
    <w:name w:val="Default Paragraph Font"/>
    <w:semiHidden/>
    <w:qFormat/>
    <w:uiPriority w:val="0"/>
  </w:style>
  <w:style w:type="table" w:default="1" w:styleId="2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  <w:pPr>
      <w:jc w:val="left"/>
    </w:pPr>
  </w:style>
  <w:style w:type="paragraph" w:styleId="1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5">
    <w:name w:val="header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6">
    <w:name w:val="toc 1"/>
    <w:basedOn w:val="1"/>
    <w:next w:val="1"/>
    <w:qFormat/>
    <w:uiPriority w:val="0"/>
    <w:rPr>
      <w:rFonts w:ascii="Arial" w:hAnsi="Arial" w:eastAsia="Microsoft JhengHei"/>
      <w:sz w:val="24"/>
    </w:rPr>
  </w:style>
  <w:style w:type="paragraph" w:styleId="17">
    <w:name w:val="toc 2"/>
    <w:basedOn w:val="1"/>
    <w:next w:val="1"/>
    <w:qFormat/>
    <w:uiPriority w:val="0"/>
    <w:pPr>
      <w:ind w:left="420" w:leftChars="200"/>
    </w:pPr>
  </w:style>
  <w:style w:type="paragraph" w:styleId="18">
    <w:name w:val="Normal (Web)"/>
    <w:basedOn w:val="1"/>
    <w:qFormat/>
    <w:uiPriority w:val="0"/>
    <w:rPr>
      <w:sz w:val="24"/>
    </w:rPr>
  </w:style>
  <w:style w:type="paragraph" w:styleId="19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21">
    <w:name w:val="Table Grid"/>
    <w:basedOn w:val="2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Strong"/>
    <w:basedOn w:val="22"/>
    <w:qFormat/>
    <w:uiPriority w:val="0"/>
    <w:rPr>
      <w:b/>
    </w:rPr>
  </w:style>
  <w:style w:type="table" w:customStyle="1" w:styleId="24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5">
    <w:name w:val="Table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  <w:style w:type="paragraph" w:customStyle="1" w:styleId="26">
    <w:name w:val="柴_标题1"/>
    <w:basedOn w:val="2"/>
    <w:next w:val="27"/>
    <w:link w:val="39"/>
    <w:qFormat/>
    <w:uiPriority w:val="0"/>
    <w:pPr>
      <w:spacing w:before="100" w:after="90" w:line="360" w:lineRule="auto"/>
    </w:pPr>
    <w:rPr>
      <w:rFonts w:ascii="Arial" w:hAnsi="Arial" w:eastAsia="宋体"/>
      <w:sz w:val="32"/>
    </w:rPr>
  </w:style>
  <w:style w:type="paragraph" w:customStyle="1" w:styleId="27">
    <w:name w:val="柴_正文"/>
    <w:basedOn w:val="12"/>
    <w:link w:val="43"/>
    <w:qFormat/>
    <w:uiPriority w:val="0"/>
    <w:pPr>
      <w:spacing w:line="360" w:lineRule="auto"/>
      <w:ind w:firstLine="470" w:firstLineChars="200"/>
    </w:pPr>
    <w:rPr>
      <w:rFonts w:ascii="Arial" w:hAnsi="Arial" w:eastAsia="宋体"/>
      <w:sz w:val="24"/>
      <w:lang w:eastAsia="zh-CN"/>
    </w:rPr>
  </w:style>
  <w:style w:type="paragraph" w:customStyle="1" w:styleId="28">
    <w:name w:val="柴_标题2"/>
    <w:basedOn w:val="3"/>
    <w:next w:val="27"/>
    <w:qFormat/>
    <w:uiPriority w:val="0"/>
    <w:pPr>
      <w:spacing w:line="360" w:lineRule="auto"/>
    </w:pPr>
    <w:rPr>
      <w:rFonts w:ascii="Arial" w:hAnsi="Arial" w:eastAsia="宋体"/>
      <w:sz w:val="28"/>
    </w:rPr>
  </w:style>
  <w:style w:type="paragraph" w:customStyle="1" w:styleId="29">
    <w:name w:val="柴_标题3"/>
    <w:basedOn w:val="4"/>
    <w:next w:val="27"/>
    <w:qFormat/>
    <w:uiPriority w:val="0"/>
    <w:pPr>
      <w:spacing w:line="360" w:lineRule="auto"/>
      <w:ind w:left="0" w:firstLine="472" w:firstLineChars="200"/>
    </w:pPr>
    <w:rPr>
      <w:rFonts w:ascii="宋体" w:hAnsi="宋体" w:eastAsia="宋体" w:cs="宋体"/>
      <w:spacing w:val="-2"/>
      <w:sz w:val="24"/>
      <w:szCs w:val="24"/>
    </w:rPr>
  </w:style>
  <w:style w:type="paragraph" w:customStyle="1" w:styleId="30">
    <w:name w:val="柴_目录"/>
    <w:basedOn w:val="1"/>
    <w:next w:val="12"/>
    <w:qFormat/>
    <w:uiPriority w:val="0"/>
    <w:pPr>
      <w:tabs>
        <w:tab w:val="right" w:leader="dot" w:pos="8442"/>
      </w:tabs>
      <w:ind w:left="0" w:leftChars="0"/>
    </w:pPr>
    <w:rPr>
      <w:rFonts w:ascii="Arial" w:hAnsi="Arial" w:eastAsia="Microsoft JhengHei"/>
      <w:sz w:val="24"/>
    </w:rPr>
  </w:style>
  <w:style w:type="paragraph" w:customStyle="1" w:styleId="31">
    <w:name w:val="柴_公司名"/>
    <w:basedOn w:val="19"/>
    <w:qFormat/>
    <w:uiPriority w:val="0"/>
    <w:pPr>
      <w:spacing w:after="600" w:afterLines="600"/>
    </w:pPr>
    <w:rPr>
      <w:rFonts w:hint="eastAsia" w:ascii="宋体" w:hAnsi="宋体" w:eastAsia="宋体" w:cs="宋体"/>
      <w:bCs/>
      <w:spacing w:val="-6"/>
      <w:sz w:val="52"/>
      <w:szCs w:val="52"/>
    </w:rPr>
  </w:style>
  <w:style w:type="paragraph" w:customStyle="1" w:styleId="32">
    <w:name w:val="柴_文档名"/>
    <w:basedOn w:val="19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table" w:customStyle="1" w:styleId="33">
    <w:name w:val="Table Normal_0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34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5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6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7">
    <w:name w:val="Compact"/>
    <w:basedOn w:val="12"/>
    <w:qFormat/>
    <w:uiPriority w:val="0"/>
    <w:pPr>
      <w:spacing w:before="36" w:after="36"/>
    </w:pPr>
  </w:style>
  <w:style w:type="table" w:customStyle="1" w:styleId="38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39">
    <w:name w:val="柴_标题1 Char"/>
    <w:link w:val="26"/>
    <w:qFormat/>
    <w:uiPriority w:val="0"/>
    <w:rPr>
      <w:rFonts w:ascii="Arial" w:hAnsi="Arial" w:eastAsia="宋体"/>
      <w:sz w:val="32"/>
    </w:rPr>
  </w:style>
  <w:style w:type="table" w:customStyle="1" w:styleId="40">
    <w:name w:val="Table Normal_1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41">
    <w:name w:val="柴_正文_无缩进"/>
    <w:basedOn w:val="1"/>
    <w:qFormat/>
    <w:uiPriority w:val="0"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2">
    <w:name w:val="柴_标题4"/>
    <w:basedOn w:val="5"/>
    <w:next w:val="1"/>
    <w:qFormat/>
    <w:uiPriority w:val="0"/>
    <w:pPr>
      <w:widowControl w:val="0"/>
      <w:spacing w:before="160" w:line="360" w:lineRule="auto"/>
      <w:ind w:left="981" w:leftChars="300" w:hanging="862"/>
    </w:pPr>
    <w:rPr>
      <w:rFonts w:hint="eastAsia" w:ascii="Calibri" w:hAnsi="Calibri" w:eastAsia="宋体" w:cs="宋体"/>
      <w:sz w:val="24"/>
      <w:szCs w:val="24"/>
      <w:lang w:eastAsia="zh-CN" w:bidi="zh-CN"/>
    </w:rPr>
  </w:style>
  <w:style w:type="character" w:customStyle="1" w:styleId="43">
    <w:name w:val="柴_正文 Char"/>
    <w:link w:val="27"/>
    <w:qFormat/>
    <w:uiPriority w:val="0"/>
    <w:rPr>
      <w:rFonts w:ascii="Arial" w:hAnsi="Arial" w:eastAsia="宋体"/>
      <w:sz w:val="24"/>
      <w:lang w:eastAsia="zh-C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4.xml"/><Relationship Id="rId7" Type="http://schemas.openxmlformats.org/officeDocument/2006/relationships/footer" Target="footer3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image" Target="media/image1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7</Pages>
  <Words>1521</Words>
  <Characters>1692</Characters>
  <Lines>0</Lines>
  <Paragraphs>0</Paragraphs>
  <TotalTime>1</TotalTime>
  <ScaleCrop>false</ScaleCrop>
  <LinksUpToDate>false</LinksUpToDate>
  <CharactersWithSpaces>1773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2025-08-22T06:08:00Z</dcterms:created>
  <dc:creator>谢永刚</dc:creator>
  <cp:lastModifiedBy>郝宇</cp:lastModifiedBy>
  <dcterms:modified xsi:type="dcterms:W3CDTF">2026-04-16T03:51:56Z</dcterms:modified>
  <cp:revision>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2025-08-27T21:01:04Z</vt:filetime>
  </property>
  <property fmtid="{D5CDD505-2E9C-101B-9397-08002B2CF9AE}" pid="3" name="CRO">
    <vt:lpwstr>wqlLaW5nc29mdCBQREYgdG8gV1BTIDExNQ</vt:lpwstr>
  </property>
  <property fmtid="{D5CDD505-2E9C-101B-9397-08002B2CF9AE}" pid="4" name="ICV">
    <vt:lpwstr>5C536D3970A04B00B84560B8A089D230_12</vt:lpwstr>
  </property>
  <property fmtid="{D5CDD505-2E9C-101B-9397-08002B2CF9AE}" pid="5" name="KSOProductBuildVer">
    <vt:lpwstr>2052-12.1.0.25865</vt:lpwstr>
  </property>
  <property fmtid="{D5CDD505-2E9C-101B-9397-08002B2CF9AE}" pid="6" name="KSOTemplateDocerSaveRecord">
    <vt:lpwstr>eyJoZGlkIjoiZWI4NmUzMGY2ODA3MDc4ZTFlMjZjZTAyMjM0NmVmODgiLCJ1c2VySWQiOiIxMDc1MzgyOSJ9</vt:lpwstr>
  </property>
</Properties>
</file>