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53B0D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</w:p>
    <w:p w14:paraId="4663F9AC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0" w:name="_Toc5379"/>
      <w:r>
        <w:rPr>
          <w:rFonts w:hint="eastAsia"/>
          <w:lang w:val="en-US" w:eastAsia="zh-CN"/>
        </w:rPr>
        <w:t>最终软件库管理制度</w:t>
      </w:r>
      <w:bookmarkEnd w:id="0"/>
    </w:p>
    <w:p w14:paraId="62C152DD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" w:name="_Toc14896"/>
      <w:r>
        <w:t>江苏云储智能科技有限公司</w:t>
      </w:r>
      <w:bookmarkEnd w:id="1"/>
    </w:p>
    <w:p w14:paraId="39C9AC6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367B22DA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772A133">
      <w:pPr>
        <w:pStyle w:val="12"/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258" w:lineRule="auto"/>
      </w:pPr>
    </w:p>
    <w:p w14:paraId="4CFB36C6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29753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0CC9540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6" w:lineRule="exact"/>
      </w:pPr>
    </w:p>
    <w:tbl>
      <w:tblPr>
        <w:tblStyle w:val="26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3F8CE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2F5ED71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7573FACB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最终软件库管理制度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ZZRJKGL</w:t>
            </w:r>
            <w:r>
              <w:rPr>
                <w:spacing w:val="-1"/>
              </w:rPr>
              <w:t>）</w:t>
            </w:r>
          </w:p>
        </w:tc>
      </w:tr>
      <w:tr w14:paraId="181E5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14825849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387CF5B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25C88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2CD131B3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6734887F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2A12089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4DA7AFD8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3FBDBB2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105B5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4D2A661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0E2B1BB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60493E2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6A1B08E3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48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王朋</w:t>
            </w:r>
            <w:bookmarkStart w:id="19" w:name="_GoBack"/>
            <w:bookmarkEnd w:id="19"/>
          </w:p>
        </w:tc>
        <w:tc>
          <w:tcPr>
            <w:tcW w:w="1953" w:type="dxa"/>
          </w:tcPr>
          <w:p w14:paraId="44F9ED8E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14:paraId="20AEF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164A6D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4563260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361"/>
            </w:pPr>
          </w:p>
        </w:tc>
        <w:tc>
          <w:tcPr>
            <w:tcW w:w="2302" w:type="dxa"/>
          </w:tcPr>
          <w:p w14:paraId="0D3C61FE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33CC1E0D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4EFE37C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/>
            </w:pPr>
          </w:p>
        </w:tc>
      </w:tr>
      <w:tr w14:paraId="68A93E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11EE4A5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2D2DF1FB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/>
              <w:ind w:left="361"/>
            </w:pPr>
          </w:p>
        </w:tc>
        <w:tc>
          <w:tcPr>
            <w:tcW w:w="2302" w:type="dxa"/>
          </w:tcPr>
          <w:p w14:paraId="115F28B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7DEADC6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4611E33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672"/>
            </w:pPr>
          </w:p>
        </w:tc>
      </w:tr>
      <w:tr w14:paraId="18841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BB12709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3CFBE784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/>
              <w:ind w:left="361"/>
            </w:pPr>
          </w:p>
        </w:tc>
        <w:tc>
          <w:tcPr>
            <w:tcW w:w="2302" w:type="dxa"/>
          </w:tcPr>
          <w:p w14:paraId="31887504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03615DEB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2E32B34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672"/>
            </w:pPr>
          </w:p>
        </w:tc>
      </w:tr>
      <w:tr w14:paraId="673F0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25F898C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34C7305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AE9627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1F15844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523127B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 w14:paraId="40F4A991">
      <w:pPr>
        <w:pStyle w:val="12"/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p w14:paraId="5C6727A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ectPr>
          <w:pgSz w:w="11906" w:h="16839"/>
          <w:pgMar w:top="1431" w:right="1236" w:bottom="0" w:left="1588" w:header="0" w:footer="0" w:gutter="0"/>
          <w:cols w:space="720" w:num="1"/>
        </w:sectPr>
      </w:pPr>
    </w:p>
    <w:p w14:paraId="53D4A25B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644"/>
        <w:docPartObj>
          <w:docPartGallery w:val="Table of Contents"/>
          <w:docPartUnique/>
        </w:docPartObj>
      </w:sdtPr>
      <w:sdtEndPr>
        <w:rPr>
          <w:rFonts w:hint="default"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700DF4AB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86D51A1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"1-2"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_Toc5379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_Toc5379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D422AE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_Toc14896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_Toc14896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781EFB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_Toc29753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_Toc29753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CF9099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_Toc13789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_Toc13789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3BBA24B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_Toc7270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_Toc7270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C9EE9D3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_Toc13921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3. 定义</w:t>
          </w:r>
          <w:r>
            <w:tab/>
          </w:r>
          <w:r>
            <w:fldChar w:fldCharType="begin"/>
          </w:r>
          <w:r>
            <w:instrText xml:space="preserve"> PAGEREF _Toc13921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EDBBE5B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_Toc20444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_Toc20444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B8BF5BD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_Toc7316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4.1. </w:t>
          </w:r>
          <w:r>
            <w:rPr>
              <w:rFonts w:hint="eastAsia"/>
              <w:szCs w:val="24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_Toc7316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083F5C6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_Toc15523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4.2. 采购部</w:t>
          </w:r>
          <w:r>
            <w:tab/>
          </w:r>
          <w:r>
            <w:fldChar w:fldCharType="begin"/>
          </w:r>
          <w:r>
            <w:instrText xml:space="preserve"> PAGEREF _Toc15523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2036FF3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_Toc5316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 w:eastAsia="宋体"/>
              <w:szCs w:val="24"/>
              <w:lang w:val="en-US" w:eastAsia="zh-CN"/>
            </w:rPr>
            <w:t xml:space="preserve">4.3. </w:t>
          </w:r>
          <w:r>
            <w:rPr>
              <w:rFonts w:hint="default"/>
              <w:szCs w:val="24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_Toc5316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5E89F56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_Toc17061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 管理要求</w:t>
          </w:r>
          <w:r>
            <w:tab/>
          </w:r>
          <w:r>
            <w:fldChar w:fldCharType="begin"/>
          </w:r>
          <w:r>
            <w:instrText xml:space="preserve"> PAGEREF _Toc17061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1F750D5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_Toc14498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5.1. 软件获取与入库</w:t>
          </w:r>
          <w:r>
            <w:tab/>
          </w:r>
          <w:r>
            <w:fldChar w:fldCharType="begin"/>
          </w:r>
          <w:r>
            <w:instrText xml:space="preserve"> PAGEREF _Toc14498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A514009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_Toc12417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5.2. 软件分发与使用</w:t>
          </w:r>
          <w:r>
            <w:tab/>
          </w:r>
          <w:r>
            <w:fldChar w:fldCharType="begin"/>
          </w:r>
          <w:r>
            <w:instrText xml:space="preserve"> PAGEREF _Toc12417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10C5C8D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_Toc29013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5.3. 软件更新与维护</w:t>
          </w:r>
          <w:r>
            <w:tab/>
          </w:r>
          <w:r>
            <w:fldChar w:fldCharType="begin"/>
          </w:r>
          <w:r>
            <w:instrText xml:space="preserve"> PAGEREF _Toc29013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CF1B117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_Toc21425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访问控制与权限管理</w:t>
          </w:r>
          <w:r>
            <w:tab/>
          </w:r>
          <w:r>
            <w:fldChar w:fldCharType="begin"/>
          </w:r>
          <w:r>
            <w:instrText xml:space="preserve"> PAGEREF _Toc21425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4A6BDC1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_Toc9086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5.5. 软件更新、备份与维护</w:t>
          </w:r>
          <w:r>
            <w:tab/>
          </w:r>
          <w:r>
            <w:fldChar w:fldCharType="begin"/>
          </w:r>
          <w:r>
            <w:instrText xml:space="preserve"> PAGEREF _Toc9086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9828F07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_Toc24361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5.6. 软件报废与归档</w:t>
          </w:r>
          <w:r>
            <w:tab/>
          </w:r>
          <w:r>
            <w:fldChar w:fldCharType="begin"/>
          </w:r>
          <w:r>
            <w:instrText xml:space="preserve"> PAGEREF _Toc24361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BDA42FB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_Toc15337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5.7. 监督与审计</w:t>
          </w:r>
          <w:r>
            <w:tab/>
          </w:r>
          <w:r>
            <w:fldChar w:fldCharType="begin"/>
          </w:r>
          <w:r>
            <w:instrText xml:space="preserve"> PAGEREF _Toc15337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BCBE598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_Toc915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_Toc915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2D54234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3CD455F8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page"/>
      </w:r>
    </w:p>
    <w:p w14:paraId="171DB0DE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3" w:name="_Toc13789"/>
      <w:r>
        <w:rPr>
          <w:rFonts w:hint="default"/>
        </w:rPr>
        <w:t>目的</w:t>
      </w:r>
      <w:bookmarkEnd w:id="3"/>
    </w:p>
    <w:p w14:paraId="4C6DD123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为规范公司软件资产的全生命周期管理，确保软件使用的合法性、安全性和可追溯性，满足ITSS（信息技术服务标准）认证要求，提高软件资源利用率，降低法律和运营风险，特制定本制度。</w:t>
      </w:r>
    </w:p>
    <w:p w14:paraId="4752A590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4" w:name="_Toc7270"/>
      <w:r>
        <w:rPr>
          <w:rFonts w:hint="default"/>
        </w:rPr>
        <w:t>适用范围</w:t>
      </w:r>
      <w:bookmarkEnd w:id="4"/>
    </w:p>
    <w:p w14:paraId="44EBAE1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本制度适用于公司所有软件资产的采购、入库、分发、使用、维护、更新及报废等全过程管理，包括但不限于：操作系统、办公软件、业务软件系统、开发工具、数据库及中间件、其他授权软件。</w:t>
      </w:r>
    </w:p>
    <w:p w14:paraId="46DAB685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适用对象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公司所有部门及员工，包括正式员工、外包人员及第三方合作方（如适用）。</w:t>
      </w:r>
    </w:p>
    <w:p w14:paraId="4B6C2E47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5" w:name="_Toc13921"/>
      <w:r>
        <w:rPr>
          <w:rFonts w:hint="default"/>
        </w:rPr>
        <w:t>定义</w:t>
      </w:r>
      <w:bookmarkEnd w:id="5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7045"/>
      </w:tblGrid>
      <w:tr w14:paraId="68943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7" w:hRule="atLeast"/>
          <w:tblHeader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46F8F8B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hd w:val="clear" w:color="auto" w:fill="auto"/>
                <w:lang w:val="en-US" w:eastAsia="zh-CN"/>
              </w:rPr>
              <w:t>术语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8E0DB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定义</w:t>
            </w:r>
          </w:p>
        </w:tc>
      </w:tr>
      <w:tr w14:paraId="29288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388F94D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软件资产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887C6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公司拥有或使用的所有软件，包括商业软件、开源软件及自主研发软件</w:t>
            </w:r>
          </w:p>
        </w:tc>
      </w:tr>
      <w:tr w14:paraId="22D95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C5FB0C9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授权软件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7BCAA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已获得合法授权（许可证、订阅等）的软件</w:t>
            </w:r>
          </w:p>
        </w:tc>
      </w:tr>
      <w:tr w14:paraId="17724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0A6A783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非授权软件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B2F1F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未获得合法授权或超出授权范围使用的软件</w:t>
            </w:r>
          </w:p>
        </w:tc>
      </w:tr>
      <w:tr w14:paraId="04F2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3D2C27C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软件库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EF31A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公司集中存储、管理软件的标准化存储库，包括物理介质和数字存储</w:t>
            </w:r>
          </w:p>
        </w:tc>
      </w:tr>
      <w:tr w14:paraId="0557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A7622A1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ITSS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E1BFD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信息技术服务标准（Information Technology Service Standards），中国IT服务行业标准</w:t>
            </w:r>
          </w:p>
        </w:tc>
      </w:tr>
    </w:tbl>
    <w:p w14:paraId="6889EC0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</w:p>
    <w:p w14:paraId="4BA102ED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6" w:name="_Toc20444"/>
      <w:r>
        <w:rPr>
          <w:rFonts w:hint="default"/>
        </w:rPr>
        <w:t>职责分工</w:t>
      </w:r>
      <w:bookmarkEnd w:id="6"/>
    </w:p>
    <w:p w14:paraId="5A61C67A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7" w:name="_Toc7316"/>
      <w:r>
        <w:rPr>
          <w:rFonts w:hint="eastAsia"/>
          <w:sz w:val="24"/>
          <w:szCs w:val="24"/>
          <w:lang w:val="en-US" w:eastAsia="zh-CN"/>
        </w:rPr>
        <w:t>研发部</w:t>
      </w:r>
      <w:bookmarkEnd w:id="7"/>
    </w:p>
    <w:p w14:paraId="4D6A6F94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负责软件库的建立、维护及安全管理</w:t>
      </w:r>
    </w:p>
    <w:p w14:paraId="37548947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审核软件采购的技术可行性</w:t>
      </w:r>
    </w:p>
    <w:p w14:paraId="5AA3A89B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管理软件授权、分发及版本控制</w:t>
      </w:r>
    </w:p>
    <w:p w14:paraId="44D8028B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定期进行软件合规性检查及漏洞修复</w:t>
      </w:r>
    </w:p>
    <w:p w14:paraId="453FE97B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提供软件使用培训及技术支持</w:t>
      </w:r>
    </w:p>
    <w:p w14:paraId="36C192B6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8" w:name="_Toc15523"/>
      <w:r>
        <w:rPr>
          <w:rFonts w:hint="default"/>
          <w:sz w:val="24"/>
          <w:szCs w:val="24"/>
        </w:rPr>
        <w:t>采购部</w:t>
      </w:r>
      <w:bookmarkEnd w:id="8"/>
    </w:p>
    <w:p w14:paraId="680F61C3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执行软件采购流程，确保采购渠道合法</w:t>
      </w:r>
    </w:p>
    <w:p w14:paraId="4784872A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保存采购合同及授权文件</w:t>
      </w:r>
    </w:p>
    <w:p w14:paraId="7A6E37CE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 w:eastAsia="宋体"/>
          <w:sz w:val="24"/>
          <w:szCs w:val="24"/>
          <w:lang w:val="en-US" w:eastAsia="zh-CN"/>
        </w:rPr>
      </w:pPr>
      <w:bookmarkStart w:id="9" w:name="_Toc5316"/>
      <w:r>
        <w:rPr>
          <w:rFonts w:hint="default"/>
          <w:sz w:val="24"/>
          <w:szCs w:val="24"/>
        </w:rPr>
        <w:t>质量部</w:t>
      </w:r>
      <w:bookmarkEnd w:id="9"/>
    </w:p>
    <w:p w14:paraId="5CD49A41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监督软件管理是否符合ITSS标准</w:t>
      </w:r>
    </w:p>
    <w:p w14:paraId="5EDB1E3E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组织内部审计及改进</w:t>
      </w:r>
    </w:p>
    <w:p w14:paraId="67F2BE26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10" w:name="_Toc17061"/>
      <w:r>
        <w:rPr>
          <w:rFonts w:hint="default"/>
        </w:rPr>
        <w:t>管理要求</w:t>
      </w:r>
      <w:bookmarkEnd w:id="10"/>
    </w:p>
    <w:p w14:paraId="7360CCA3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11" w:name="_Toc14498"/>
      <w:r>
        <w:rPr>
          <w:rFonts w:hint="default"/>
          <w:sz w:val="24"/>
          <w:szCs w:val="24"/>
        </w:rPr>
        <w:t>软件获取与入库</w:t>
      </w:r>
      <w:bookmarkEnd w:id="11"/>
    </w:p>
    <w:p w14:paraId="7529DD83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采购审批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：所有软件采购需填写《软件采购申请表》，经IT、法务、财务审核后执行。</w:t>
      </w:r>
    </w:p>
    <w:p w14:paraId="51E82629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入库登记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：软件入库时需记录名称、版本、供应商、授权数量、有效期等信息，并存储安装介质及授权文件。</w:t>
      </w:r>
    </w:p>
    <w:p w14:paraId="2F2B478D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安全检测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：所有软件需进行病毒扫描及安全评估后方可入库。</w:t>
      </w:r>
    </w:p>
    <w:p w14:paraId="7EB12FAE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12" w:name="_Toc12417"/>
      <w:r>
        <w:rPr>
          <w:rFonts w:hint="default"/>
          <w:sz w:val="24"/>
          <w:szCs w:val="24"/>
        </w:rPr>
        <w:t>软件分发与使用</w:t>
      </w:r>
      <w:bookmarkEnd w:id="12"/>
    </w:p>
    <w:p w14:paraId="741EB920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统一分发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：仅IT部门有权分发软件，禁止员工私自安装。</w:t>
      </w:r>
    </w:p>
    <w:p w14:paraId="533FA8A3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授权管理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：确保分发数量不超过授权范围，并记录分发对象及时间。</w:t>
      </w:r>
    </w:p>
    <w:p w14:paraId="186AEA1F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使用规范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：禁止使用盗版软件、破解软件或超出授权范围使用。</w:t>
      </w:r>
    </w:p>
    <w:p w14:paraId="2BF0591A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13" w:name="_Toc29013"/>
      <w:r>
        <w:rPr>
          <w:rFonts w:hint="default"/>
          <w:sz w:val="24"/>
          <w:szCs w:val="24"/>
        </w:rPr>
        <w:t>软件更新与维护</w:t>
      </w:r>
      <w:bookmarkEnd w:id="13"/>
    </w:p>
    <w:p w14:paraId="105EF88D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版本控制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：IT部门负责管理软件版本，确保使用稳定版本。</w:t>
      </w:r>
    </w:p>
    <w:p w14:paraId="40944444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补丁管理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：安全补丁应在72小时内部署，功能性更新需测试后实施。</w:t>
      </w:r>
    </w:p>
    <w:p w14:paraId="0CD88E35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4" w:name="_Toc21425"/>
      <w:r>
        <w:rPr>
          <w:rFonts w:hint="eastAsia"/>
          <w:lang w:val="en-US" w:eastAsia="zh-CN"/>
        </w:rPr>
        <w:t>访问控制与权限管理</w:t>
      </w:r>
      <w:bookmarkEnd w:id="14"/>
    </w:p>
    <w:p w14:paraId="1E936C05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访问原则</w:t>
      </w:r>
    </w:p>
    <w:p w14:paraId="18870421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最终软件库的访问遵循“最小权限原则”和“职责分离原则”，仅允许授权人员在授权范围内访问相应资源。</w:t>
      </w:r>
    </w:p>
    <w:p w14:paraId="25CE166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所有访问行为应可追溯、可审计。</w:t>
      </w:r>
    </w:p>
    <w:p w14:paraId="7484FFFA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访问角色与权限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6"/>
        <w:gridCol w:w="4779"/>
        <w:gridCol w:w="2859"/>
      </w:tblGrid>
      <w:tr w14:paraId="6E9F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0307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E1D9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权限范围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AA0F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审批流程</w:t>
            </w:r>
          </w:p>
        </w:tc>
      </w:tr>
      <w:tr w14:paraId="56765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4D8E3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5AEC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全库读写权限，包括上传、更新、删除、备份、恢复等操作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61BE2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</w:t>
            </w:r>
          </w:p>
        </w:tc>
      </w:tr>
      <w:tr w14:paraId="7156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9BE4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D698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读取权限，可下载已发布的软件版本及相关文档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7A046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项目经理审批</w:t>
            </w:r>
          </w:p>
        </w:tc>
      </w:tr>
      <w:tr w14:paraId="3F4F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007A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质量部人员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72AC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读取权限，可审计软件版本、授权文件及操作日志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C0E64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</w:t>
            </w:r>
          </w:p>
        </w:tc>
      </w:tr>
      <w:tr w14:paraId="1A72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08CDB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其他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3BAA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按需申请临时读取权限，仅限特定软件版本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1C2D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+研发部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</w:t>
            </w:r>
          </w:p>
        </w:tc>
      </w:tr>
    </w:tbl>
    <w:p w14:paraId="323134C2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访问申请与审批</w:t>
      </w:r>
    </w:p>
    <w:p w14:paraId="388C144E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所有人员首次访问软件库前，需填写《软件库访问权限申请表》，明确访问目的、所需软件范围及使用期限。</w:t>
      </w:r>
    </w:p>
    <w:p w14:paraId="184689A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申请表经所在部门负责人及研发部负责人审批后，由研发部管理员开通相应权限。</w:t>
      </w:r>
    </w:p>
    <w:p w14:paraId="37E3586E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临时访问权限有效期最长不超过30天，到期后自动失效，如需延长需重新申请。</w:t>
      </w:r>
    </w:p>
    <w:p w14:paraId="6FCB5F6E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访问方式与安全要求</w:t>
      </w:r>
    </w:p>
    <w:p w14:paraId="493F9FFC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软件库仅允许通过公司内网或VPN访问，禁止外部网络直接访问。</w:t>
      </w:r>
    </w:p>
    <w:p w14:paraId="75053443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访问账号实行实名制，禁止共享账号。</w:t>
      </w:r>
    </w:p>
    <w:p w14:paraId="6EB601AD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所有访问操作均需记录日志，包括登录时间、操作内容、下载记录等，日志保留时间不少于2年。</w:t>
      </w:r>
    </w:p>
    <w:p w14:paraId="5C5B37D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敏感软件（如核心业务系统源代码、授权文件等）的访问需启用双因素认证。</w:t>
      </w:r>
    </w:p>
    <w:p w14:paraId="603C6997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违规访问处理</w:t>
      </w:r>
    </w:p>
    <w:p w14:paraId="3F81D6D7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未经授权访问软件库，视为严重违规行为。</w:t>
      </w:r>
    </w:p>
    <w:p w14:paraId="7127F381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一经发现，立即终止访问权限，并根据情节轻重按“监督与审计”章节中的违规处理措施执行。</w:t>
      </w:r>
    </w:p>
    <w:p w14:paraId="6E916CD7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15" w:name="_Toc9086"/>
      <w:r>
        <w:rPr>
          <w:rFonts w:hint="default"/>
        </w:rPr>
        <w:t>软件更新、备份与维护</w:t>
      </w:r>
      <w:bookmarkEnd w:id="15"/>
    </w:p>
    <w:p w14:paraId="6B03029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版本控制</w:t>
      </w:r>
    </w:p>
    <w:p w14:paraId="10DD1C1E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最终软件库中每个软件项必须有明确的版本标识。只有通过测试和审批的稳定版本才能被置为“发布”状态。旧版本应保留以供追溯。</w:t>
      </w:r>
    </w:p>
    <w:p w14:paraId="748D4DA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补丁管理</w:t>
      </w:r>
    </w:p>
    <w:p w14:paraId="7F4654B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针对库内软件的安全补丁，研发部应在厂商发布后的72小时内评估并部署至测试环境，经测试无误后，尽快更新至最终软件库中的相应版本。</w:t>
      </w:r>
    </w:p>
    <w:p w14:paraId="34EBE06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定期备份</w:t>
      </w:r>
    </w:p>
    <w:p w14:paraId="68FE81D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研发部须对最终软件库及其所有元数据、授权文件进行定期备份。</w:t>
      </w:r>
    </w:p>
    <w:p w14:paraId="43206BF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备份周期不得长于每周一次完整备份，每日一次增量备份。</w:t>
      </w:r>
    </w:p>
    <w:p w14:paraId="722B177B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备份介质必须进行加密，并在物理上与主库异地存放。</w:t>
      </w:r>
    </w:p>
    <w:p w14:paraId="041DD047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必须每年至少执行一次备份恢复演练，验证备份数据的有效性和恢复流程的可行性，并记录演练报告。</w:t>
      </w:r>
    </w:p>
    <w:p w14:paraId="3B043F3F">
      <w:pPr>
        <w:pStyle w:val="30"/>
        <w:bidi w:val="0"/>
        <w:rPr>
          <w:rFonts w:hint="default"/>
        </w:rPr>
      </w:pPr>
      <w:bookmarkStart w:id="16" w:name="_Toc24361"/>
      <w:r>
        <w:rPr>
          <w:rFonts w:hint="default"/>
        </w:rPr>
        <w:t>软件报废与归档</w:t>
      </w:r>
      <w:bookmarkEnd w:id="16"/>
    </w:p>
    <w:p w14:paraId="3C9F5212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报废条件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：授权到期、被替代或存在安全风险时，软件应报废。</w:t>
      </w:r>
    </w:p>
    <w:p w14:paraId="2957F3BB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归档要求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：保留最后一个可用版本及授权文件，标记为“已归档”状态。</w:t>
      </w:r>
    </w:p>
    <w:p w14:paraId="5337BC97">
      <w:pPr>
        <w:pStyle w:val="30"/>
        <w:bidi w:val="0"/>
        <w:rPr>
          <w:rFonts w:hint="default"/>
        </w:rPr>
      </w:pPr>
      <w:bookmarkStart w:id="17" w:name="_Toc15337"/>
      <w:r>
        <w:rPr>
          <w:rFonts w:hint="default"/>
        </w:rPr>
        <w:t>监督与审计</w:t>
      </w:r>
      <w:bookmarkEnd w:id="17"/>
    </w:p>
    <w:p w14:paraId="54A93319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定期审计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：每季度检查软件使用情况，每年进行全公司软件资产盘点。</w:t>
      </w:r>
    </w:p>
    <w:p w14:paraId="0716B30A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违规处理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</w:t>
      </w:r>
    </w:p>
    <w:p w14:paraId="2AB8CFE9">
      <w:pPr>
        <w:pStyle w:val="18"/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初次违规：警告并限期整改</w:t>
      </w:r>
    </w:p>
    <w:p w14:paraId="3B3DA057">
      <w:pPr>
        <w:pStyle w:val="18"/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二次违规：限制软件使用权</w:t>
      </w:r>
    </w:p>
    <w:p w14:paraId="383D1D42">
      <w:pPr>
        <w:pStyle w:val="18"/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严重违规（如恶意破解）：纪律处分或法律追责</w:t>
      </w:r>
    </w:p>
    <w:p w14:paraId="0DF7A602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8" w:name="_Toc915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26"/>
        <w:tblW w:w="8310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764"/>
        <w:gridCol w:w="3612"/>
        <w:gridCol w:w="1068"/>
        <w:gridCol w:w="912"/>
      </w:tblGrid>
      <w:tr w14:paraId="7B91B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954" w:type="dxa"/>
            <w:shd w:val="clear" w:color="auto" w:fill="C0C0C0"/>
            <w:vAlign w:val="center"/>
          </w:tcPr>
          <w:p w14:paraId="20FE59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764" w:type="dxa"/>
            <w:shd w:val="clear" w:color="auto" w:fill="C0C0C0"/>
            <w:vAlign w:val="center"/>
          </w:tcPr>
          <w:p w14:paraId="5CAC72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612" w:type="dxa"/>
            <w:shd w:val="clear" w:color="auto" w:fill="C0C0C0"/>
            <w:vAlign w:val="center"/>
          </w:tcPr>
          <w:p w14:paraId="54096A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068" w:type="dxa"/>
            <w:shd w:val="clear" w:color="auto" w:fill="C0C0C0"/>
            <w:vAlign w:val="center"/>
          </w:tcPr>
          <w:p w14:paraId="73F73B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912" w:type="dxa"/>
            <w:shd w:val="clear" w:color="auto" w:fill="C0C0C0"/>
            <w:vAlign w:val="center"/>
          </w:tcPr>
          <w:p w14:paraId="57E294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674B9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954" w:type="dxa"/>
            <w:shd w:val="clear" w:color="auto" w:fill="auto"/>
            <w:vAlign w:val="center"/>
          </w:tcPr>
          <w:p w14:paraId="34B15E25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1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4A7B8F9A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最终软件库</w:t>
            </w:r>
          </w:p>
        </w:tc>
        <w:tc>
          <w:tcPr>
            <w:tcW w:w="3612" w:type="dxa"/>
            <w:shd w:val="clear" w:color="auto" w:fill="auto"/>
            <w:vAlign w:val="center"/>
          </w:tcPr>
          <w:p w14:paraId="4E56F16B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版本正确软件数/软件总数*100%</w:t>
            </w:r>
          </w:p>
        </w:tc>
        <w:tc>
          <w:tcPr>
            <w:tcW w:w="1068" w:type="dxa"/>
          </w:tcPr>
          <w:p w14:paraId="75277169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</w:rPr>
              <w:t>按季度</w:t>
            </w:r>
          </w:p>
        </w:tc>
        <w:tc>
          <w:tcPr>
            <w:tcW w:w="912" w:type="dxa"/>
          </w:tcPr>
          <w:p w14:paraId="4FF5E96D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≥95%</w:t>
            </w:r>
          </w:p>
        </w:tc>
      </w:tr>
    </w:tbl>
    <w:p w14:paraId="15F2C12F">
      <w:pPr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  <w:rPr>
          <w:rFonts w:hint="default"/>
          <w:lang w:val="en-US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AF358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1483B14"/>
    <w:multiLevelType w:val="singleLevel"/>
    <w:tmpl w:val="31483B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97B03FB"/>
    <w:multiLevelType w:val="singleLevel"/>
    <w:tmpl w:val="597B03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ACB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styleId="24">
    <w:name w:val="No Spacing"/>
    <w:qFormat/>
    <w:uiPriority w:val="99"/>
    <w:pPr>
      <w:adjustRightInd w:val="0"/>
      <w:snapToGrid w:val="0"/>
    </w:pPr>
    <w:rPr>
      <w:rFonts w:ascii="Times New Roman" w:hAnsi="Times New Roman" w:eastAsia="宋体" w:cs="Times New Roman"/>
      <w:sz w:val="24"/>
      <w:szCs w:val="22"/>
      <w:lang w:val="en-US" w:eastAsia="zh-CN" w:bidi="ar-SA"/>
    </w:r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Paragraph"/>
    <w:basedOn w:val="1"/>
    <w:qFormat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8">
    <w:name w:val="柴_标题1"/>
    <w:basedOn w:val="2"/>
    <w:next w:val="29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2039</Words>
  <Characters>2176</Characters>
  <Lines>0</Lines>
  <Paragraphs>0</Paragraphs>
  <TotalTime>1</TotalTime>
  <ScaleCrop>false</ScaleCrop>
  <LinksUpToDate>false</LinksUpToDate>
  <CharactersWithSpaces>2252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2025-08-03T07:55:00Z</dcterms:created>
  <dc:creator>18442</dc:creator>
  <cp:lastModifiedBy>郝宇</cp:lastModifiedBy>
  <dcterms:modified xsi:type="dcterms:W3CDTF">2026-04-15T20:43:37Z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8178A8AF70684A7D9FAAE4F331428A1A_12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