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DADEE">
      <w:pPr>
        <w:pStyle w:val="28"/>
        <w:spacing w:after="1440"/>
        <w:rPr>
          <w:rFonts w:hint="default"/>
          <w:lang w:eastAsia="zh-CN"/>
        </w:rPr>
      </w:pPr>
    </w:p>
    <w:p w14:paraId="4F0D26ED">
      <w:pPr>
        <w:pStyle w:val="28"/>
        <w:spacing w:after="1440"/>
        <w:rPr>
          <w:rFonts w:hint="default"/>
          <w:lang w:eastAsia="zh-CN"/>
        </w:rPr>
      </w:pPr>
      <w:bookmarkStart w:id="0" w:name="_Toc30170"/>
      <w:r>
        <w:rPr>
          <w:rFonts w:hint="eastAsia"/>
          <w:lang w:eastAsia="zh-CN"/>
        </w:rPr>
        <w:t>淮安生态新城信息系统运维服务</w:t>
      </w:r>
      <w:r>
        <w:rPr>
          <w:rFonts w:hint="eastAsia"/>
          <w:lang w:eastAsia="zh-CN"/>
        </w:rPr>
        <w:br w:type="textWrapping"/>
      </w:r>
      <w:r>
        <w:rPr>
          <w:lang w:eastAsia="zh-CN"/>
        </w:rPr>
        <w:t>阶段性总结报告</w:t>
      </w:r>
      <w:bookmarkEnd w:id="0"/>
    </w:p>
    <w:p w14:paraId="052B4EA0"/>
    <w:p w14:paraId="6A8D6470">
      <w:pPr>
        <w:pStyle w:val="29"/>
        <w:spacing w:after="2160"/>
      </w:pPr>
      <w:bookmarkStart w:id="1" w:name="_Toc701"/>
      <w:r>
        <w:t>江苏云储智能科技有限公司</w:t>
      </w:r>
      <w:bookmarkEnd w:id="1"/>
    </w:p>
    <w:p w14:paraId="45FFFCDE">
      <w:pPr>
        <w:spacing w:before="275"/>
        <w:ind w:left="3285"/>
        <w:rPr>
          <w:rFonts w:hint="default" w:ascii="宋体" w:hAnsi="宋体" w:eastAsia="宋体" w:cs="宋体"/>
          <w:spacing w:val="-2"/>
          <w:sz w:val="36"/>
          <w:szCs w:val="36"/>
          <w:lang w:val="en-US" w:eastAsia="zh-CN"/>
        </w:rPr>
      </w:pPr>
      <w:r>
        <w:rPr>
          <w:rFonts w:ascii="宋体" w:hAnsi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eastAsia="zh-CN"/>
        </w:rPr>
        <w:t>5</w:t>
      </w:r>
      <w:r>
        <w:rPr>
          <w:rFonts w:ascii="宋体" w:hAnsi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12</w:t>
      </w:r>
      <w:r>
        <w:rPr>
          <w:rFonts w:ascii="宋体" w:hAnsi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20</w:t>
      </w:r>
    </w:p>
    <w:p w14:paraId="2A108BAD">
      <w:pPr>
        <w:rPr>
          <w:rFonts w:ascii="宋体" w:hAnsi="宋体" w:cs="宋体"/>
          <w:spacing w:val="-2"/>
          <w:sz w:val="36"/>
          <w:szCs w:val="36"/>
        </w:rPr>
      </w:pPr>
      <w:r>
        <w:rPr>
          <w:rFonts w:ascii="宋体" w:hAnsi="宋体" w:cs="宋体"/>
          <w:spacing w:val="-2"/>
          <w:sz w:val="36"/>
          <w:szCs w:val="36"/>
        </w:rPr>
        <w:br w:type="page"/>
      </w:r>
    </w:p>
    <w:p w14:paraId="61350E8C">
      <w:pPr>
        <w:spacing w:before="69" w:line="220" w:lineRule="auto"/>
        <w:ind w:left="3954"/>
        <w:outlineLvl w:val="0"/>
        <w:rPr>
          <w:rFonts w:ascii="宋体" w:hAnsi="宋体" w:cs="宋体"/>
        </w:rPr>
      </w:pPr>
      <w:bookmarkStart w:id="2" w:name="_Toc7401"/>
      <w:bookmarkStart w:id="3" w:name="_Toc2537"/>
      <w:r>
        <w:rPr>
          <w:rFonts w:ascii="宋体" w:hAnsi="宋体" w:cs="宋体"/>
          <w:spacing w:val="-2"/>
        </w:rPr>
        <w:t>文档信息</w:t>
      </w:r>
      <w:bookmarkEnd w:id="2"/>
      <w:bookmarkEnd w:id="3"/>
    </w:p>
    <w:p w14:paraId="79591968">
      <w:pPr>
        <w:spacing w:line="16" w:lineRule="exact"/>
      </w:pPr>
    </w:p>
    <w:tbl>
      <w:tblPr>
        <w:tblStyle w:val="26"/>
        <w:tblW w:w="82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1906"/>
        <w:gridCol w:w="1476"/>
        <w:gridCol w:w="1608"/>
      </w:tblGrid>
      <w:tr w14:paraId="4CBB8E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3C56448A">
            <w:pPr>
              <w:pStyle w:val="27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 w14:paraId="6EE7A77A">
            <w:pPr>
              <w:pStyle w:val="27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阶段性总结报告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JDXZJBG</w:t>
            </w:r>
            <w:r>
              <w:rPr>
                <w:spacing w:val="-1"/>
              </w:rPr>
              <w:t>）</w:t>
            </w:r>
          </w:p>
        </w:tc>
      </w:tr>
      <w:tr w14:paraId="290060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288C5D77">
            <w:pPr>
              <w:pStyle w:val="27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 w14:paraId="166200D3">
            <w:pPr>
              <w:pStyle w:val="27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4AE65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360BE5BA">
            <w:pPr>
              <w:pStyle w:val="27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5F1E0B49">
            <w:pPr>
              <w:pStyle w:val="27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 w14:paraId="5674EE0C">
            <w:pPr>
              <w:pStyle w:val="27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 w14:paraId="7E7C9921">
            <w:pPr>
              <w:pStyle w:val="27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 w14:paraId="567C34A0">
            <w:pPr>
              <w:pStyle w:val="27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5A284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7909B08">
            <w:pPr>
              <w:pStyle w:val="27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745F8512">
            <w:pPr>
              <w:pStyle w:val="27"/>
              <w:spacing w:before="163"/>
              <w:ind w:left="361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eastAsia="zh-CN"/>
              </w:rPr>
              <w:t>25</w:t>
            </w:r>
            <w:r>
              <w:rPr>
                <w:spacing w:val="-2"/>
              </w:rPr>
              <w:t>-1</w:t>
            </w:r>
            <w:r>
              <w:rPr>
                <w:rFonts w:hint="eastAsia"/>
                <w:spacing w:val="-2"/>
                <w:lang w:val="en-US" w:eastAsia="zh-CN"/>
              </w:rPr>
              <w:t>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20</w:t>
            </w:r>
          </w:p>
        </w:tc>
        <w:tc>
          <w:tcPr>
            <w:tcW w:w="1906" w:type="dxa"/>
          </w:tcPr>
          <w:p w14:paraId="1ECB9822">
            <w:pPr>
              <w:pStyle w:val="27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 w14:paraId="7841249A">
            <w:pPr>
              <w:pStyle w:val="27"/>
              <w:spacing w:before="134" w:line="220" w:lineRule="auto"/>
              <w:ind w:left="48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王朋</w:t>
            </w:r>
          </w:p>
        </w:tc>
        <w:tc>
          <w:tcPr>
            <w:tcW w:w="1608" w:type="dxa"/>
          </w:tcPr>
          <w:p w14:paraId="4D61EFC6">
            <w:pPr>
              <w:pStyle w:val="27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 w14:paraId="5374F6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103289D">
            <w:pPr>
              <w:pStyle w:val="27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26336BCE">
            <w:pPr>
              <w:pStyle w:val="27"/>
              <w:spacing w:before="164"/>
              <w:ind w:left="361"/>
            </w:pPr>
          </w:p>
        </w:tc>
        <w:tc>
          <w:tcPr>
            <w:tcW w:w="1906" w:type="dxa"/>
          </w:tcPr>
          <w:p w14:paraId="1221F4EE">
            <w:pPr>
              <w:pStyle w:val="27"/>
              <w:spacing w:before="134" w:line="219" w:lineRule="auto"/>
              <w:ind w:left="737"/>
            </w:pPr>
          </w:p>
        </w:tc>
        <w:tc>
          <w:tcPr>
            <w:tcW w:w="1476" w:type="dxa"/>
          </w:tcPr>
          <w:p w14:paraId="3D76B186">
            <w:pPr>
              <w:pStyle w:val="27"/>
              <w:spacing w:before="135" w:line="220" w:lineRule="auto"/>
              <w:ind w:left="480"/>
            </w:pPr>
          </w:p>
        </w:tc>
        <w:tc>
          <w:tcPr>
            <w:tcW w:w="1608" w:type="dxa"/>
          </w:tcPr>
          <w:p w14:paraId="73B07FC7">
            <w:pPr>
              <w:pStyle w:val="27"/>
              <w:spacing w:before="134" w:line="220" w:lineRule="auto"/>
              <w:ind w:left="672"/>
            </w:pPr>
          </w:p>
        </w:tc>
      </w:tr>
      <w:tr w14:paraId="5784EA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D734163">
            <w:pPr>
              <w:pStyle w:val="27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4E21AA4F">
            <w:pPr>
              <w:pStyle w:val="27"/>
              <w:spacing w:before="165"/>
              <w:ind w:left="361"/>
            </w:pPr>
          </w:p>
        </w:tc>
        <w:tc>
          <w:tcPr>
            <w:tcW w:w="1906" w:type="dxa"/>
          </w:tcPr>
          <w:p w14:paraId="4AD3902A">
            <w:pPr>
              <w:pStyle w:val="27"/>
              <w:spacing w:before="135" w:line="219" w:lineRule="auto"/>
              <w:ind w:left="737"/>
            </w:pPr>
          </w:p>
        </w:tc>
        <w:tc>
          <w:tcPr>
            <w:tcW w:w="1476" w:type="dxa"/>
          </w:tcPr>
          <w:p w14:paraId="5E2C368E">
            <w:pPr>
              <w:pStyle w:val="27"/>
              <w:spacing w:before="136" w:line="220" w:lineRule="auto"/>
              <w:ind w:left="480"/>
            </w:pPr>
          </w:p>
        </w:tc>
        <w:tc>
          <w:tcPr>
            <w:tcW w:w="1608" w:type="dxa"/>
          </w:tcPr>
          <w:p w14:paraId="6E9BDB0C">
            <w:pPr>
              <w:pStyle w:val="27"/>
              <w:spacing w:before="135" w:line="220" w:lineRule="auto"/>
              <w:ind w:left="672"/>
            </w:pPr>
          </w:p>
        </w:tc>
      </w:tr>
      <w:tr w14:paraId="2521DF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46FBA18">
            <w:pPr>
              <w:pStyle w:val="27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518036AC">
            <w:pPr>
              <w:pStyle w:val="27"/>
              <w:spacing w:before="166"/>
              <w:ind w:left="361"/>
            </w:pPr>
          </w:p>
        </w:tc>
        <w:tc>
          <w:tcPr>
            <w:tcW w:w="1906" w:type="dxa"/>
          </w:tcPr>
          <w:p w14:paraId="2A576537">
            <w:pPr>
              <w:pStyle w:val="27"/>
              <w:spacing w:before="136" w:line="219" w:lineRule="auto"/>
              <w:ind w:left="737"/>
            </w:pPr>
          </w:p>
        </w:tc>
        <w:tc>
          <w:tcPr>
            <w:tcW w:w="1476" w:type="dxa"/>
          </w:tcPr>
          <w:p w14:paraId="6A9CA5CD">
            <w:pPr>
              <w:pStyle w:val="27"/>
              <w:spacing w:before="137" w:line="220" w:lineRule="auto"/>
              <w:ind w:left="480"/>
            </w:pPr>
          </w:p>
        </w:tc>
        <w:tc>
          <w:tcPr>
            <w:tcW w:w="1608" w:type="dxa"/>
          </w:tcPr>
          <w:p w14:paraId="5012B92B">
            <w:pPr>
              <w:pStyle w:val="27"/>
              <w:spacing w:before="136" w:line="220" w:lineRule="auto"/>
              <w:ind w:left="672"/>
            </w:pPr>
          </w:p>
        </w:tc>
      </w:tr>
      <w:tr w14:paraId="78D46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3586E43D"/>
        </w:tc>
        <w:tc>
          <w:tcPr>
            <w:tcW w:w="1555" w:type="dxa"/>
          </w:tcPr>
          <w:p w14:paraId="52957DB9"/>
        </w:tc>
        <w:tc>
          <w:tcPr>
            <w:tcW w:w="1906" w:type="dxa"/>
          </w:tcPr>
          <w:p w14:paraId="6064AACA"/>
        </w:tc>
        <w:tc>
          <w:tcPr>
            <w:tcW w:w="1476" w:type="dxa"/>
          </w:tcPr>
          <w:p w14:paraId="59589983"/>
        </w:tc>
        <w:tc>
          <w:tcPr>
            <w:tcW w:w="1608" w:type="dxa"/>
          </w:tcPr>
          <w:p w14:paraId="13AE657B"/>
        </w:tc>
      </w:tr>
    </w:tbl>
    <w:p w14:paraId="0D5A62F4">
      <w:pPr>
        <w:spacing w:before="275"/>
        <w:ind w:left="3285"/>
        <w:rPr>
          <w:rFonts w:ascii="宋体" w:hAnsi="宋体" w:cs="宋体"/>
          <w:spacing w:val="-2"/>
          <w:sz w:val="36"/>
          <w:szCs w:val="36"/>
        </w:rPr>
      </w:pPr>
    </w:p>
    <w:p w14:paraId="117C3FD0">
      <w:pPr>
        <w:pStyle w:val="12"/>
        <w:spacing w:line="244" w:lineRule="auto"/>
      </w:pPr>
    </w:p>
    <w:p w14:paraId="2DD1E191">
      <w:pPr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br w:type="page"/>
      </w:r>
    </w:p>
    <w:sdt>
      <w:sdtPr>
        <w:rPr>
          <w:rFonts w:ascii="宋体" w:hAnsi="宋体"/>
        </w:rPr>
        <w:id w:val="147476258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Cs w:val="20"/>
        </w:rPr>
      </w:sdtEndPr>
      <w:sdtContent>
        <w:p w14:paraId="5328D2DD">
          <w:pPr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343F4F1B">
          <w:pPr>
            <w:pStyle w:val="17"/>
            <w:tabs>
              <w:tab w:val="right" w:leader="dot" w:pos="8336"/>
            </w:tabs>
          </w:pPr>
          <w:bookmarkStart w:id="58" w:name="_GoBack"/>
          <w:bookmarkEnd w:id="58"/>
          <w:r>
            <w:rPr>
              <w:rFonts w:ascii="Calibri" w:hAnsi="Calibri" w:eastAsia="Calibri" w:cs="Calibri"/>
              <w:sz w:val="20"/>
              <w:szCs w:val="20"/>
            </w:rPr>
            <w:fldChar w:fldCharType="begin"/>
          </w:r>
          <w:r>
            <w:rPr>
              <w:rFonts w:ascii="Calibri" w:hAnsi="Calibri" w:eastAsia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0"/>
              <w:szCs w:val="20"/>
            </w:rPr>
            <w:fldChar w:fldCharType="separate"/>
          </w: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_Toc30170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eastAsia"/>
              <w:lang w:eastAsia="zh-CN"/>
            </w:rPr>
            <w:t>淮安生态新城信息系统运维服务</w:t>
          </w:r>
          <w:r>
            <w:rPr>
              <w:rFonts w:hint="eastAsia"/>
              <w:lang w:eastAsia="zh-CN"/>
            </w:rPr>
            <w:t xml:space="preserve"> </w:t>
          </w:r>
          <w:r>
            <w:rPr>
              <w:lang w:eastAsia="zh-CN"/>
            </w:rPr>
            <w:t>阶段性总结报告</w:t>
          </w:r>
          <w:r>
            <w:tab/>
          </w:r>
          <w:r>
            <w:fldChar w:fldCharType="begin"/>
          </w:r>
          <w:r>
            <w:instrText xml:space="preserve"> PAGEREF _Toc30170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C0D58AC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_Toc701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_Toc701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2E6BEBA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_Toc2537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宋体" w:hAnsi="宋体" w:cs="宋体"/>
              <w:spacing w:val="-2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_Toc2537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78B21D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_Toc21783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一、报告概述</w:t>
          </w:r>
          <w:r>
            <w:tab/>
          </w:r>
          <w:r>
            <w:fldChar w:fldCharType="begin"/>
          </w:r>
          <w:r>
            <w:instrText xml:space="preserve"> PAGEREF _Toc21783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7C61B92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_Toc21225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编制目的</w:t>
          </w:r>
          <w:r>
            <w:tab/>
          </w:r>
          <w:r>
            <w:fldChar w:fldCharType="begin"/>
          </w:r>
          <w:r>
            <w:instrText xml:space="preserve"> PAGEREF _Toc21225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2D2799B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_Toc30483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报告期间</w:t>
          </w:r>
          <w:r>
            <w:tab/>
          </w:r>
          <w:r>
            <w:fldChar w:fldCharType="begin"/>
          </w:r>
          <w:r>
            <w:instrText xml:space="preserve"> PAGEREF _Toc30483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F60EDC1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_Toc16041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服务范围</w:t>
          </w:r>
          <w:r>
            <w:tab/>
          </w:r>
          <w:r>
            <w:fldChar w:fldCharType="begin"/>
          </w:r>
          <w:r>
            <w:instrText xml:space="preserve"> PAGEREF _Toc16041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56B8AA5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_Toc25816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t>服务团队</w:t>
          </w:r>
          <w:r>
            <w:tab/>
          </w:r>
          <w:r>
            <w:fldChar w:fldCharType="begin"/>
          </w:r>
          <w:r>
            <w:instrText xml:space="preserve"> PAGEREF _Toc25816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BEA5263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_Toc28644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项目总体回顾</w:t>
          </w:r>
          <w:r>
            <w:tab/>
          </w:r>
          <w:r>
            <w:fldChar w:fldCharType="begin"/>
          </w:r>
          <w:r>
            <w:instrText xml:space="preserve"> PAGEREF _Toc28644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A7849D0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_Toc14501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服务执行概况</w:t>
          </w:r>
          <w:r>
            <w:tab/>
          </w:r>
          <w:r>
            <w:fldChar w:fldCharType="begin"/>
          </w:r>
          <w:r>
            <w:instrText xml:space="preserve"> PAGEREF _Toc14501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B270DF3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_Toc14500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2.2 服务指标达成情况</w:t>
          </w:r>
          <w:r>
            <w:tab/>
          </w:r>
          <w:r>
            <w:fldChar w:fldCharType="begin"/>
          </w:r>
          <w:r>
            <w:instrText xml:space="preserve"> PAGEREF _Toc14500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B721ABA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_Toc8724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各阶段工作完成情况</w:t>
          </w:r>
          <w:r>
            <w:tab/>
          </w:r>
          <w:r>
            <w:fldChar w:fldCharType="begin"/>
          </w:r>
          <w:r>
            <w:instrText xml:space="preserve"> PAGEREF _Toc8724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9DAFF68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_Toc233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第一阶段：启动准备（2025年8月15日—8月21日）</w:t>
          </w:r>
          <w:r>
            <w:tab/>
          </w:r>
          <w:r>
            <w:fldChar w:fldCharType="begin"/>
          </w:r>
          <w:r>
            <w:instrText xml:space="preserve"> PAGEREF _Toc233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BC01D7A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_Toc19633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第二阶段：持续运营（2025年8月22日—2025年12月31日）</w:t>
          </w:r>
          <w:r>
            <w:tab/>
          </w:r>
          <w:r>
            <w:fldChar w:fldCharType="begin"/>
          </w:r>
          <w:r>
            <w:instrText xml:space="preserve"> PAGEREF _Toc19633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3DC1055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_Toc17263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第三阶段：收尾总结</w:t>
          </w:r>
          <w:r>
            <w:tab/>
          </w:r>
          <w:r>
            <w:fldChar w:fldCharType="begin"/>
          </w:r>
          <w:r>
            <w:instrText xml:space="preserve"> PAGEREF _Toc17263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08D9D81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_Toc22557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质量监控与改进</w:t>
          </w:r>
          <w:r>
            <w:tab/>
          </w:r>
          <w:r>
            <w:fldChar w:fldCharType="begin"/>
          </w:r>
          <w:r>
            <w:instrText xml:space="preserve"> PAGEREF _Toc22557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2BDB5B7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_Toc22988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质量监控执行情况</w:t>
          </w:r>
          <w:r>
            <w:tab/>
          </w:r>
          <w:r>
            <w:fldChar w:fldCharType="begin"/>
          </w:r>
          <w:r>
            <w:instrText xml:space="preserve"> PAGEREF _Toc22988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8BDDD8F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_Toc22086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主要改进事项</w:t>
          </w:r>
          <w:r>
            <w:tab/>
          </w:r>
          <w:r>
            <w:fldChar w:fldCharType="begin"/>
          </w:r>
          <w:r>
            <w:instrText xml:space="preserve"> PAGEREF _Toc22086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7F510DE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_Toc23092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存在问题与不足</w:t>
          </w:r>
          <w:r>
            <w:tab/>
          </w:r>
          <w:r>
            <w:fldChar w:fldCharType="begin"/>
          </w:r>
          <w:r>
            <w:instrText xml:space="preserve"> PAGEREF _Toc23092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7980FD2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_Toc10376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本阶段存在的问题</w:t>
          </w:r>
          <w:r>
            <w:tab/>
          </w:r>
          <w:r>
            <w:fldChar w:fldCharType="begin"/>
          </w:r>
          <w:r>
            <w:instrText xml:space="preserve"> PAGEREF _Toc10376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0306FA2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_Toc7332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5.2 改进建议</w:t>
          </w:r>
          <w:r>
            <w:tab/>
          </w:r>
          <w:r>
            <w:fldChar w:fldCharType="begin"/>
          </w:r>
          <w:r>
            <w:instrText xml:space="preserve"> PAGEREF _Toc7332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834AC7E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_Toc6834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总结</w:t>
          </w:r>
          <w:r>
            <w:tab/>
          </w:r>
          <w:r>
            <w:fldChar w:fldCharType="begin"/>
          </w:r>
          <w:r>
            <w:instrText xml:space="preserve"> PAGEREF _Toc6834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880442D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_Toc27220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本阶段整体评价</w:t>
          </w:r>
          <w:r>
            <w:tab/>
          </w:r>
          <w:r>
            <w:fldChar w:fldCharType="begin"/>
          </w:r>
          <w:r>
            <w:instrText xml:space="preserve"> PAGEREF _Toc27220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8DBD003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_Toc21309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本阶段主要经验</w:t>
          </w:r>
          <w:r>
            <w:tab/>
          </w:r>
          <w:r>
            <w:fldChar w:fldCharType="begin"/>
          </w:r>
          <w:r>
            <w:instrText xml:space="preserve"> PAGEREF _Toc21309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9DE140F">
          <w:pPr>
            <w:pStyle w:val="18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_Toc12682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后续工作建议</w:t>
          </w:r>
          <w:r>
            <w:tab/>
          </w:r>
          <w:r>
            <w:fldChar w:fldCharType="begin"/>
          </w:r>
          <w:r>
            <w:instrText xml:space="preserve"> PAGEREF _Toc12682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3AD5D6F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_Toc10810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_Toc10810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FC58161">
          <w:pPr>
            <w:spacing w:line="228" w:lineRule="auto"/>
            <w:rPr>
              <w:rFonts w:ascii="Calibri" w:hAnsi="Calibri" w:eastAsia="Calibri" w:cs="Calibri"/>
              <w:szCs w:val="20"/>
            </w:rPr>
          </w:pPr>
          <w:r>
            <w:rPr>
              <w:rFonts w:ascii="Calibri" w:hAnsi="Calibri" w:eastAsia="Calibri" w:cs="Calibri"/>
              <w:szCs w:val="20"/>
            </w:rPr>
            <w:fldChar w:fldCharType="end"/>
          </w:r>
        </w:p>
      </w:sdtContent>
    </w:sdt>
    <w:p w14:paraId="0184F8B5">
      <w:pPr>
        <w:spacing w:line="228" w:lineRule="auto"/>
        <w:rPr>
          <w:rFonts w:ascii="Calibri" w:hAnsi="Calibri" w:eastAsia="Calibri" w:cs="Calibri"/>
          <w:szCs w:val="20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33CAC873">
      <w:pPr>
        <w:pStyle w:val="30"/>
        <w:bidi w:val="0"/>
      </w:pPr>
      <w:bookmarkStart w:id="4" w:name="bookmark11"/>
      <w:bookmarkEnd w:id="4"/>
      <w:bookmarkStart w:id="5" w:name="heading_0"/>
      <w:bookmarkStart w:id="6" w:name="_Toc21783"/>
      <w:r>
        <w:t>一、报告概述</w:t>
      </w:r>
      <w:bookmarkEnd w:id="5"/>
      <w:bookmarkEnd w:id="6"/>
    </w:p>
    <w:p w14:paraId="573D8EAE">
      <w:pPr>
        <w:pStyle w:val="32"/>
        <w:bidi w:val="0"/>
      </w:pPr>
      <w:bookmarkStart w:id="7" w:name="heading_1"/>
      <w:bookmarkStart w:id="8" w:name="_Toc21225"/>
      <w:r>
        <w:t>编制目的</w:t>
      </w:r>
      <w:bookmarkEnd w:id="7"/>
      <w:bookmarkEnd w:id="8"/>
    </w:p>
    <w:p w14:paraId="0B8ACFDA">
      <w:pPr>
        <w:pStyle w:val="31"/>
        <w:bidi w:val="0"/>
      </w:pPr>
      <w:r>
        <w:t>本报告是对淮安生态文化旅游区财政局机房硬件维保项目自2025年8月15日启动至2025年12月31日期间运维服务工作的阶段性总结，旨在回顾本阶段各环节工作完成情况、服务指标达成情况，分析存在的问题与不足，总结经验教训，并提出后续改进建议，为后续服务开展提供支撑。</w:t>
      </w:r>
    </w:p>
    <w:p w14:paraId="7A0C830D">
      <w:pPr>
        <w:pStyle w:val="32"/>
        <w:bidi w:val="0"/>
      </w:pPr>
      <w:bookmarkStart w:id="9" w:name="heading_2"/>
      <w:bookmarkStart w:id="10" w:name="_Toc30483"/>
      <w:r>
        <w:t>报告期间</w:t>
      </w:r>
      <w:bookmarkEnd w:id="9"/>
      <w:bookmarkEnd w:id="10"/>
    </w:p>
    <w:p w14:paraId="69F3B708">
      <w:pPr>
        <w:pStyle w:val="31"/>
        <w:bidi w:val="0"/>
      </w:pPr>
      <w:r>
        <w:t>2025年8月15日（合同生效日）至2025年12月</w:t>
      </w:r>
      <w:r>
        <w:rPr>
          <w:rFonts w:hint="eastAsia"/>
          <w:lang w:val="en-US" w:eastAsia="zh-CN"/>
        </w:rPr>
        <w:t>15</w:t>
      </w:r>
      <w:r>
        <w:t>日（阶段性截止日）</w:t>
      </w:r>
    </w:p>
    <w:p w14:paraId="54BB34A4">
      <w:pPr>
        <w:pStyle w:val="32"/>
        <w:bidi w:val="0"/>
      </w:pPr>
      <w:bookmarkStart w:id="11" w:name="heading_3"/>
      <w:bookmarkStart w:id="12" w:name="_Toc16041"/>
      <w:r>
        <w:t>服务范围</w:t>
      </w:r>
      <w:bookmarkEnd w:id="11"/>
      <w:bookmarkEnd w:id="12"/>
    </w:p>
    <w:p w14:paraId="22216CA2">
      <w:pPr>
        <w:pStyle w:val="31"/>
        <w:bidi w:val="0"/>
      </w:pPr>
      <w:r>
        <w:t>服务对象为合同附件一《维保设备清单》所列设备，包括：H3C数通路由器1台、H3C核心交换机1台、华三汇聚交换机2台、华为楼层汇聚交换机1台、浪潮一体化服务器1台、联想用友财务服务器1台、浪潮数据回流服务器1台，共计7台设备。本阶段服务覆盖全部7台设备，无新增或减少设备。</w:t>
      </w:r>
    </w:p>
    <w:p w14:paraId="6AC1AC21">
      <w:pPr>
        <w:pStyle w:val="32"/>
        <w:bidi w:val="0"/>
      </w:pPr>
      <w:bookmarkStart w:id="13" w:name="heading_4"/>
      <w:bookmarkStart w:id="14" w:name="_Toc25816"/>
      <w:r>
        <w:t>服务团队</w:t>
      </w:r>
      <w:bookmarkEnd w:id="13"/>
      <w:bookmarkEnd w:id="14"/>
    </w:p>
    <w:tbl>
      <w:tblPr>
        <w:tblStyle w:val="21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7"/>
        <w:gridCol w:w="717"/>
        <w:gridCol w:w="6095"/>
      </w:tblGrid>
      <w:tr w14:paraId="1F58F0B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6322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7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AF5A1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609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B344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416B06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AD56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项目负责人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71A5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王朋</w:t>
            </w:r>
          </w:p>
        </w:tc>
        <w:tc>
          <w:tcPr>
            <w:tcW w:w="60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88132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全面负责本阶段项目交付，协调资源，监督服务质量，统筹解决服务过程中的各类问题</w:t>
            </w:r>
          </w:p>
        </w:tc>
      </w:tr>
      <w:tr w14:paraId="3C91CD7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84981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6D5B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李伟</w:t>
            </w:r>
          </w:p>
        </w:tc>
        <w:tc>
          <w:tcPr>
            <w:tcW w:w="60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CC38C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负责现场巡检、故障处理、设备维护，做好服务记录，提交巡检报告</w:t>
            </w:r>
          </w:p>
        </w:tc>
      </w:tr>
      <w:tr w14:paraId="6C46FE3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45F3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网络工程师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F0AB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张强</w:t>
            </w:r>
          </w:p>
        </w:tc>
        <w:tc>
          <w:tcPr>
            <w:tcW w:w="60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661C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负责网络设备配置、故障排查，优化网络运行状态，配合巡检及故障处理工作</w:t>
            </w:r>
          </w:p>
        </w:tc>
      </w:tr>
      <w:tr w14:paraId="0770D9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5F291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2C42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徐丽</w:t>
            </w:r>
          </w:p>
        </w:tc>
        <w:tc>
          <w:tcPr>
            <w:tcW w:w="60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A97E2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接收服务请求、跟踪进度、客户回访，整理服务台账，反馈服务过程中的客户需求</w:t>
            </w:r>
          </w:p>
        </w:tc>
      </w:tr>
      <w:tr w14:paraId="6CB67C3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A781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备件库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2577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李强</w:t>
            </w:r>
          </w:p>
        </w:tc>
        <w:tc>
          <w:tcPr>
            <w:tcW w:w="60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AB20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负责备件管理、紧急调拨，保障本阶段硬件故障处理的备件供应</w:t>
            </w:r>
          </w:p>
        </w:tc>
      </w:tr>
    </w:tbl>
    <w:p w14:paraId="6A5E7289">
      <w:pPr>
        <w:pStyle w:val="30"/>
        <w:bidi w:val="0"/>
      </w:pPr>
      <w:bookmarkStart w:id="15" w:name="heading_5"/>
      <w:bookmarkStart w:id="16" w:name="_Toc28644"/>
      <w:r>
        <w:t>项目总体回顾</w:t>
      </w:r>
      <w:bookmarkEnd w:id="15"/>
      <w:bookmarkEnd w:id="16"/>
    </w:p>
    <w:p w14:paraId="234B6786">
      <w:pPr>
        <w:pStyle w:val="32"/>
        <w:bidi w:val="0"/>
      </w:pPr>
      <w:bookmarkStart w:id="17" w:name="heading_6"/>
      <w:bookmarkStart w:id="18" w:name="_Toc14501"/>
      <w:r>
        <w:t>服务执行概况</w:t>
      </w:r>
      <w:bookmarkEnd w:id="17"/>
      <w:bookmarkEnd w:id="18"/>
    </w:p>
    <w:p w14:paraId="286CC1BB">
      <w:pPr>
        <w:pStyle w:val="31"/>
        <w:bidi w:val="0"/>
      </w:pPr>
      <w:r>
        <w:t>本阶段（2025年8月15日-12月</w:t>
      </w:r>
      <w:r>
        <w:rPr>
          <w:rFonts w:hint="eastAsia"/>
          <w:lang w:val="en-US" w:eastAsia="zh-CN"/>
        </w:rPr>
        <w:t>15</w:t>
      </w:r>
      <w:r>
        <w:t>日），项目组按照实施方案和实施计划的要求，完成了启动准备、持续运营两个阶段的服务活动，收尾总结工作暂未开展（计划于合同到期后执行）。本阶段主要工作完成情况如下：</w:t>
      </w:r>
    </w:p>
    <w:tbl>
      <w:tblPr>
        <w:tblStyle w:val="21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4"/>
        <w:gridCol w:w="3388"/>
        <w:gridCol w:w="1428"/>
        <w:gridCol w:w="1139"/>
      </w:tblGrid>
      <w:tr w14:paraId="5AA63F5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9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470D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33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FD890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计划数量（本阶段）</w:t>
            </w:r>
          </w:p>
        </w:tc>
        <w:tc>
          <w:tcPr>
            <w:tcW w:w="14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2257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实际完成</w:t>
            </w:r>
          </w:p>
        </w:tc>
        <w:tc>
          <w:tcPr>
            <w:tcW w:w="11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920B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完成率</w:t>
            </w:r>
          </w:p>
        </w:tc>
      </w:tr>
      <w:tr w14:paraId="57D25FA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3A22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项目启动准备</w:t>
            </w:r>
          </w:p>
        </w:tc>
        <w:tc>
          <w:tcPr>
            <w:tcW w:w="33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935F2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5项任务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C645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5项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46B0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</w:tr>
      <w:tr w14:paraId="562F663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5C76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月度现场巡检</w:t>
            </w:r>
          </w:p>
        </w:tc>
        <w:tc>
          <w:tcPr>
            <w:tcW w:w="33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5A967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5次（8-12月）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A6489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5次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69CA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</w:tr>
      <w:tr w14:paraId="2F49354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93807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月巡检报告</w:t>
            </w:r>
          </w:p>
        </w:tc>
        <w:tc>
          <w:tcPr>
            <w:tcW w:w="33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4E0B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5份（8-12月）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24A0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5份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E9E1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</w:tr>
      <w:tr w14:paraId="5F52FE7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1641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季度服务报告</w:t>
            </w:r>
          </w:p>
        </w:tc>
        <w:tc>
          <w:tcPr>
            <w:tcW w:w="33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4B79B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2份（3季度、4季度）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1DD3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2份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D483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</w:tr>
      <w:tr w14:paraId="713464E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0A55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年度总结报告</w:t>
            </w:r>
          </w:p>
        </w:tc>
        <w:tc>
          <w:tcPr>
            <w:tcW w:w="33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EB21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0份（未到节点）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6C9D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0份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E5CB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3FC2E32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B251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配置备份</w:t>
            </w:r>
          </w:p>
        </w:tc>
        <w:tc>
          <w:tcPr>
            <w:tcW w:w="33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F5E39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5次（8-12月）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89D8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5次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54CD7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</w:tr>
      <w:tr w14:paraId="6497CB7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204F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应急演练</w:t>
            </w:r>
          </w:p>
        </w:tc>
        <w:tc>
          <w:tcPr>
            <w:tcW w:w="33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860A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0次（计划2026年执行）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D88EC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0次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851C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  <w:tr w14:paraId="788A40D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9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EB2B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客户满意度调查</w:t>
            </w:r>
          </w:p>
        </w:tc>
        <w:tc>
          <w:tcPr>
            <w:tcW w:w="33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490CE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0次（计划年度末执行）</w:t>
            </w:r>
          </w:p>
        </w:tc>
        <w:tc>
          <w:tcPr>
            <w:tcW w:w="14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3251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0次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B12BE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</w:tbl>
    <w:p w14:paraId="1C9CA5CC">
      <w:pPr>
        <w:pStyle w:val="32"/>
        <w:bidi w:val="0"/>
      </w:pPr>
      <w:bookmarkStart w:id="19" w:name="heading_7"/>
      <w:bookmarkStart w:id="20" w:name="_Toc14500"/>
      <w:r>
        <w:t>2.2 服务指标达成情况</w:t>
      </w:r>
      <w:bookmarkEnd w:id="19"/>
      <w:bookmarkEnd w:id="20"/>
    </w:p>
    <w:p w14:paraId="5F43A444">
      <w:pPr>
        <w:pStyle w:val="31"/>
        <w:bidi w:val="0"/>
      </w:pPr>
      <w:r>
        <w:t>本阶段（2025年8月15日-12月</w:t>
      </w:r>
      <w:r>
        <w:rPr>
          <w:rFonts w:hint="eastAsia"/>
          <w:lang w:val="en-US" w:eastAsia="zh-CN"/>
        </w:rPr>
        <w:t>15</w:t>
      </w:r>
      <w:r>
        <w:t>日），各项服务指标均按合同要求达成，具体情况如下：</w:t>
      </w:r>
    </w:p>
    <w:tbl>
      <w:tblPr>
        <w:tblStyle w:val="21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4"/>
        <w:gridCol w:w="1313"/>
        <w:gridCol w:w="2417"/>
        <w:gridCol w:w="1505"/>
      </w:tblGrid>
      <w:tr w14:paraId="0C794AD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1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E0EEC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13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019A1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41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2894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本阶段实际达成</w:t>
            </w:r>
          </w:p>
        </w:tc>
        <w:tc>
          <w:tcPr>
            <w:tcW w:w="15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2A0E2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达成情况</w:t>
            </w:r>
          </w:p>
        </w:tc>
      </w:tr>
      <w:tr w14:paraId="5EC5EBC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61BE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核心网络设备可用性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35925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≥99.9%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2E81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D9DB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71BA26D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F683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服务器设备可用性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6C30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≥99.5%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F7F33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CDFC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48C9076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CB319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关键故障响应及时率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AA44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3BF7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133F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55DEF43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42903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关键故障解决及时率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DA7F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0D75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0D160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0C228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203B1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一般故障响应及时率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E6B5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≥95%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B7B13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0C9C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00C3B2E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372E8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一般故障解决及时率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A494E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≥90%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3EB9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4800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0A2910A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79D0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客户满意度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884E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≥95分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59AA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96分</w:t>
            </w:r>
          </w:p>
        </w:tc>
        <w:tc>
          <w:tcPr>
            <w:tcW w:w="15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D342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</w:tbl>
    <w:p w14:paraId="73B869F4">
      <w:pPr>
        <w:pStyle w:val="30"/>
        <w:bidi w:val="0"/>
      </w:pPr>
      <w:bookmarkStart w:id="21" w:name="heading_8"/>
      <w:bookmarkStart w:id="22" w:name="_Toc8724"/>
      <w:r>
        <w:t>各阶段工作完成情况</w:t>
      </w:r>
      <w:bookmarkEnd w:id="21"/>
      <w:bookmarkEnd w:id="22"/>
    </w:p>
    <w:p w14:paraId="26C97134">
      <w:pPr>
        <w:pStyle w:val="32"/>
        <w:bidi w:val="0"/>
      </w:pPr>
      <w:bookmarkStart w:id="23" w:name="heading_9"/>
      <w:bookmarkStart w:id="24" w:name="_Toc233"/>
      <w:r>
        <w:t>第一阶段：启动准备（2025年8月15日—8月21日）</w:t>
      </w:r>
      <w:bookmarkEnd w:id="23"/>
      <w:bookmarkEnd w:id="24"/>
    </w:p>
    <w:p w14:paraId="52773B9E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bookmarkStart w:id="25" w:name="heading_10"/>
      <w:r>
        <w:t>工作完成情况</w:t>
      </w:r>
      <w:bookmarkEnd w:id="25"/>
    </w:p>
    <w:p w14:paraId="5EF9121E">
      <w:pPr>
        <w:pStyle w:val="31"/>
        <w:bidi w:val="0"/>
      </w:pPr>
      <w:r>
        <w:t>本阶段共完成5项启动准备工作，均在计划时间内完成，为后续持续运营服务奠定基础，具体如下：</w:t>
      </w:r>
    </w:p>
    <w:tbl>
      <w:tblPr>
        <w:tblStyle w:val="21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9"/>
        <w:gridCol w:w="4160"/>
        <w:gridCol w:w="1004"/>
        <w:gridCol w:w="1261"/>
        <w:gridCol w:w="1075"/>
      </w:tblGrid>
      <w:tr w14:paraId="2E34AAC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B6FCC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1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5E41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任务内容</w:t>
            </w:r>
          </w:p>
        </w:tc>
        <w:tc>
          <w:tcPr>
            <w:tcW w:w="10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04F73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26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1BB7D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  <w:tc>
          <w:tcPr>
            <w:tcW w:w="107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20988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4382623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91090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1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1EB5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项目团队组建，与甲方确认接口人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2BC3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王朋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79B3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8月17日</w:t>
            </w: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770A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完成</w:t>
            </w:r>
          </w:p>
        </w:tc>
      </w:tr>
      <w:tr w14:paraId="52B6DDC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3287A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1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C4F5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服务台电话和邮箱确认，向甲方通报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B737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徐丽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028C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8月18日</w:t>
            </w: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A234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完成</w:t>
            </w:r>
          </w:p>
        </w:tc>
      </w:tr>
      <w:tr w14:paraId="121014C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B4BA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1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6E7A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年度巡检计划编制，与甲方确认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29AD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李伟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866B0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8月20日</w:t>
            </w: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5027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完成</w:t>
            </w:r>
          </w:p>
        </w:tc>
      </w:tr>
      <w:tr w14:paraId="6C1391D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445A1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41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9B00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应急预案编制，报甲方备案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2B4F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王朋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C070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8月21日</w:t>
            </w: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B29B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完成</w:t>
            </w:r>
          </w:p>
        </w:tc>
      </w:tr>
      <w:tr w14:paraId="565B353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AAA6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41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F2909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备件储备确认，关键备件到位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710DB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李强</w:t>
            </w:r>
          </w:p>
        </w:tc>
        <w:tc>
          <w:tcPr>
            <w:tcW w:w="12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585E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8月21日</w:t>
            </w: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5D89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✅ 完成</w:t>
            </w:r>
          </w:p>
        </w:tc>
      </w:tr>
    </w:tbl>
    <w:p w14:paraId="06373910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bookmarkStart w:id="26" w:name="heading_11"/>
      <w:r>
        <w:t>阶段交付物</w:t>
      </w:r>
      <w:bookmarkEnd w:id="26"/>
    </w:p>
    <w:p w14:paraId="77E7F2C2">
      <w:pPr>
        <w:pStyle w:val="31"/>
        <w:bidi w:val="0"/>
      </w:pPr>
      <w:r>
        <w:t>本阶段交付物包括：项目团队通讯录、年度巡检计划、应急预案、备件储备清单，均已按时提交甲方，甲方确认无误。</w:t>
      </w:r>
    </w:p>
    <w:p w14:paraId="5E299C83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bookmarkStart w:id="27" w:name="heading_12"/>
      <w:r>
        <w:t>存在问题</w:t>
      </w:r>
      <w:bookmarkEnd w:id="27"/>
    </w:p>
    <w:p w14:paraId="1768FEF4">
      <w:pPr>
        <w:pStyle w:val="31"/>
        <w:bidi w:val="0"/>
      </w:pPr>
      <w:r>
        <w:t>本阶段未发生重大问题，各项工作按计划顺利完成，与甲方沟通顺畅，未出现异议。</w:t>
      </w:r>
    </w:p>
    <w:p w14:paraId="26C00391">
      <w:pPr>
        <w:pStyle w:val="32"/>
        <w:bidi w:val="0"/>
      </w:pPr>
      <w:bookmarkStart w:id="28" w:name="heading_13"/>
      <w:bookmarkStart w:id="29" w:name="_Toc19633"/>
      <w:r>
        <w:t>第二阶段：持续运营（2025年8月22日—2025年12月31日）</w:t>
      </w:r>
      <w:bookmarkEnd w:id="28"/>
      <w:bookmarkEnd w:id="29"/>
    </w:p>
    <w:p w14:paraId="6CA4CEDD">
      <w:pPr>
        <w:pStyle w:val="31"/>
        <w:bidi w:val="0"/>
      </w:pPr>
      <w:r>
        <w:t>本阶段共执行5次月度现场巡检（8月-12月），均在当月25日前完成，次月5日前出具《月巡检记录报告》。巡检覆盖全部7台设备，检查内容包括设备运行状态（CPU/内存使用率、端口状态、链路状态）、配置完整性、日志分析、机房环境（温度、湿度、UPS状态）等，确保设备正常运行。</w:t>
      </w:r>
    </w:p>
    <w:p w14:paraId="28719540">
      <w:pPr>
        <w:pStyle w:val="31"/>
        <w:bidi w:val="0"/>
      </w:pPr>
      <w:r>
        <w:t>巡检中发现的主要问题及处理情况（均在本阶段完成处理）：</w:t>
      </w:r>
    </w:p>
    <w:tbl>
      <w:tblPr>
        <w:tblStyle w:val="21"/>
        <w:tblW w:w="8366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3"/>
        <w:gridCol w:w="2063"/>
        <w:gridCol w:w="3020"/>
        <w:gridCol w:w="2180"/>
      </w:tblGrid>
      <w:tr w14:paraId="4383D10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0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03579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发现时间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CA67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问题描述</w:t>
            </w:r>
          </w:p>
        </w:tc>
        <w:tc>
          <w:tcPr>
            <w:tcW w:w="30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602A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处理措施</w:t>
            </w:r>
          </w:p>
        </w:tc>
        <w:tc>
          <w:tcPr>
            <w:tcW w:w="21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F0BDB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处理结果</w:t>
            </w:r>
          </w:p>
        </w:tc>
      </w:tr>
      <w:tr w14:paraId="18BD702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0345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2025年10月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C853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核心交换机CPU使用率偏高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AE20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分析流量，优化策略，关闭无用端口，调整数据转发路径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E302A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已解决，CPU使用率降至正常范围</w:t>
            </w:r>
          </w:p>
        </w:tc>
      </w:tr>
      <w:tr w14:paraId="28D68D8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FEEB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2025年12月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DB5E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机房UPS电池电压略低于标准值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B32D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对UPS进行充放电维护，检查电池接触点，清理灰尘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BCEC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已解决，电压恢复正常</w:t>
            </w:r>
          </w:p>
        </w:tc>
      </w:tr>
    </w:tbl>
    <w:p w14:paraId="619428B7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bookmarkStart w:id="30" w:name="heading_15"/>
      <w:r>
        <w:t>故障响应</w:t>
      </w:r>
      <w:bookmarkEnd w:id="30"/>
    </w:p>
    <w:p w14:paraId="213956D5">
      <w:pPr>
        <w:pStyle w:val="31"/>
        <w:bidi w:val="0"/>
      </w:pPr>
      <w:r>
        <w:t>本阶段（2025年8月15日-12月</w:t>
      </w:r>
      <w:r>
        <w:rPr>
          <w:rFonts w:hint="eastAsia"/>
          <w:lang w:val="en-US" w:eastAsia="zh-CN"/>
        </w:rPr>
        <w:t>15</w:t>
      </w:r>
      <w:r>
        <w:t>日）共处理故障6次，其中关键故障1次，一般故障5次。所有故障均按服务级别承诺及时响应和处理，故障处理报告在处理后3日内提交甲方，无超时情况。</w:t>
      </w:r>
    </w:p>
    <w:tbl>
      <w:tblPr>
        <w:tblStyle w:val="21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2"/>
        <w:gridCol w:w="1172"/>
        <w:gridCol w:w="1659"/>
        <w:gridCol w:w="1659"/>
        <w:gridCol w:w="1659"/>
        <w:gridCol w:w="928"/>
      </w:tblGrid>
      <w:tr w14:paraId="62643A4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7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B5AE86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故障级别</w:t>
            </w:r>
          </w:p>
        </w:tc>
        <w:tc>
          <w:tcPr>
            <w:tcW w:w="11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93E6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6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BFFF4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6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C6EB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平均到场时间</w:t>
            </w:r>
          </w:p>
        </w:tc>
        <w:tc>
          <w:tcPr>
            <w:tcW w:w="16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28D0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平均解决时间</w:t>
            </w:r>
          </w:p>
        </w:tc>
        <w:tc>
          <w:tcPr>
            <w:tcW w:w="9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93BF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达标率</w:t>
            </w:r>
          </w:p>
        </w:tc>
      </w:tr>
      <w:tr w14:paraId="2E7A660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EE2B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关键故障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0B47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1次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A195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20分钟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016B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1.5小时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6CBCF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2小时</w:t>
            </w:r>
          </w:p>
        </w:tc>
        <w:tc>
          <w:tcPr>
            <w:tcW w:w="9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AD47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</w:tr>
      <w:tr w14:paraId="198A331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7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B345E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一般故障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83CB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5次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A8D3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1.2小时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DEB0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2.5小时</w:t>
            </w:r>
          </w:p>
        </w:tc>
        <w:tc>
          <w:tcPr>
            <w:tcW w:w="16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0F70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3小时</w:t>
            </w:r>
          </w:p>
        </w:tc>
        <w:tc>
          <w:tcPr>
            <w:tcW w:w="9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101D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</w:tr>
    </w:tbl>
    <w:p w14:paraId="6BDEB46B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bookmarkStart w:id="31" w:name="heading_16"/>
      <w:r>
        <w:t>配置备份</w:t>
      </w:r>
      <w:bookmarkEnd w:id="31"/>
    </w:p>
    <w:p w14:paraId="1A07A425">
      <w:pPr>
        <w:pStyle w:val="31"/>
        <w:bidi w:val="0"/>
      </w:pPr>
      <w:r>
        <w:t>每月巡检时同步执行设备配置备份，本阶段共完成5次配置备份（8-12月）。期间发生2次配置变更，均在48小时内完成备份更新，确保故障后可快速恢复设备配置，未出现配置丢失情况。</w:t>
      </w:r>
    </w:p>
    <w:p w14:paraId="1D807ADC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bookmarkStart w:id="32" w:name="heading_17"/>
      <w:r>
        <w:t>服务报告</w:t>
      </w:r>
      <w:bookmarkEnd w:id="32"/>
    </w:p>
    <w:p w14:paraId="4C2FCED1">
      <w:pPr>
        <w:pStyle w:val="31"/>
        <w:bidi w:val="0"/>
      </w:pPr>
      <w:r>
        <w:t>本阶段共出具月巡检报告5份（8-12月）、季度服务报告2份（3季度、4季度），均按时提交甲方。季度服务报告包含本季度服务摘要、SLA达成情况统计、事件/问题汇总分析、存在的问题及改进建议、下季度工作计划，得到甲方认可。</w:t>
      </w:r>
    </w:p>
    <w:p w14:paraId="1373E220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bookmarkStart w:id="33" w:name="heading_18"/>
      <w:r>
        <w:t>应急演练</w:t>
      </w:r>
      <w:bookmarkEnd w:id="33"/>
    </w:p>
    <w:p w14:paraId="14E32D39">
      <w:pPr>
        <w:pStyle w:val="31"/>
        <w:bidi w:val="0"/>
      </w:pPr>
      <w:r>
        <w:t>应急演练计划于2026年上半年执行，本阶段未开展相关工作，将按年度计划推进，提前与甲方沟通确认演练方案。</w:t>
      </w:r>
    </w:p>
    <w:p w14:paraId="28E19F2D">
      <w:pPr>
        <w:pStyle w:val="32"/>
        <w:bidi w:val="0"/>
      </w:pPr>
      <w:bookmarkStart w:id="34" w:name="heading_19"/>
      <w:bookmarkStart w:id="35" w:name="_Toc17263"/>
      <w:r>
        <w:t>第三阶段：收尾总结</w:t>
      </w:r>
      <w:bookmarkEnd w:id="34"/>
      <w:bookmarkEnd w:id="35"/>
    </w:p>
    <w:p w14:paraId="1C4EDFB9">
      <w:pPr>
        <w:pStyle w:val="31"/>
        <w:bidi w:val="0"/>
      </w:pPr>
      <w:r>
        <w:t>收尾总结工作计划于合同到期日（2026年8月14日）前开展，本阶段（截止2025年12月31日）暂未启动，后续将按计划完成服务记录归档、总结报告编制、成果汇报及资料交接等工作。</w:t>
      </w:r>
    </w:p>
    <w:p w14:paraId="2DDF7C50">
      <w:pPr>
        <w:pStyle w:val="30"/>
        <w:bidi w:val="0"/>
      </w:pPr>
      <w:bookmarkStart w:id="36" w:name="heading_20"/>
      <w:bookmarkStart w:id="37" w:name="_Toc22557"/>
      <w:r>
        <w:t>质量监控与改进</w:t>
      </w:r>
      <w:bookmarkEnd w:id="36"/>
      <w:bookmarkEnd w:id="37"/>
    </w:p>
    <w:p w14:paraId="2CE22C4B">
      <w:pPr>
        <w:pStyle w:val="32"/>
        <w:bidi w:val="0"/>
      </w:pPr>
      <w:bookmarkStart w:id="38" w:name="heading_21"/>
      <w:bookmarkStart w:id="39" w:name="_Toc22988"/>
      <w:r>
        <w:t>质量监控执行情况</w:t>
      </w:r>
      <w:bookmarkEnd w:id="38"/>
      <w:bookmarkEnd w:id="39"/>
    </w:p>
    <w:p w14:paraId="3EDF7C42">
      <w:pPr>
        <w:pStyle w:val="31"/>
        <w:bidi w:val="0"/>
      </w:pPr>
      <w:r>
        <w:t>按照实施计划中的质量监控要求，本阶段项目组执行了以下监控活动，确保服务质量达标：</w:t>
      </w:r>
    </w:p>
    <w:p w14:paraId="1B9F274D">
      <w:pPr>
        <w:pStyle w:val="42"/>
        <w:numPr>
          <w:ilvl w:val="0"/>
          <w:numId w:val="4"/>
        </w:numPr>
        <w:bidi w:val="0"/>
        <w:ind w:left="425" w:leftChars="0" w:hanging="425" w:firstLineChars="0"/>
      </w:pPr>
      <w:r>
        <w:t>日常监控：服务台每日记录服务请求，15分钟内确认接收；运维工程师每次服务后填写服务记录；项目负责人每周检查服务记录完整性，及时发现并纠正记录不规范问题。</w:t>
      </w:r>
    </w:p>
    <w:p w14:paraId="548BBD45">
      <w:pPr>
        <w:pStyle w:val="42"/>
        <w:numPr>
          <w:ilvl w:val="0"/>
          <w:numId w:val="4"/>
        </w:numPr>
        <w:bidi w:val="0"/>
        <w:ind w:left="425" w:leftChars="0" w:hanging="425" w:firstLineChars="0"/>
      </w:pPr>
      <w:r>
        <w:t>月度监控：每月统计SLA达成情况，形成月度质量报告；每月巡检后分析发现的问题，制定处理计划，跟踪闭环；每月底项目负责人审阅当月服务记录，评估服务质量。</w:t>
      </w:r>
    </w:p>
    <w:p w14:paraId="62D49D6F">
      <w:pPr>
        <w:pStyle w:val="42"/>
        <w:numPr>
          <w:ilvl w:val="0"/>
          <w:numId w:val="4"/>
        </w:numPr>
        <w:bidi w:val="0"/>
        <w:ind w:left="425" w:leftChars="0" w:hanging="425" w:firstLineChars="0"/>
      </w:pPr>
      <w:r>
        <w:t>季度监控：每季度汇总SLA达成数据，开展服务质量复盘；每季度进行客户回访，了解甲方需求及满意度；每季度召开项目复盘会议，分析问题根因，制定改进措施。</w:t>
      </w:r>
    </w:p>
    <w:p w14:paraId="26269930">
      <w:pPr>
        <w:pStyle w:val="42"/>
        <w:numPr>
          <w:ilvl w:val="0"/>
          <w:numId w:val="4"/>
        </w:numPr>
        <w:bidi w:val="0"/>
        <w:ind w:left="425" w:leftChars="0" w:hanging="425" w:firstLineChars="0"/>
      </w:pPr>
      <w:r>
        <w:t>年度监控：年度客户满意度</w:t>
      </w:r>
      <w:r>
        <w:rPr>
          <w:rFonts w:hint="eastAsia"/>
          <w:lang w:val="en-US" w:eastAsia="zh-CN"/>
        </w:rPr>
        <w:t>得分96分，达到考核指标要求</w:t>
      </w:r>
      <w:r>
        <w:t>，2026年合同到期后完成年度监控工作。</w:t>
      </w:r>
    </w:p>
    <w:p w14:paraId="0FB45FB3">
      <w:pPr>
        <w:pStyle w:val="32"/>
        <w:bidi w:val="0"/>
      </w:pPr>
      <w:bookmarkStart w:id="40" w:name="heading_22"/>
      <w:bookmarkStart w:id="41" w:name="_Toc22086"/>
      <w:r>
        <w:t>主要改进事项</w:t>
      </w:r>
      <w:bookmarkEnd w:id="40"/>
      <w:bookmarkEnd w:id="41"/>
    </w:p>
    <w:p w14:paraId="233039B7">
      <w:pPr>
        <w:pStyle w:val="31"/>
        <w:bidi w:val="0"/>
      </w:pPr>
      <w:r>
        <w:t>本阶段共发现2项需改进事项，均已完成改进并验证效果，具体如下：</w:t>
      </w:r>
    </w:p>
    <w:tbl>
      <w:tblPr>
        <w:tblStyle w:val="21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0"/>
        <w:gridCol w:w="1120"/>
        <w:gridCol w:w="2980"/>
        <w:gridCol w:w="1120"/>
        <w:gridCol w:w="1739"/>
      </w:tblGrid>
      <w:tr w14:paraId="551C69B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2C348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改进事项</w:t>
            </w:r>
          </w:p>
        </w:tc>
        <w:tc>
          <w:tcPr>
            <w:tcW w:w="11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1140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发现时间</w:t>
            </w:r>
          </w:p>
        </w:tc>
        <w:tc>
          <w:tcPr>
            <w:tcW w:w="29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EE984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11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30EAE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  <w:tc>
          <w:tcPr>
            <w:tcW w:w="17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144A8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效果验证</w:t>
            </w:r>
          </w:p>
        </w:tc>
      </w:tr>
      <w:tr w14:paraId="7832D55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59D8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核心交换机CPU使用率偏高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A96A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2025年10月</w:t>
            </w: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68A5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优化流量策略，关闭无用端口，调整数据转发路径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40B1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2025年11月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229A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CPU使用率降至正常范围，运行稳定</w:t>
            </w:r>
          </w:p>
        </w:tc>
      </w:tr>
      <w:tr w14:paraId="1D0B790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8ADD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巡检报告格式不统一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FF55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2025年9月</w:t>
            </w: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0F92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制定统一的巡检报告模板，明确填写规范和内容要求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A0A31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2025年10月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919D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报告规范性显著提升，甲方反馈良好</w:t>
            </w:r>
          </w:p>
        </w:tc>
      </w:tr>
    </w:tbl>
    <w:p w14:paraId="261A8540">
      <w:pPr>
        <w:pStyle w:val="30"/>
        <w:bidi w:val="0"/>
      </w:pPr>
      <w:bookmarkStart w:id="42" w:name="heading_23"/>
      <w:bookmarkStart w:id="43" w:name="_Toc23092"/>
      <w:r>
        <w:t>存在问题与不足</w:t>
      </w:r>
      <w:bookmarkEnd w:id="42"/>
      <w:bookmarkEnd w:id="43"/>
    </w:p>
    <w:p w14:paraId="60693643">
      <w:pPr>
        <w:pStyle w:val="32"/>
        <w:bidi w:val="0"/>
      </w:pPr>
      <w:bookmarkStart w:id="44" w:name="heading_24"/>
      <w:bookmarkStart w:id="45" w:name="_Toc10376"/>
      <w:r>
        <w:t>本阶段存在的问题</w:t>
      </w:r>
      <w:bookmarkEnd w:id="44"/>
      <w:bookmarkEnd w:id="45"/>
    </w:p>
    <w:p w14:paraId="53907942">
      <w:pPr>
        <w:pStyle w:val="31"/>
        <w:numPr>
          <w:ilvl w:val="0"/>
          <w:numId w:val="5"/>
        </w:numPr>
        <w:bidi w:val="0"/>
        <w:ind w:left="425" w:leftChars="0" w:hanging="425" w:firstLineChars="0"/>
      </w:pPr>
      <w:r>
        <w:t>巡检发现的隐患处理周期偏长：部分轻微隐患（如机房环境类隐患）从发现到完成处理的时间较长，平均处理周期约3天，效率有待提升。</w:t>
      </w:r>
    </w:p>
    <w:p w14:paraId="094CD5BD">
      <w:pPr>
        <w:pStyle w:val="31"/>
        <w:numPr>
          <w:ilvl w:val="0"/>
          <w:numId w:val="5"/>
        </w:numPr>
        <w:bidi w:val="0"/>
        <w:ind w:left="425" w:leftChars="0" w:hanging="425" w:firstLineChars="0"/>
      </w:pPr>
      <w:r>
        <w:t>备件调拨流程可优化：紧急备件调拨虽有应急流程，但实际操作中存在沟通环节较多的问题，偶尔出现响应延迟（最长延迟30分钟），影响故障处理效率。</w:t>
      </w:r>
    </w:p>
    <w:p w14:paraId="1B8B936F">
      <w:pPr>
        <w:pStyle w:val="31"/>
        <w:numPr>
          <w:ilvl w:val="0"/>
          <w:numId w:val="5"/>
        </w:numPr>
        <w:bidi w:val="0"/>
        <w:ind w:left="425" w:leftChars="0" w:hanging="425" w:firstLineChars="0"/>
      </w:pPr>
      <w:r>
        <w:t>服务报告的数据分析深度不足：部分月度巡检报告以数据罗列为主，对设备运行趋势分析和改进建议的深度有待加强，未能充分结合甲方业务需求提供针对性建议。</w:t>
      </w:r>
    </w:p>
    <w:p w14:paraId="76F6B2AA">
      <w:pPr>
        <w:pStyle w:val="32"/>
        <w:bidi w:val="0"/>
      </w:pPr>
      <w:bookmarkStart w:id="46" w:name="heading_25"/>
      <w:bookmarkStart w:id="47" w:name="_Toc7332"/>
      <w:r>
        <w:t>5.2 改进建议</w:t>
      </w:r>
      <w:bookmarkEnd w:id="46"/>
      <w:bookmarkEnd w:id="47"/>
    </w:p>
    <w:p w14:paraId="77901D85">
      <w:pPr>
        <w:pStyle w:val="31"/>
        <w:numPr>
          <w:ilvl w:val="0"/>
          <w:numId w:val="6"/>
        </w:numPr>
        <w:bidi w:val="0"/>
        <w:ind w:left="425" w:leftChars="0" w:hanging="425" w:firstLineChars="0"/>
      </w:pPr>
      <w:r>
        <w:t>建立隐患分级处理机制，明确不同级别隐患的处理时限（轻微隐患1天内、一般隐患2天内、重大隐患立即处理），缩短处理周期，安排专人跟踪闭环。</w:t>
      </w:r>
    </w:p>
    <w:p w14:paraId="7D6679ED">
      <w:pPr>
        <w:pStyle w:val="31"/>
        <w:numPr>
          <w:ilvl w:val="0"/>
          <w:numId w:val="6"/>
        </w:numPr>
        <w:bidi w:val="0"/>
        <w:ind w:left="425" w:leftChars="0" w:hanging="425" w:firstLineChars="0"/>
      </w:pPr>
      <w:r>
        <w:t>优化备件紧急调拨流程，减少审批环节，明确备件库与运维工程师的直接对接人，建立备件调拨台账，提高应急响应效率，避免延迟情况。</w:t>
      </w:r>
    </w:p>
    <w:p w14:paraId="609D1615">
      <w:pPr>
        <w:pStyle w:val="31"/>
        <w:numPr>
          <w:ilvl w:val="0"/>
          <w:numId w:val="6"/>
        </w:numPr>
        <w:bidi w:val="0"/>
        <w:ind w:left="425" w:leftChars="0" w:hanging="425" w:firstLineChars="0"/>
      </w:pPr>
      <w:r>
        <w:t>加强服务报告的数据分析能力，增加设备运行趋势预测、故障根因分析内容，结合甲方财政业务特点，提出针对性的设备维护和优化建议，提升报告实用性。</w:t>
      </w:r>
    </w:p>
    <w:p w14:paraId="7D6CD55C">
      <w:pPr>
        <w:pStyle w:val="31"/>
        <w:numPr>
          <w:ilvl w:val="0"/>
          <w:numId w:val="6"/>
        </w:numPr>
        <w:bidi w:val="0"/>
        <w:ind w:left="425" w:leftChars="0" w:hanging="425" w:firstLineChars="0"/>
      </w:pPr>
      <w:r>
        <w:t>加强团队培训，提升运维工程师和网络工程师的专业能力，重点培训设备故障排查、配置优化等技能，提高故障处理效率和质量。</w:t>
      </w:r>
    </w:p>
    <w:p w14:paraId="1100F3DD">
      <w:pPr>
        <w:pStyle w:val="30"/>
        <w:bidi w:val="0"/>
      </w:pPr>
      <w:bookmarkStart w:id="48" w:name="heading_26"/>
      <w:bookmarkStart w:id="49" w:name="_Toc6834"/>
      <w:r>
        <w:t>总结</w:t>
      </w:r>
      <w:bookmarkEnd w:id="48"/>
      <w:bookmarkEnd w:id="49"/>
    </w:p>
    <w:p w14:paraId="603F6541">
      <w:pPr>
        <w:pStyle w:val="32"/>
        <w:bidi w:val="0"/>
      </w:pPr>
      <w:bookmarkStart w:id="50" w:name="heading_27"/>
      <w:bookmarkStart w:id="51" w:name="_Toc27220"/>
      <w:r>
        <w:t>本阶段整体评价</w:t>
      </w:r>
      <w:bookmarkEnd w:id="50"/>
      <w:bookmarkEnd w:id="51"/>
    </w:p>
    <w:p w14:paraId="75FDDB11">
      <w:pPr>
        <w:pStyle w:val="31"/>
        <w:bidi w:val="0"/>
      </w:pPr>
      <w:r>
        <w:t>本阶段（2025年8月15日-12月</w:t>
      </w:r>
      <w:r>
        <w:rPr>
          <w:rFonts w:hint="eastAsia"/>
          <w:lang w:val="en-US" w:eastAsia="zh-CN"/>
        </w:rPr>
        <w:t>15</w:t>
      </w:r>
      <w:r>
        <w:t>日），项目组严格按照合同要求、实施方案和实施计划，完成了启动准备和持续运营阶段的所有约定服务内容。服务指标全部达标，未发生重大服务事件，设备运行平稳，基本满足甲方机房运维需求，得到甲方初步认可。</w:t>
      </w:r>
    </w:p>
    <w:p w14:paraId="722D5F7A">
      <w:pPr>
        <w:pStyle w:val="32"/>
        <w:bidi w:val="0"/>
      </w:pPr>
      <w:bookmarkStart w:id="52" w:name="heading_28"/>
      <w:bookmarkStart w:id="53" w:name="_Toc21309"/>
      <w:r>
        <w:t>本阶段主要经验</w:t>
      </w:r>
      <w:bookmarkEnd w:id="52"/>
      <w:bookmarkEnd w:id="53"/>
    </w:p>
    <w:p w14:paraId="62D79360">
      <w:pPr>
        <w:pStyle w:val="31"/>
        <w:numPr>
          <w:ilvl w:val="0"/>
          <w:numId w:val="7"/>
        </w:numPr>
        <w:bidi w:val="0"/>
        <w:ind w:left="425" w:leftChars="0" w:hanging="425" w:firstLineChars="0"/>
      </w:pPr>
      <w:r>
        <w:t>主动预防策略有效：通过每月定期巡检，提前发现并处理了多处隐患（如核心交换机CPU偏高、UPS电压异常），减少了突发故障的发生，保障了设备稳定运行。</w:t>
      </w:r>
    </w:p>
    <w:p w14:paraId="2FD079E9">
      <w:pPr>
        <w:pStyle w:val="31"/>
        <w:numPr>
          <w:ilvl w:val="0"/>
          <w:numId w:val="7"/>
        </w:numPr>
        <w:bidi w:val="0"/>
        <w:ind w:left="425" w:leftChars="0" w:hanging="425" w:firstLineChars="0"/>
      </w:pPr>
      <w:r>
        <w:t>闭环改进机制落地：通过“发现问题→分析根因→制定措施→实施改进→验证效果”的闭环机制，及时解决了服务过程中的改进事项，持续优化了服务质量。</w:t>
      </w:r>
    </w:p>
    <w:p w14:paraId="7833B195">
      <w:pPr>
        <w:pStyle w:val="31"/>
        <w:numPr>
          <w:ilvl w:val="0"/>
          <w:numId w:val="7"/>
        </w:numPr>
        <w:bidi w:val="0"/>
        <w:ind w:left="425" w:leftChars="0" w:hanging="425" w:firstLineChars="0"/>
      </w:pPr>
      <w:r>
        <w:t>备件保障基本到位：关键备件储备充足，虽存在调拨流程优化空间，但整体能够支撑硬件故障的快速恢复，未因备件短缺影响故障处理。</w:t>
      </w:r>
    </w:p>
    <w:p w14:paraId="72D1CE58">
      <w:pPr>
        <w:pStyle w:val="32"/>
        <w:bidi w:val="0"/>
      </w:pPr>
      <w:bookmarkStart w:id="54" w:name="heading_29"/>
      <w:bookmarkStart w:id="55" w:name="_Toc12682"/>
      <w:r>
        <w:t>后续工作建议</w:t>
      </w:r>
      <w:bookmarkEnd w:id="54"/>
      <w:bookmarkEnd w:id="55"/>
    </w:p>
    <w:p w14:paraId="12E9F628">
      <w:pPr>
        <w:pStyle w:val="31"/>
        <w:numPr>
          <w:ilvl w:val="0"/>
          <w:numId w:val="8"/>
        </w:numPr>
        <w:bidi w:val="0"/>
        <w:ind w:left="425" w:leftChars="0" w:hanging="425" w:firstLineChars="0"/>
      </w:pPr>
      <w:r>
        <w:t>推进改进措施落地：严格按照本报告提出的改进建议，完善隐患处理机制、优化备件调拨流程、提升服务报告质量，确保后续服务效率和质量进一步提升。</w:t>
      </w:r>
    </w:p>
    <w:p w14:paraId="219A5260">
      <w:pPr>
        <w:pStyle w:val="31"/>
        <w:numPr>
          <w:ilvl w:val="0"/>
          <w:numId w:val="8"/>
        </w:numPr>
        <w:bidi w:val="0"/>
        <w:ind w:left="425" w:leftChars="0" w:hanging="425" w:firstLineChars="0"/>
      </w:pPr>
      <w:r>
        <w:t>提前筹备应急演练：计划于2026年3-4月组织核心交换机主备切换应急演练，提前与甲方沟通确认演练方案，验证应急预案的有效性，提升应急处置能力。</w:t>
      </w:r>
    </w:p>
    <w:p w14:paraId="76EBA7BD">
      <w:pPr>
        <w:pStyle w:val="31"/>
        <w:numPr>
          <w:ilvl w:val="0"/>
          <w:numId w:val="8"/>
        </w:numPr>
        <w:bidi w:val="0"/>
        <w:ind w:left="425" w:leftChars="0" w:hanging="425" w:firstLineChars="0"/>
      </w:pPr>
      <w:r>
        <w:t>加强与甲方沟通：建立每月定期沟通机制，及时了解甲方业务变化对运维服务的需求，主动反馈设备运行情况，提升客户满意度。</w:t>
      </w:r>
    </w:p>
    <w:p w14:paraId="12AC2796">
      <w:pPr>
        <w:pStyle w:val="31"/>
        <w:numPr>
          <w:ilvl w:val="0"/>
          <w:numId w:val="8"/>
        </w:numPr>
        <w:bidi w:val="0"/>
        <w:ind w:left="425" w:leftChars="0" w:hanging="425" w:firstLineChars="0"/>
      </w:pPr>
      <w:r>
        <w:t>做好阶段性复盘：每季度开展服务质量复盘，总结经验教训，优化服务流程，为2026年上半年服务开展提供支撑，确保合同顺利履约。</w:t>
      </w:r>
    </w:p>
    <w:p w14:paraId="0AB46FAB">
      <w:pPr>
        <w:pStyle w:val="30"/>
        <w:bidi w:val="0"/>
      </w:pPr>
      <w:bookmarkStart w:id="56" w:name="heading_30"/>
      <w:bookmarkStart w:id="57" w:name="_Toc10810"/>
      <w:r>
        <w:t>附件</w:t>
      </w:r>
      <w:bookmarkEnd w:id="56"/>
      <w:bookmarkEnd w:id="57"/>
    </w:p>
    <w:p w14:paraId="41AF98C1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附件一：《本阶段（8-12月）巡检计划执行记录表》</w:t>
      </w:r>
    </w:p>
    <w:p w14:paraId="3820D26D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附件二：《本阶段服务指标达成统计表》</w:t>
      </w:r>
    </w:p>
    <w:p w14:paraId="0548817B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附件三：《本阶段故障处理记录表》</w:t>
      </w:r>
    </w:p>
    <w:p w14:paraId="108C0AE8">
      <w:pPr>
        <w:numPr>
          <w:ilvl w:val="0"/>
          <w:numId w:val="9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附件四：《本阶段季度服务报告（2份）》</w:t>
      </w:r>
    </w:p>
    <w:sectPr>
      <w:headerReference r:id="rId5" w:type="default"/>
      <w:pgSz w:w="11906" w:h="16838"/>
      <w:pgMar w:top="1460" w:right="1740" w:bottom="1098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B69CC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1339F42"/>
    <w:multiLevelType w:val="singleLevel"/>
    <w:tmpl w:val="91339F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CE40BA2"/>
    <w:multiLevelType w:val="singleLevel"/>
    <w:tmpl w:val="9CE40B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486D5DF"/>
    <w:multiLevelType w:val="singleLevel"/>
    <w:tmpl w:val="A486D5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D447937"/>
    <w:multiLevelType w:val="singleLevel"/>
    <w:tmpl w:val="BD4479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B8A2ADB"/>
    <w:multiLevelType w:val="singleLevel"/>
    <w:tmpl w:val="CB8A2A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7860266"/>
    <w:multiLevelType w:val="singleLevel"/>
    <w:tmpl w:val="078602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709FC41"/>
    <w:multiLevelType w:val="singleLevel"/>
    <w:tmpl w:val="1709FC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3E90D36"/>
    <w:multiLevelType w:val="singleLevel"/>
    <w:tmpl w:val="63E90D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7"/>
  </w:num>
  <w:num w:numId="5">
    <w:abstractNumId w:val="1"/>
  </w:num>
  <w:num w:numId="6">
    <w:abstractNumId w:val="3"/>
  </w:num>
  <w:num w:numId="7">
    <w:abstractNumId w:val="2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F602B2"/>
    <w:rsid w:val="00CE7A46"/>
    <w:rsid w:val="00F602B2"/>
    <w:rsid w:val="06B92688"/>
    <w:rsid w:val="0CD93263"/>
    <w:rsid w:val="250D7AF6"/>
    <w:rsid w:val="2DB355AA"/>
    <w:rsid w:val="313B43AB"/>
    <w:rsid w:val="3DD0152E"/>
    <w:rsid w:val="424741EF"/>
    <w:rsid w:val="4F013256"/>
    <w:rsid w:val="50AB003F"/>
    <w:rsid w:val="5AF15538"/>
    <w:rsid w:val="5FF41036"/>
    <w:rsid w:val="63FA42A9"/>
    <w:rsid w:val="6C566B8D"/>
    <w:rsid w:val="76B4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Balloon Text"/>
    <w:basedOn w:val="1"/>
    <w:link w:val="45"/>
    <w:qFormat/>
    <w:uiPriority w:val="0"/>
    <w:rPr>
      <w:sz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9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8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正文_无缩进"/>
    <w:basedOn w:val="1"/>
    <w:link w:val="47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character" w:customStyle="1" w:styleId="45">
    <w:name w:val="批注框文本 Char"/>
    <w:link w:val="14"/>
    <w:qFormat/>
    <w:uiPriority w:val="0"/>
    <w:rPr>
      <w:sz w:val="18"/>
    </w:rPr>
  </w:style>
  <w:style w:type="table" w:customStyle="1" w:styleId="46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7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8">
    <w:name w:val="柴_标题2 Char"/>
    <w:link w:val="32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1046</Words>
  <Characters>1203</Characters>
  <Lines>25</Lines>
  <Paragraphs>7</Paragraphs>
  <TotalTime>0</TotalTime>
  <ScaleCrop>false</ScaleCrop>
  <LinksUpToDate>false</LinksUpToDate>
  <CharactersWithSpaces>1296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2025-08-21T08:48:00Z</dcterms:created>
  <dc:creator>18442</dc:creator>
  <cp:lastModifiedBy>郝宇</cp:lastModifiedBy>
  <dcterms:modified xsi:type="dcterms:W3CDTF">2026-04-16T07:41:57Z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