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7CB22F">
      <w:pPr>
        <w:pStyle w:val="33"/>
        <w:widowControl w:val="0"/>
        <w:spacing w:after="1440"/>
        <w:rPr>
          <w:rFonts w:hint="default"/>
        </w:rPr>
      </w:pPr>
    </w:p>
    <w:p w14:paraId="3C5266BE">
      <w:pPr>
        <w:pStyle w:val="33"/>
        <w:widowControl w:val="0"/>
        <w:spacing w:after="1440"/>
        <w:rPr>
          <w:rFonts w:hint="default"/>
        </w:rPr>
      </w:pPr>
      <w:bookmarkStart w:id="0" w:name="_Toc4396"/>
      <w:r>
        <w:t>运维服务目录管理规范</w:t>
      </w:r>
      <w:bookmarkEnd w:id="0"/>
    </w:p>
    <w:p w14:paraId="78DC8DF7">
      <w:pPr>
        <w:pStyle w:val="34"/>
        <w:widowControl w:val="0"/>
        <w:spacing w:after="2160"/>
      </w:pPr>
      <w:bookmarkStart w:id="1" w:name="_Toc18408"/>
      <w:r>
        <w:t>江苏云储智能科技有限公司</w:t>
      </w:r>
      <w:bookmarkEnd w:id="1"/>
    </w:p>
    <w:p w14:paraId="1F78DA87">
      <w:pPr>
        <w:widowControl w:val="0"/>
        <w:spacing w:before="196" w:line="225" w:lineRule="auto"/>
        <w:jc w:val="center"/>
        <w:rPr>
          <w:rFonts w:ascii="宋体" w:hAnsi="宋体" w:cs="宋体"/>
          <w:sz w:val="35"/>
          <w:szCs w:val="35"/>
        </w:rPr>
      </w:pPr>
      <w:r>
        <w:rPr>
          <w:rFonts w:ascii="宋体" w:hAnsi="宋体" w:cs="宋体"/>
          <w:spacing w:val="-9"/>
          <w:sz w:val="35"/>
          <w:szCs w:val="35"/>
        </w:rPr>
        <w:t>2025年1月4日</w:t>
      </w:r>
    </w:p>
    <w:p w14:paraId="2ECC358F">
      <w:pPr>
        <w:widowControl w:val="0"/>
        <w:spacing w:line="225" w:lineRule="auto"/>
        <w:rPr>
          <w:rFonts w:ascii="宋体" w:hAnsi="宋体" w:cs="宋体"/>
          <w:sz w:val="35"/>
          <w:szCs w:val="35"/>
        </w:rPr>
        <w:sectPr>
          <w:pgSz w:w="11906" w:h="16840"/>
          <w:pgMar w:top="1431" w:right="1785" w:bottom="0" w:left="1785" w:header="0" w:footer="0" w:gutter="0"/>
          <w:cols w:space="720" w:num="1"/>
        </w:sectPr>
      </w:pPr>
    </w:p>
    <w:p w14:paraId="4042165F">
      <w:pPr>
        <w:widowControl w:val="0"/>
        <w:spacing w:before="197" w:line="220" w:lineRule="auto"/>
        <w:ind w:left="3945"/>
        <w:outlineLvl w:val="0"/>
        <w:rPr>
          <w:rFonts w:ascii="宋体" w:hAnsi="宋体" w:cs="宋体"/>
          <w:sz w:val="28"/>
          <w:szCs w:val="28"/>
        </w:rPr>
      </w:pPr>
      <w:bookmarkStart w:id="2" w:name="_Toc1867"/>
      <w:r>
        <w:rPr>
          <w:rFonts w:ascii="宋体" w:hAnsi="宋体" w:cs="宋体"/>
          <w:spacing w:val="-5"/>
          <w:sz w:val="28"/>
          <w:szCs w:val="28"/>
        </w:rPr>
        <w:t>文档信息</w:t>
      </w:r>
      <w:bookmarkEnd w:id="2"/>
    </w:p>
    <w:p w14:paraId="6373E7FF">
      <w:pPr>
        <w:widowControl w:val="0"/>
        <w:spacing w:line="100" w:lineRule="exact"/>
      </w:pPr>
    </w:p>
    <w:tbl>
      <w:tblPr>
        <w:tblStyle w:val="26"/>
        <w:tblW w:w="907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67"/>
        <w:gridCol w:w="1695"/>
        <w:gridCol w:w="2301"/>
        <w:gridCol w:w="1556"/>
        <w:gridCol w:w="1956"/>
      </w:tblGrid>
      <w:tr w14:paraId="5A735F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0" w:hRule="atLeast"/>
        </w:trPr>
        <w:tc>
          <w:tcPr>
            <w:tcW w:w="1567" w:type="dxa"/>
          </w:tcPr>
          <w:p w14:paraId="7FF60113">
            <w:pPr>
              <w:widowControl w:val="0"/>
              <w:spacing w:before="215" w:line="228" w:lineRule="auto"/>
              <w:ind w:left="168"/>
              <w:rPr>
                <w:rFonts w:ascii="宋体" w:hAnsi="宋体" w:cs="宋体"/>
                <w:sz w:val="20"/>
                <w:szCs w:val="20"/>
              </w:rPr>
            </w:pPr>
            <w:r>
              <w:rPr>
                <w:rFonts w:ascii="宋体" w:hAnsi="宋体" w:cs="宋体"/>
                <w:spacing w:val="6"/>
                <w:sz w:val="20"/>
                <w:szCs w:val="20"/>
              </w:rPr>
              <w:t>文档名称编号</w:t>
            </w:r>
          </w:p>
        </w:tc>
        <w:tc>
          <w:tcPr>
            <w:tcW w:w="7508" w:type="dxa"/>
            <w:gridSpan w:val="4"/>
          </w:tcPr>
          <w:p w14:paraId="12711E05">
            <w:pPr>
              <w:widowControl w:val="0"/>
              <w:spacing w:before="215" w:line="228" w:lineRule="auto"/>
              <w:ind w:left="116"/>
              <w:rPr>
                <w:rFonts w:ascii="宋体" w:hAnsi="宋体" w:cs="宋体"/>
                <w:sz w:val="20"/>
                <w:szCs w:val="20"/>
              </w:rPr>
            </w:pPr>
            <w:r>
              <w:rPr>
                <w:rFonts w:ascii="宋体" w:hAnsi="宋体" w:cs="宋体"/>
                <w:spacing w:val="11"/>
                <w:sz w:val="20"/>
                <w:szCs w:val="20"/>
              </w:rPr>
              <w:t>运维服务目录管理规范（</w:t>
            </w:r>
            <w:r>
              <w:rPr>
                <w:rFonts w:ascii="宋体" w:hAnsi="宋体" w:cs="宋体"/>
                <w:sz w:val="20"/>
                <w:szCs w:val="20"/>
              </w:rPr>
              <w:t>JSYC</w:t>
            </w:r>
            <w:r>
              <w:rPr>
                <w:rFonts w:ascii="宋体" w:hAnsi="宋体" w:cs="宋体"/>
                <w:spacing w:val="11"/>
                <w:sz w:val="20"/>
                <w:szCs w:val="20"/>
              </w:rPr>
              <w:t>-</w:t>
            </w:r>
            <w:r>
              <w:rPr>
                <w:rFonts w:ascii="宋体" w:hAnsi="宋体" w:cs="宋体"/>
                <w:sz w:val="20"/>
                <w:szCs w:val="20"/>
              </w:rPr>
              <w:t>ITSS</w:t>
            </w:r>
            <w:r>
              <w:rPr>
                <w:rFonts w:ascii="宋体" w:hAnsi="宋体" w:cs="宋体"/>
                <w:spacing w:val="11"/>
                <w:sz w:val="20"/>
                <w:szCs w:val="20"/>
              </w:rPr>
              <w:t>-</w:t>
            </w:r>
            <w:r>
              <w:rPr>
                <w:rFonts w:ascii="宋体" w:hAnsi="宋体" w:cs="宋体"/>
                <w:sz w:val="20"/>
                <w:szCs w:val="20"/>
              </w:rPr>
              <w:t>FWMLGL</w:t>
            </w:r>
            <w:r>
              <w:rPr>
                <w:rFonts w:ascii="宋体" w:hAnsi="宋体" w:cs="宋体"/>
                <w:spacing w:val="11"/>
                <w:sz w:val="20"/>
                <w:szCs w:val="20"/>
              </w:rPr>
              <w:t>）</w:t>
            </w:r>
          </w:p>
        </w:tc>
      </w:tr>
      <w:tr w14:paraId="5614E9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1" w:hRule="atLeast"/>
        </w:trPr>
        <w:tc>
          <w:tcPr>
            <w:tcW w:w="1567" w:type="dxa"/>
          </w:tcPr>
          <w:p w14:paraId="4E2A30EE">
            <w:pPr>
              <w:widowControl w:val="0"/>
              <w:spacing w:before="209" w:line="228" w:lineRule="auto"/>
              <w:ind w:left="377"/>
              <w:rPr>
                <w:rFonts w:ascii="宋体" w:hAnsi="宋体" w:cs="宋体"/>
                <w:sz w:val="20"/>
                <w:szCs w:val="20"/>
              </w:rPr>
            </w:pPr>
            <w:r>
              <w:rPr>
                <w:rFonts w:ascii="宋体" w:hAnsi="宋体" w:cs="宋体"/>
                <w:spacing w:val="5"/>
                <w:sz w:val="20"/>
                <w:szCs w:val="20"/>
              </w:rPr>
              <w:t>编制单位</w:t>
            </w:r>
          </w:p>
        </w:tc>
        <w:tc>
          <w:tcPr>
            <w:tcW w:w="7508" w:type="dxa"/>
            <w:gridSpan w:val="4"/>
          </w:tcPr>
          <w:p w14:paraId="48FB8A4E">
            <w:pPr>
              <w:widowControl w:val="0"/>
              <w:spacing w:before="209" w:line="227" w:lineRule="auto"/>
              <w:ind w:left="116"/>
              <w:rPr>
                <w:rFonts w:ascii="宋体" w:hAnsi="宋体" w:cs="宋体"/>
                <w:sz w:val="20"/>
                <w:szCs w:val="20"/>
              </w:rPr>
            </w:pPr>
            <w:r>
              <w:rPr>
                <w:rFonts w:ascii="宋体" w:hAnsi="宋体" w:cs="宋体"/>
                <w:spacing w:val="8"/>
                <w:sz w:val="20"/>
                <w:szCs w:val="20"/>
              </w:rPr>
              <w:t>江苏云储智能科技有限公司</w:t>
            </w:r>
          </w:p>
        </w:tc>
      </w:tr>
      <w:tr w14:paraId="2F4FC9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1" w:hRule="atLeast"/>
        </w:trPr>
        <w:tc>
          <w:tcPr>
            <w:tcW w:w="1567" w:type="dxa"/>
          </w:tcPr>
          <w:p w14:paraId="5FEAD5B3">
            <w:pPr>
              <w:widowControl w:val="0"/>
              <w:spacing w:before="210" w:line="227" w:lineRule="auto"/>
              <w:ind w:left="377"/>
              <w:rPr>
                <w:rFonts w:ascii="宋体" w:hAnsi="宋体" w:cs="宋体"/>
                <w:sz w:val="20"/>
                <w:szCs w:val="20"/>
              </w:rPr>
            </w:pPr>
            <w:r>
              <w:rPr>
                <w:rFonts w:ascii="宋体" w:hAnsi="宋体" w:cs="宋体"/>
                <w:spacing w:val="5"/>
                <w:sz w:val="20"/>
                <w:szCs w:val="20"/>
              </w:rPr>
              <w:t>文档版本</w:t>
            </w:r>
          </w:p>
        </w:tc>
        <w:tc>
          <w:tcPr>
            <w:tcW w:w="1695" w:type="dxa"/>
          </w:tcPr>
          <w:p w14:paraId="73BFBC90">
            <w:pPr>
              <w:widowControl w:val="0"/>
              <w:spacing w:before="210" w:line="227" w:lineRule="auto"/>
              <w:ind w:left="439"/>
              <w:rPr>
                <w:rFonts w:ascii="宋体" w:hAnsi="宋体" w:cs="宋体"/>
                <w:sz w:val="20"/>
                <w:szCs w:val="20"/>
              </w:rPr>
            </w:pPr>
            <w:r>
              <w:rPr>
                <w:rFonts w:ascii="宋体" w:hAnsi="宋体" w:cs="宋体"/>
                <w:spacing w:val="5"/>
                <w:sz w:val="20"/>
                <w:szCs w:val="20"/>
              </w:rPr>
              <w:t>版本日期</w:t>
            </w:r>
          </w:p>
        </w:tc>
        <w:tc>
          <w:tcPr>
            <w:tcW w:w="2301" w:type="dxa"/>
          </w:tcPr>
          <w:p w14:paraId="1655AD46">
            <w:pPr>
              <w:widowControl w:val="0"/>
              <w:spacing w:before="210" w:line="227" w:lineRule="auto"/>
              <w:ind w:left="745"/>
              <w:rPr>
                <w:rFonts w:ascii="宋体" w:hAnsi="宋体" w:cs="宋体"/>
                <w:sz w:val="20"/>
                <w:szCs w:val="20"/>
              </w:rPr>
            </w:pPr>
            <w:r>
              <w:rPr>
                <w:rFonts w:ascii="宋体" w:hAnsi="宋体" w:cs="宋体"/>
                <w:spacing w:val="5"/>
                <w:sz w:val="20"/>
                <w:szCs w:val="20"/>
              </w:rPr>
              <w:t>版本说明</w:t>
            </w:r>
          </w:p>
        </w:tc>
        <w:tc>
          <w:tcPr>
            <w:tcW w:w="1556" w:type="dxa"/>
          </w:tcPr>
          <w:p w14:paraId="0F8DA2B9">
            <w:pPr>
              <w:widowControl w:val="0"/>
              <w:spacing w:before="213" w:line="228" w:lineRule="auto"/>
              <w:ind w:left="585"/>
              <w:rPr>
                <w:rFonts w:ascii="宋体" w:hAnsi="宋体" w:cs="宋体"/>
                <w:sz w:val="20"/>
                <w:szCs w:val="20"/>
              </w:rPr>
            </w:pPr>
            <w:r>
              <w:rPr>
                <w:rFonts w:ascii="宋体" w:hAnsi="宋体" w:cs="宋体"/>
                <w:spacing w:val="3"/>
                <w:sz w:val="20"/>
                <w:szCs w:val="20"/>
              </w:rPr>
              <w:t>作者</w:t>
            </w:r>
          </w:p>
        </w:tc>
        <w:tc>
          <w:tcPr>
            <w:tcW w:w="1956" w:type="dxa"/>
          </w:tcPr>
          <w:p w14:paraId="051C4E93">
            <w:pPr>
              <w:widowControl w:val="0"/>
              <w:spacing w:before="213" w:line="228" w:lineRule="auto"/>
              <w:ind w:left="803"/>
              <w:rPr>
                <w:rFonts w:ascii="宋体" w:hAnsi="宋体" w:cs="宋体"/>
                <w:sz w:val="20"/>
                <w:szCs w:val="20"/>
              </w:rPr>
            </w:pPr>
            <w:r>
              <w:rPr>
                <w:rFonts w:ascii="宋体" w:hAnsi="宋体" w:cs="宋体"/>
                <w:spacing w:val="-3"/>
                <w:sz w:val="20"/>
                <w:szCs w:val="20"/>
              </w:rPr>
              <w:t>审核</w:t>
            </w:r>
          </w:p>
        </w:tc>
      </w:tr>
      <w:tr w14:paraId="7342AE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9" w:hRule="atLeast"/>
        </w:trPr>
        <w:tc>
          <w:tcPr>
            <w:tcW w:w="1567" w:type="dxa"/>
          </w:tcPr>
          <w:p w14:paraId="3441CFE3">
            <w:pPr>
              <w:widowControl w:val="0"/>
              <w:spacing w:before="194" w:line="268" w:lineRule="exact"/>
              <w:ind w:left="574"/>
              <w:rPr>
                <w:rFonts w:ascii="宋体" w:hAnsi="宋体" w:cs="宋体"/>
                <w:sz w:val="20"/>
                <w:szCs w:val="20"/>
              </w:rPr>
            </w:pPr>
            <w:r>
              <w:rPr>
                <w:rFonts w:ascii="宋体" w:hAnsi="宋体" w:cs="宋体"/>
                <w:spacing w:val="3"/>
                <w:position w:val="1"/>
                <w:sz w:val="20"/>
                <w:szCs w:val="20"/>
              </w:rPr>
              <w:t>V1.0</w:t>
            </w:r>
          </w:p>
        </w:tc>
        <w:tc>
          <w:tcPr>
            <w:tcW w:w="1695" w:type="dxa"/>
          </w:tcPr>
          <w:p w14:paraId="3C98315F">
            <w:pPr>
              <w:widowControl w:val="0"/>
              <w:spacing w:before="194" w:line="269" w:lineRule="exact"/>
              <w:ind w:left="443"/>
              <w:rPr>
                <w:rFonts w:ascii="宋体" w:hAnsi="宋体" w:cs="宋体"/>
                <w:sz w:val="20"/>
                <w:szCs w:val="20"/>
              </w:rPr>
            </w:pPr>
            <w:r>
              <w:rPr>
                <w:rFonts w:ascii="宋体" w:hAnsi="宋体" w:cs="宋体"/>
                <w:spacing w:val="2"/>
                <w:position w:val="1"/>
                <w:sz w:val="20"/>
                <w:szCs w:val="20"/>
              </w:rPr>
              <w:t>2025-1-4</w:t>
            </w:r>
          </w:p>
        </w:tc>
        <w:tc>
          <w:tcPr>
            <w:tcW w:w="2301" w:type="dxa"/>
          </w:tcPr>
          <w:p w14:paraId="52971EF6">
            <w:pPr>
              <w:widowControl w:val="0"/>
              <w:spacing w:before="146" w:line="227" w:lineRule="auto"/>
              <w:ind w:left="750"/>
              <w:rPr>
                <w:rFonts w:ascii="宋体" w:hAnsi="宋体" w:cs="宋体"/>
                <w:sz w:val="20"/>
                <w:szCs w:val="20"/>
              </w:rPr>
            </w:pPr>
            <w:r>
              <w:rPr>
                <w:rFonts w:ascii="宋体" w:hAnsi="宋体" w:cs="宋体"/>
                <w:spacing w:val="4"/>
                <w:sz w:val="20"/>
                <w:szCs w:val="20"/>
              </w:rPr>
              <w:t>发布版本</w:t>
            </w:r>
          </w:p>
        </w:tc>
        <w:tc>
          <w:tcPr>
            <w:tcW w:w="1556" w:type="dxa"/>
          </w:tcPr>
          <w:p w14:paraId="299A9EB5">
            <w:pPr>
              <w:widowControl w:val="0"/>
              <w:spacing w:before="149" w:line="228" w:lineRule="auto"/>
              <w:ind w:left="501"/>
              <w:rPr>
                <w:rFonts w:ascii="宋体" w:hAnsi="宋体" w:cs="宋体"/>
                <w:sz w:val="20"/>
                <w:szCs w:val="20"/>
                <w:lang w:eastAsia="zh-CN"/>
              </w:rPr>
            </w:pPr>
            <w:r>
              <w:rPr>
                <w:rFonts w:hint="eastAsia" w:ascii="宋体" w:hAnsi="宋体" w:cs="宋体"/>
                <w:sz w:val="20"/>
                <w:szCs w:val="20"/>
                <w:lang w:eastAsia="zh-CN"/>
              </w:rPr>
              <w:t>王朋</w:t>
            </w:r>
          </w:p>
        </w:tc>
        <w:tc>
          <w:tcPr>
            <w:tcW w:w="1956" w:type="dxa"/>
          </w:tcPr>
          <w:p w14:paraId="19E908F7">
            <w:pPr>
              <w:widowControl w:val="0"/>
              <w:spacing w:before="146" w:line="228" w:lineRule="auto"/>
              <w:ind w:left="689"/>
              <w:rPr>
                <w:rFonts w:ascii="宋体" w:hAnsi="宋体" w:cs="宋体"/>
                <w:sz w:val="20"/>
                <w:szCs w:val="20"/>
              </w:rPr>
            </w:pPr>
            <w:r>
              <w:rPr>
                <w:rFonts w:ascii="宋体" w:hAnsi="宋体" w:cs="宋体"/>
                <w:spacing w:val="2"/>
                <w:sz w:val="20"/>
                <w:szCs w:val="20"/>
              </w:rPr>
              <w:t>史晓玲</w:t>
            </w:r>
          </w:p>
        </w:tc>
      </w:tr>
      <w:tr w14:paraId="5336EE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8" w:hRule="atLeast"/>
        </w:trPr>
        <w:tc>
          <w:tcPr>
            <w:tcW w:w="1567" w:type="dxa"/>
          </w:tcPr>
          <w:p w14:paraId="635BAB96">
            <w:pPr>
              <w:pStyle w:val="27"/>
              <w:widowControl w:val="0"/>
            </w:pPr>
          </w:p>
        </w:tc>
        <w:tc>
          <w:tcPr>
            <w:tcW w:w="1695" w:type="dxa"/>
          </w:tcPr>
          <w:p w14:paraId="1F338DE1">
            <w:pPr>
              <w:pStyle w:val="27"/>
              <w:widowControl w:val="0"/>
            </w:pPr>
          </w:p>
        </w:tc>
        <w:tc>
          <w:tcPr>
            <w:tcW w:w="2301" w:type="dxa"/>
          </w:tcPr>
          <w:p w14:paraId="59552F0A">
            <w:pPr>
              <w:pStyle w:val="27"/>
              <w:widowControl w:val="0"/>
            </w:pPr>
          </w:p>
        </w:tc>
        <w:tc>
          <w:tcPr>
            <w:tcW w:w="1556" w:type="dxa"/>
          </w:tcPr>
          <w:p w14:paraId="7E506534">
            <w:pPr>
              <w:pStyle w:val="27"/>
              <w:widowControl w:val="0"/>
            </w:pPr>
          </w:p>
        </w:tc>
        <w:tc>
          <w:tcPr>
            <w:tcW w:w="1956" w:type="dxa"/>
          </w:tcPr>
          <w:p w14:paraId="55674985">
            <w:pPr>
              <w:pStyle w:val="27"/>
              <w:widowControl w:val="0"/>
            </w:pPr>
          </w:p>
        </w:tc>
      </w:tr>
      <w:tr w14:paraId="65976E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9" w:hRule="atLeast"/>
        </w:trPr>
        <w:tc>
          <w:tcPr>
            <w:tcW w:w="1567" w:type="dxa"/>
          </w:tcPr>
          <w:p w14:paraId="359355CC">
            <w:pPr>
              <w:pStyle w:val="27"/>
              <w:widowControl w:val="0"/>
            </w:pPr>
          </w:p>
        </w:tc>
        <w:tc>
          <w:tcPr>
            <w:tcW w:w="1695" w:type="dxa"/>
          </w:tcPr>
          <w:p w14:paraId="26434256">
            <w:pPr>
              <w:pStyle w:val="27"/>
              <w:widowControl w:val="0"/>
            </w:pPr>
          </w:p>
        </w:tc>
        <w:tc>
          <w:tcPr>
            <w:tcW w:w="2301" w:type="dxa"/>
          </w:tcPr>
          <w:p w14:paraId="29C3484B">
            <w:pPr>
              <w:pStyle w:val="27"/>
              <w:widowControl w:val="0"/>
            </w:pPr>
          </w:p>
        </w:tc>
        <w:tc>
          <w:tcPr>
            <w:tcW w:w="1556" w:type="dxa"/>
          </w:tcPr>
          <w:p w14:paraId="2C760536">
            <w:pPr>
              <w:pStyle w:val="27"/>
              <w:widowControl w:val="0"/>
            </w:pPr>
          </w:p>
        </w:tc>
        <w:tc>
          <w:tcPr>
            <w:tcW w:w="1956" w:type="dxa"/>
          </w:tcPr>
          <w:p w14:paraId="187979EA">
            <w:pPr>
              <w:pStyle w:val="27"/>
              <w:widowControl w:val="0"/>
            </w:pPr>
          </w:p>
        </w:tc>
      </w:tr>
      <w:tr w14:paraId="59B3F5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9" w:hRule="atLeast"/>
        </w:trPr>
        <w:tc>
          <w:tcPr>
            <w:tcW w:w="1567" w:type="dxa"/>
          </w:tcPr>
          <w:p w14:paraId="69DDA7B5">
            <w:pPr>
              <w:pStyle w:val="27"/>
              <w:widowControl w:val="0"/>
            </w:pPr>
          </w:p>
        </w:tc>
        <w:tc>
          <w:tcPr>
            <w:tcW w:w="1695" w:type="dxa"/>
          </w:tcPr>
          <w:p w14:paraId="21D0C3F0">
            <w:pPr>
              <w:pStyle w:val="27"/>
              <w:widowControl w:val="0"/>
            </w:pPr>
          </w:p>
        </w:tc>
        <w:tc>
          <w:tcPr>
            <w:tcW w:w="2301" w:type="dxa"/>
          </w:tcPr>
          <w:p w14:paraId="5AF4C2ED">
            <w:pPr>
              <w:pStyle w:val="27"/>
              <w:widowControl w:val="0"/>
            </w:pPr>
          </w:p>
        </w:tc>
        <w:tc>
          <w:tcPr>
            <w:tcW w:w="1556" w:type="dxa"/>
          </w:tcPr>
          <w:p w14:paraId="31349A76">
            <w:pPr>
              <w:pStyle w:val="27"/>
              <w:widowControl w:val="0"/>
            </w:pPr>
          </w:p>
        </w:tc>
        <w:tc>
          <w:tcPr>
            <w:tcW w:w="1956" w:type="dxa"/>
          </w:tcPr>
          <w:p w14:paraId="09118D90">
            <w:pPr>
              <w:pStyle w:val="27"/>
              <w:widowControl w:val="0"/>
            </w:pPr>
          </w:p>
        </w:tc>
      </w:tr>
      <w:tr w14:paraId="4D869E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2" w:hRule="atLeast"/>
        </w:trPr>
        <w:tc>
          <w:tcPr>
            <w:tcW w:w="1567" w:type="dxa"/>
          </w:tcPr>
          <w:p w14:paraId="54293C85">
            <w:pPr>
              <w:pStyle w:val="27"/>
              <w:widowControl w:val="0"/>
            </w:pPr>
          </w:p>
        </w:tc>
        <w:tc>
          <w:tcPr>
            <w:tcW w:w="1695" w:type="dxa"/>
          </w:tcPr>
          <w:p w14:paraId="264DF161">
            <w:pPr>
              <w:pStyle w:val="27"/>
              <w:widowControl w:val="0"/>
            </w:pPr>
          </w:p>
        </w:tc>
        <w:tc>
          <w:tcPr>
            <w:tcW w:w="2301" w:type="dxa"/>
          </w:tcPr>
          <w:p w14:paraId="0E3755D4">
            <w:pPr>
              <w:pStyle w:val="27"/>
              <w:widowControl w:val="0"/>
            </w:pPr>
          </w:p>
        </w:tc>
        <w:tc>
          <w:tcPr>
            <w:tcW w:w="1556" w:type="dxa"/>
          </w:tcPr>
          <w:p w14:paraId="31BDEAC1">
            <w:pPr>
              <w:pStyle w:val="27"/>
              <w:widowControl w:val="0"/>
            </w:pPr>
          </w:p>
        </w:tc>
        <w:tc>
          <w:tcPr>
            <w:tcW w:w="1956" w:type="dxa"/>
          </w:tcPr>
          <w:p w14:paraId="27A28C4A">
            <w:pPr>
              <w:pStyle w:val="27"/>
              <w:widowControl w:val="0"/>
            </w:pPr>
          </w:p>
        </w:tc>
      </w:tr>
      <w:tr w14:paraId="650937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8" w:hRule="atLeast"/>
        </w:trPr>
        <w:tc>
          <w:tcPr>
            <w:tcW w:w="1567" w:type="dxa"/>
          </w:tcPr>
          <w:p w14:paraId="1683A088">
            <w:pPr>
              <w:pStyle w:val="27"/>
              <w:widowControl w:val="0"/>
            </w:pPr>
          </w:p>
        </w:tc>
        <w:tc>
          <w:tcPr>
            <w:tcW w:w="1695" w:type="dxa"/>
          </w:tcPr>
          <w:p w14:paraId="4CC0F9EA">
            <w:pPr>
              <w:pStyle w:val="27"/>
              <w:widowControl w:val="0"/>
            </w:pPr>
          </w:p>
        </w:tc>
        <w:tc>
          <w:tcPr>
            <w:tcW w:w="2301" w:type="dxa"/>
          </w:tcPr>
          <w:p w14:paraId="4A8DEC0E">
            <w:pPr>
              <w:pStyle w:val="27"/>
              <w:widowControl w:val="0"/>
            </w:pPr>
          </w:p>
        </w:tc>
        <w:tc>
          <w:tcPr>
            <w:tcW w:w="1556" w:type="dxa"/>
          </w:tcPr>
          <w:p w14:paraId="09E1D8C6">
            <w:pPr>
              <w:pStyle w:val="27"/>
              <w:widowControl w:val="0"/>
            </w:pPr>
          </w:p>
        </w:tc>
        <w:tc>
          <w:tcPr>
            <w:tcW w:w="1956" w:type="dxa"/>
          </w:tcPr>
          <w:p w14:paraId="76D00AC4">
            <w:pPr>
              <w:pStyle w:val="27"/>
              <w:widowControl w:val="0"/>
            </w:pPr>
          </w:p>
        </w:tc>
      </w:tr>
    </w:tbl>
    <w:p w14:paraId="278ACDF5">
      <w:pPr>
        <w:pStyle w:val="12"/>
        <w:widowControl w:val="0"/>
      </w:pPr>
    </w:p>
    <w:p w14:paraId="17861D85">
      <w:pPr>
        <w:widowControl w:val="0"/>
        <w:sectPr>
          <w:footerReference r:id="rId5" w:type="default"/>
          <w:pgSz w:w="11906" w:h="16840"/>
          <w:pgMar w:top="1431" w:right="1117" w:bottom="1144" w:left="1708" w:header="0" w:footer="978" w:gutter="0"/>
          <w:cols w:space="720" w:num="1"/>
        </w:sectPr>
      </w:pPr>
    </w:p>
    <w:sdt>
      <w:sdtPr>
        <w:rPr>
          <w:rFonts w:ascii="宋体" w:hAnsi="宋体"/>
        </w:rPr>
        <w:id w:val="147458789"/>
        <w:docPartObj>
          <w:docPartGallery w:val="Table of Contents"/>
          <w:docPartUnique/>
        </w:docPartObj>
      </w:sdtPr>
      <w:sdtEndPr>
        <w:rPr>
          <w:rFonts w:ascii="Calibri" w:hAnsi="Calibri" w:eastAsia="Calibri" w:cs="Calibri"/>
          <w:szCs w:val="19"/>
        </w:rPr>
      </w:sdtEndPr>
      <w:sdtContent>
        <w:p w14:paraId="76DECD74">
          <w:pPr>
            <w:widowControl w:val="0"/>
            <w:spacing w:line="240" w:lineRule="auto"/>
            <w:jc w:val="center"/>
            <w:rPr>
              <w:rFonts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t>目录</w:t>
          </w:r>
        </w:p>
        <w:p w14:paraId="3E305BAA">
          <w:pPr>
            <w:pStyle w:val="17"/>
            <w:tabs>
              <w:tab w:val="right" w:leader="dot" w:pos="8476"/>
            </w:tabs>
          </w:pPr>
          <w:r>
            <w:rPr>
              <w:rFonts w:hint="eastAsia" w:ascii="Microsoft JhengHei" w:hAnsi="Microsoft JhengHei" w:cs="Microsoft JhengHei"/>
              <w:szCs w:val="24"/>
            </w:rPr>
            <w:fldChar w:fldCharType="begin"/>
          </w:r>
          <w:r>
            <w:rPr>
              <w:rFonts w:hint="eastAsia" w:ascii="Microsoft JhengHei" w:hAnsi="Microsoft JhengHei" w:cs="Microsoft JhengHei"/>
              <w:szCs w:val="24"/>
            </w:rPr>
            <w:instrText xml:space="preserve">TOC \o "1-3" \h \u </w:instrText>
          </w:r>
          <w:r>
            <w:rPr>
              <w:rFonts w:hint="eastAsia" w:ascii="Microsoft JhengHei" w:hAnsi="Microsoft JhengHei" w:cs="Microsoft JhengHei"/>
              <w:szCs w:val="24"/>
            </w:rPr>
            <w:fldChar w:fldCharType="separate"/>
          </w:r>
          <w:r>
            <w:rPr>
              <w:rFonts w:hint="eastAsia" w:ascii="Microsoft JhengHei" w:hAnsi="Microsoft JhengHei" w:cs="Microsoft JhengHei"/>
              <w:szCs w:val="24"/>
            </w:rPr>
            <w:fldChar w:fldCharType="begin"/>
          </w:r>
          <w:r>
            <w:rPr>
              <w:rFonts w:hint="eastAsia" w:ascii="Microsoft JhengHei" w:hAnsi="Microsoft JhengHei" w:cs="Microsoft JhengHei"/>
              <w:szCs w:val="24"/>
            </w:rPr>
            <w:instrText xml:space="preserve"> HYPERLINK \l _Toc4396 </w:instrText>
          </w:r>
          <w:r>
            <w:rPr>
              <w:rFonts w:hint="eastAsia" w:ascii="Microsoft JhengHei" w:hAnsi="Microsoft JhengHei" w:cs="Microsoft JhengHei"/>
              <w:szCs w:val="24"/>
            </w:rPr>
            <w:fldChar w:fldCharType="separate"/>
          </w:r>
          <w:r>
            <w:t>运维服务目录管理规范</w:t>
          </w:r>
          <w:r>
            <w:tab/>
          </w:r>
          <w:r>
            <w:fldChar w:fldCharType="begin"/>
          </w:r>
          <w:r>
            <w:instrText xml:space="preserve"> PAGEREF _Toc4396 \h </w:instrText>
          </w:r>
          <w:r>
            <w:fldChar w:fldCharType="separate"/>
          </w:r>
          <w:r>
            <w:t>1</w:t>
          </w:r>
          <w:r>
            <w:fldChar w:fldCharType="end"/>
          </w:r>
          <w:r>
            <w:rPr>
              <w:rFonts w:hint="eastAsia" w:ascii="Microsoft JhengHei" w:hAnsi="Microsoft JhengHei" w:cs="Microsoft JhengHei"/>
              <w:szCs w:val="24"/>
            </w:rPr>
            <w:fldChar w:fldCharType="end"/>
          </w:r>
        </w:p>
        <w:p w14:paraId="0B505154">
          <w:pPr>
            <w:pStyle w:val="17"/>
            <w:tabs>
              <w:tab w:val="right" w:leader="dot" w:pos="847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_Toc18408 </w:instrText>
          </w:r>
          <w:r>
            <w:rPr>
              <w:rFonts w:hint="eastAsia" w:ascii="Microsoft JhengHei" w:hAnsi="Microsoft JhengHei" w:eastAsia="Microsoft JhengHei" w:cs="Microsoft JhengHei"/>
              <w:szCs w:val="24"/>
            </w:rPr>
            <w:fldChar w:fldCharType="separate"/>
          </w:r>
          <w:r>
            <w:t>江苏云储智能科技有限公司</w:t>
          </w:r>
          <w:r>
            <w:tab/>
          </w:r>
          <w:r>
            <w:fldChar w:fldCharType="begin"/>
          </w:r>
          <w:r>
            <w:instrText xml:space="preserve"> PAGEREF _Toc18408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1C7D71EE">
          <w:pPr>
            <w:pStyle w:val="17"/>
            <w:tabs>
              <w:tab w:val="right" w:leader="dot" w:pos="847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_Toc1867 </w:instrText>
          </w:r>
          <w:r>
            <w:rPr>
              <w:rFonts w:hint="eastAsia" w:ascii="Microsoft JhengHei" w:hAnsi="Microsoft JhengHei" w:eastAsia="Microsoft JhengHei" w:cs="Microsoft JhengHei"/>
              <w:szCs w:val="24"/>
            </w:rPr>
            <w:fldChar w:fldCharType="separate"/>
          </w:r>
          <w:r>
            <w:rPr>
              <w:rFonts w:ascii="宋体" w:hAnsi="宋体" w:cs="宋体"/>
              <w:spacing w:val="-5"/>
              <w:szCs w:val="28"/>
            </w:rPr>
            <w:t>文档信息</w:t>
          </w:r>
          <w:r>
            <w:tab/>
          </w:r>
          <w:r>
            <w:fldChar w:fldCharType="begin"/>
          </w:r>
          <w:r>
            <w:instrText xml:space="preserve"> PAGEREF _Toc1867 \h </w:instrText>
          </w:r>
          <w:r>
            <w:fldChar w:fldCharType="separate"/>
          </w:r>
          <w:r>
            <w:t>2</w:t>
          </w:r>
          <w:r>
            <w:fldChar w:fldCharType="end"/>
          </w:r>
          <w:r>
            <w:rPr>
              <w:rFonts w:hint="eastAsia" w:ascii="Microsoft JhengHei" w:hAnsi="Microsoft JhengHei" w:eastAsia="Microsoft JhengHei" w:cs="Microsoft JhengHei"/>
              <w:szCs w:val="24"/>
            </w:rPr>
            <w:fldChar w:fldCharType="end"/>
          </w:r>
        </w:p>
        <w:p w14:paraId="201C4C2E">
          <w:pPr>
            <w:pStyle w:val="17"/>
            <w:tabs>
              <w:tab w:val="right" w:leader="dot" w:pos="847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_Toc16271 </w:instrText>
          </w:r>
          <w:r>
            <w:rPr>
              <w:rFonts w:hint="eastAsia" w:ascii="Microsoft JhengHei" w:hAnsi="Microsoft JhengHei" w:eastAsia="Microsoft JhengHei" w:cs="Microsoft JhengHei"/>
              <w:szCs w:val="24"/>
            </w:rPr>
            <w:fldChar w:fldCharType="separate"/>
          </w:r>
          <w:r>
            <w:rPr>
              <w:rFonts w:hint="default"/>
            </w:rPr>
            <w:t xml:space="preserve">1. </w:t>
          </w:r>
          <w:r>
            <w:t>目的</w:t>
          </w:r>
          <w:r>
            <w:tab/>
          </w:r>
          <w:r>
            <w:fldChar w:fldCharType="begin"/>
          </w:r>
          <w:r>
            <w:instrText xml:space="preserve"> PAGEREF _Toc16271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7C0A936E">
          <w:pPr>
            <w:pStyle w:val="17"/>
            <w:tabs>
              <w:tab w:val="right" w:leader="dot" w:pos="847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_Toc4076 </w:instrText>
          </w:r>
          <w:r>
            <w:rPr>
              <w:rFonts w:hint="eastAsia" w:ascii="Microsoft JhengHei" w:hAnsi="Microsoft JhengHei" w:eastAsia="Microsoft JhengHei" w:cs="Microsoft JhengHei"/>
              <w:szCs w:val="24"/>
            </w:rPr>
            <w:fldChar w:fldCharType="separate"/>
          </w:r>
          <w:r>
            <w:rPr>
              <w:rFonts w:hint="default"/>
            </w:rPr>
            <w:t xml:space="preserve">2. </w:t>
          </w:r>
          <w:r>
            <w:t>范围</w:t>
          </w:r>
          <w:r>
            <w:tab/>
          </w:r>
          <w:r>
            <w:fldChar w:fldCharType="begin"/>
          </w:r>
          <w:r>
            <w:instrText xml:space="preserve"> PAGEREF _Toc4076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57DEA596">
          <w:pPr>
            <w:pStyle w:val="17"/>
            <w:tabs>
              <w:tab w:val="right" w:leader="dot" w:pos="847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_Toc24068 </w:instrText>
          </w:r>
          <w:r>
            <w:rPr>
              <w:rFonts w:hint="eastAsia" w:ascii="Microsoft JhengHei" w:hAnsi="Microsoft JhengHei" w:eastAsia="Microsoft JhengHei" w:cs="Microsoft JhengHei"/>
              <w:szCs w:val="24"/>
            </w:rPr>
            <w:fldChar w:fldCharType="separate"/>
          </w:r>
          <w:r>
            <w:rPr>
              <w:rFonts w:hint="default"/>
            </w:rPr>
            <w:t xml:space="preserve">3. </w:t>
          </w:r>
          <w:r>
            <w:t>定义</w:t>
          </w:r>
          <w:r>
            <w:tab/>
          </w:r>
          <w:r>
            <w:fldChar w:fldCharType="begin"/>
          </w:r>
          <w:r>
            <w:instrText xml:space="preserve"> PAGEREF _Toc24068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3C035115">
          <w:pPr>
            <w:pStyle w:val="17"/>
            <w:tabs>
              <w:tab w:val="right" w:leader="dot" w:pos="847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_Toc30239 </w:instrText>
          </w:r>
          <w:r>
            <w:rPr>
              <w:rFonts w:hint="eastAsia" w:ascii="Microsoft JhengHei" w:hAnsi="Microsoft JhengHei" w:eastAsia="Microsoft JhengHei" w:cs="Microsoft JhengHei"/>
              <w:szCs w:val="24"/>
            </w:rPr>
            <w:fldChar w:fldCharType="separate"/>
          </w:r>
          <w:r>
            <w:rPr>
              <w:rFonts w:hint="default"/>
            </w:rPr>
            <w:t xml:space="preserve">4. </w:t>
          </w:r>
          <w:r>
            <w:t>输入与输出</w:t>
          </w:r>
          <w:r>
            <w:tab/>
          </w:r>
          <w:r>
            <w:fldChar w:fldCharType="begin"/>
          </w:r>
          <w:r>
            <w:instrText xml:space="preserve"> PAGEREF _Toc30239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0D3D7C01">
          <w:pPr>
            <w:pStyle w:val="18"/>
            <w:tabs>
              <w:tab w:val="right" w:leader="dot" w:pos="847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_Toc9943 </w:instrText>
          </w:r>
          <w:r>
            <w:rPr>
              <w:rFonts w:hint="eastAsia" w:ascii="Microsoft JhengHei" w:hAnsi="Microsoft JhengHei" w:eastAsia="Microsoft JhengHei" w:cs="Microsoft JhengHei"/>
              <w:szCs w:val="24"/>
            </w:rPr>
            <w:fldChar w:fldCharType="separate"/>
          </w:r>
          <w:r>
            <w:rPr>
              <w:rFonts w:hint="default"/>
            </w:rPr>
            <w:t xml:space="preserve">4.1. </w:t>
          </w:r>
          <w:r>
            <w:t>主要输入</w:t>
          </w:r>
          <w:r>
            <w:tab/>
          </w:r>
          <w:r>
            <w:fldChar w:fldCharType="begin"/>
          </w:r>
          <w:r>
            <w:instrText xml:space="preserve"> PAGEREF _Toc9943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0E8BAF56">
          <w:pPr>
            <w:pStyle w:val="18"/>
            <w:tabs>
              <w:tab w:val="right" w:leader="dot" w:pos="847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_Toc26884 </w:instrText>
          </w:r>
          <w:r>
            <w:rPr>
              <w:rFonts w:hint="eastAsia" w:ascii="Microsoft JhengHei" w:hAnsi="Microsoft JhengHei" w:eastAsia="Microsoft JhengHei" w:cs="Microsoft JhengHei"/>
              <w:szCs w:val="24"/>
            </w:rPr>
            <w:fldChar w:fldCharType="separate"/>
          </w:r>
          <w:r>
            <w:rPr>
              <w:rFonts w:hint="default"/>
            </w:rPr>
            <w:t xml:space="preserve">4.2. </w:t>
          </w:r>
          <w:r>
            <w:t>主要输出</w:t>
          </w:r>
          <w:r>
            <w:tab/>
          </w:r>
          <w:r>
            <w:fldChar w:fldCharType="begin"/>
          </w:r>
          <w:r>
            <w:instrText xml:space="preserve"> PAGEREF _Toc26884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1066E756">
          <w:pPr>
            <w:pStyle w:val="17"/>
            <w:tabs>
              <w:tab w:val="right" w:leader="dot" w:pos="847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_Toc10031 </w:instrText>
          </w:r>
          <w:r>
            <w:rPr>
              <w:rFonts w:hint="eastAsia" w:ascii="Microsoft JhengHei" w:hAnsi="Microsoft JhengHei" w:eastAsia="Microsoft JhengHei" w:cs="Microsoft JhengHei"/>
              <w:szCs w:val="24"/>
            </w:rPr>
            <w:fldChar w:fldCharType="separate"/>
          </w:r>
          <w:r>
            <w:rPr>
              <w:rFonts w:hint="default"/>
            </w:rPr>
            <w:t xml:space="preserve">5. </w:t>
          </w:r>
          <w:r>
            <w:t>职责权限</w:t>
          </w:r>
          <w:r>
            <w:tab/>
          </w:r>
          <w:r>
            <w:fldChar w:fldCharType="begin"/>
          </w:r>
          <w:r>
            <w:instrText xml:space="preserve"> PAGEREF _Toc10031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79B091C9">
          <w:pPr>
            <w:pStyle w:val="17"/>
            <w:tabs>
              <w:tab w:val="right" w:leader="dot" w:pos="847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_Toc6537 </w:instrText>
          </w:r>
          <w:r>
            <w:rPr>
              <w:rFonts w:hint="eastAsia" w:ascii="Microsoft JhengHei" w:hAnsi="Microsoft JhengHei" w:eastAsia="Microsoft JhengHei" w:cs="Microsoft JhengHei"/>
              <w:szCs w:val="24"/>
            </w:rPr>
            <w:fldChar w:fldCharType="separate"/>
          </w:r>
          <w:r>
            <w:rPr>
              <w:rFonts w:hint="default"/>
            </w:rPr>
            <w:t xml:space="preserve">6. </w:t>
          </w:r>
          <w:r>
            <w:t>服务目录管理机制</w:t>
          </w:r>
          <w:r>
            <w:tab/>
          </w:r>
          <w:r>
            <w:fldChar w:fldCharType="begin"/>
          </w:r>
          <w:r>
            <w:instrText xml:space="preserve"> PAGEREF _Toc6537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14324F76">
          <w:pPr>
            <w:pStyle w:val="18"/>
            <w:tabs>
              <w:tab w:val="right" w:leader="dot" w:pos="847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_Toc19227 </w:instrText>
          </w:r>
          <w:r>
            <w:rPr>
              <w:rFonts w:hint="eastAsia" w:ascii="Microsoft JhengHei" w:hAnsi="Microsoft JhengHei" w:eastAsia="Microsoft JhengHei" w:cs="Microsoft JhengHei"/>
              <w:szCs w:val="24"/>
            </w:rPr>
            <w:fldChar w:fldCharType="separate"/>
          </w:r>
          <w:r>
            <w:rPr>
              <w:rFonts w:hint="default"/>
            </w:rPr>
            <w:t xml:space="preserve">6.1. </w:t>
          </w:r>
          <w:r>
            <w:t>服务目录内容</w:t>
          </w:r>
          <w:r>
            <w:tab/>
          </w:r>
          <w:r>
            <w:fldChar w:fldCharType="begin"/>
          </w:r>
          <w:r>
            <w:instrText xml:space="preserve"> PAGEREF _Toc19227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714EE513">
          <w:pPr>
            <w:pStyle w:val="18"/>
            <w:tabs>
              <w:tab w:val="right" w:leader="dot" w:pos="847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_Toc12016 </w:instrText>
          </w:r>
          <w:r>
            <w:rPr>
              <w:rFonts w:hint="eastAsia" w:ascii="Microsoft JhengHei" w:hAnsi="Microsoft JhengHei" w:eastAsia="Microsoft JhengHei" w:cs="Microsoft JhengHei"/>
              <w:szCs w:val="24"/>
            </w:rPr>
            <w:fldChar w:fldCharType="separate"/>
          </w:r>
          <w:r>
            <w:rPr>
              <w:rFonts w:hint="default"/>
            </w:rPr>
            <w:t xml:space="preserve">6.2. </w:t>
          </w:r>
          <w:r>
            <w:t>受众和目标</w:t>
          </w:r>
          <w:r>
            <w:tab/>
          </w:r>
          <w:r>
            <w:fldChar w:fldCharType="begin"/>
          </w:r>
          <w:r>
            <w:instrText xml:space="preserve"> PAGEREF _Toc12016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13E97610">
          <w:pPr>
            <w:pStyle w:val="18"/>
            <w:tabs>
              <w:tab w:val="right" w:leader="dot" w:pos="847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_Toc8835 </w:instrText>
          </w:r>
          <w:r>
            <w:rPr>
              <w:rFonts w:hint="eastAsia" w:ascii="Microsoft JhengHei" w:hAnsi="Microsoft JhengHei" w:eastAsia="Microsoft JhengHei" w:cs="Microsoft JhengHei"/>
              <w:szCs w:val="24"/>
            </w:rPr>
            <w:fldChar w:fldCharType="separate"/>
          </w:r>
          <w:r>
            <w:rPr>
              <w:rFonts w:hint="default"/>
            </w:rPr>
            <w:t xml:space="preserve">6.3. </w:t>
          </w:r>
          <w:r>
            <w:t>基本要求</w:t>
          </w:r>
          <w:r>
            <w:tab/>
          </w:r>
          <w:r>
            <w:fldChar w:fldCharType="begin"/>
          </w:r>
          <w:r>
            <w:instrText xml:space="preserve"> PAGEREF _Toc8835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7C28C557">
          <w:pPr>
            <w:pStyle w:val="18"/>
            <w:tabs>
              <w:tab w:val="right" w:leader="dot" w:pos="847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_Toc4233 </w:instrText>
          </w:r>
          <w:r>
            <w:rPr>
              <w:rFonts w:hint="eastAsia" w:ascii="Microsoft JhengHei" w:hAnsi="Microsoft JhengHei" w:eastAsia="Microsoft JhengHei" w:cs="Microsoft JhengHei"/>
              <w:szCs w:val="24"/>
            </w:rPr>
            <w:fldChar w:fldCharType="separate"/>
          </w:r>
          <w:r>
            <w:rPr>
              <w:rFonts w:hint="default"/>
            </w:rPr>
            <w:t xml:space="preserve">6.4. </w:t>
          </w:r>
          <w:r>
            <w:t>内容形式</w:t>
          </w:r>
          <w:r>
            <w:tab/>
          </w:r>
          <w:r>
            <w:fldChar w:fldCharType="begin"/>
          </w:r>
          <w:r>
            <w:instrText xml:space="preserve"> PAGEREF _Toc4233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58FA5884">
          <w:pPr>
            <w:pStyle w:val="18"/>
            <w:tabs>
              <w:tab w:val="right" w:leader="dot" w:pos="847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_Toc14957 </w:instrText>
          </w:r>
          <w:r>
            <w:rPr>
              <w:rFonts w:hint="eastAsia" w:ascii="Microsoft JhengHei" w:hAnsi="Microsoft JhengHei" w:eastAsia="Microsoft JhengHei" w:cs="Microsoft JhengHei"/>
              <w:szCs w:val="24"/>
            </w:rPr>
            <w:fldChar w:fldCharType="separate"/>
          </w:r>
          <w:r>
            <w:rPr>
              <w:rFonts w:hint="default"/>
            </w:rPr>
            <w:t xml:space="preserve">6.5. </w:t>
          </w:r>
          <w:r>
            <w:rPr>
              <w:rFonts w:hint="eastAsia"/>
              <w:lang w:eastAsia="zh-CN"/>
            </w:rPr>
            <w:t>服务目录需求定义</w:t>
          </w:r>
          <w:r>
            <w:tab/>
          </w:r>
          <w:r>
            <w:fldChar w:fldCharType="begin"/>
          </w:r>
          <w:r>
            <w:instrText xml:space="preserve"> PAGEREF _Toc14957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7FC8ACD7">
          <w:pPr>
            <w:pStyle w:val="18"/>
            <w:tabs>
              <w:tab w:val="right" w:leader="dot" w:pos="847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_Toc13899 </w:instrText>
          </w:r>
          <w:r>
            <w:rPr>
              <w:rFonts w:hint="eastAsia" w:ascii="Microsoft JhengHei" w:hAnsi="Microsoft JhengHei" w:eastAsia="Microsoft JhengHei" w:cs="Microsoft JhengHei"/>
              <w:szCs w:val="24"/>
            </w:rPr>
            <w:fldChar w:fldCharType="separate"/>
          </w:r>
          <w:r>
            <w:rPr>
              <w:rFonts w:hint="default"/>
              <w:lang w:eastAsia="zh-CN"/>
            </w:rPr>
            <w:t xml:space="preserve">6.6. </w:t>
          </w:r>
          <w:r>
            <w:rPr>
              <w:rFonts w:hint="eastAsia"/>
              <w:lang w:eastAsia="zh-CN"/>
            </w:rPr>
            <w:t>服务目录管理与分发</w:t>
          </w:r>
          <w:r>
            <w:tab/>
          </w:r>
          <w:r>
            <w:fldChar w:fldCharType="begin"/>
          </w:r>
          <w:r>
            <w:instrText xml:space="preserve"> PAGEREF _Toc13899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03201E6C">
          <w:pPr>
            <w:pStyle w:val="18"/>
            <w:tabs>
              <w:tab w:val="right" w:leader="dot" w:pos="847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_Toc5565 </w:instrText>
          </w:r>
          <w:r>
            <w:rPr>
              <w:rFonts w:hint="eastAsia" w:ascii="Microsoft JhengHei" w:hAnsi="Microsoft JhengHei" w:eastAsia="Microsoft JhengHei" w:cs="Microsoft JhengHei"/>
              <w:szCs w:val="24"/>
            </w:rPr>
            <w:fldChar w:fldCharType="separate"/>
          </w:r>
          <w:r>
            <w:rPr>
              <w:rFonts w:hint="default"/>
              <w:lang w:eastAsia="zh-CN"/>
            </w:rPr>
            <w:t xml:space="preserve">6.7. </w:t>
          </w:r>
          <w:r>
            <w:rPr>
              <w:rFonts w:hint="eastAsia"/>
              <w:lang w:eastAsia="zh-CN"/>
            </w:rPr>
            <w:t>服务目录定期回顾与有效性保障</w:t>
          </w:r>
          <w:r>
            <w:tab/>
          </w:r>
          <w:r>
            <w:fldChar w:fldCharType="begin"/>
          </w:r>
          <w:r>
            <w:instrText xml:space="preserve"> PAGEREF _Toc5565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1A6B6D90">
          <w:pPr>
            <w:pStyle w:val="17"/>
            <w:tabs>
              <w:tab w:val="right" w:leader="dot" w:pos="847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_Toc32566 </w:instrText>
          </w:r>
          <w:r>
            <w:rPr>
              <w:rFonts w:hint="eastAsia" w:ascii="Microsoft JhengHei" w:hAnsi="Microsoft JhengHei" w:eastAsia="Microsoft JhengHei" w:cs="Microsoft JhengHei"/>
              <w:szCs w:val="24"/>
            </w:rPr>
            <w:fldChar w:fldCharType="separate"/>
          </w:r>
          <w:r>
            <w:rPr>
              <w:rFonts w:hint="default"/>
            </w:rPr>
            <w:t xml:space="preserve">7. </w:t>
          </w:r>
          <w:r>
            <w:t>服务目录管理流程</w:t>
          </w:r>
          <w:r>
            <w:tab/>
          </w:r>
          <w:r>
            <w:fldChar w:fldCharType="begin"/>
          </w:r>
          <w:r>
            <w:instrText xml:space="preserve"> PAGEREF _Toc32566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3071C581">
          <w:pPr>
            <w:pStyle w:val="18"/>
            <w:tabs>
              <w:tab w:val="right" w:leader="dot" w:pos="847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_Toc26771 </w:instrText>
          </w:r>
          <w:r>
            <w:rPr>
              <w:rFonts w:hint="eastAsia" w:ascii="Microsoft JhengHei" w:hAnsi="Microsoft JhengHei" w:eastAsia="Microsoft JhengHei" w:cs="Microsoft JhengHei"/>
              <w:szCs w:val="24"/>
            </w:rPr>
            <w:fldChar w:fldCharType="separate"/>
          </w:r>
          <w:r>
            <w:rPr>
              <w:rFonts w:hint="default"/>
            </w:rPr>
            <w:t xml:space="preserve">7.1. </w:t>
          </w:r>
          <w:r>
            <w:t>管理流程图</w:t>
          </w:r>
          <w:r>
            <w:tab/>
          </w:r>
          <w:r>
            <w:fldChar w:fldCharType="begin"/>
          </w:r>
          <w:r>
            <w:instrText xml:space="preserve"> PAGEREF _Toc26771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3CA8576C">
          <w:pPr>
            <w:pStyle w:val="18"/>
            <w:tabs>
              <w:tab w:val="right" w:leader="dot" w:pos="847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_Toc17301 </w:instrText>
          </w:r>
          <w:r>
            <w:rPr>
              <w:rFonts w:hint="eastAsia" w:ascii="Microsoft JhengHei" w:hAnsi="Microsoft JhengHei" w:eastAsia="Microsoft JhengHei" w:cs="Microsoft JhengHei"/>
              <w:szCs w:val="24"/>
            </w:rPr>
            <w:fldChar w:fldCharType="separate"/>
          </w:r>
          <w:r>
            <w:rPr>
              <w:rFonts w:hint="default"/>
            </w:rPr>
            <w:t xml:space="preserve">7.2. </w:t>
          </w:r>
          <w:r>
            <w:t>过程描述</w:t>
          </w:r>
          <w:r>
            <w:tab/>
          </w:r>
          <w:r>
            <w:fldChar w:fldCharType="begin"/>
          </w:r>
          <w:r>
            <w:instrText xml:space="preserve"> PAGEREF _Toc17301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2CD34B0D">
          <w:pPr>
            <w:pStyle w:val="17"/>
            <w:tabs>
              <w:tab w:val="right" w:leader="dot" w:pos="847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_Toc5105 </w:instrText>
          </w:r>
          <w:r>
            <w:rPr>
              <w:rFonts w:hint="eastAsia" w:ascii="Microsoft JhengHei" w:hAnsi="Microsoft JhengHei" w:eastAsia="Microsoft JhengHei" w:cs="Microsoft JhengHei"/>
              <w:szCs w:val="24"/>
            </w:rPr>
            <w:fldChar w:fldCharType="separate"/>
          </w:r>
          <w:r>
            <w:rPr>
              <w:rFonts w:hint="default"/>
            </w:rPr>
            <w:t xml:space="preserve">8. </w:t>
          </w:r>
          <w:r>
            <w:t>服务目录价值</w:t>
          </w:r>
          <w:r>
            <w:tab/>
          </w:r>
          <w:r>
            <w:fldChar w:fldCharType="begin"/>
          </w:r>
          <w:r>
            <w:instrText xml:space="preserve"> PAGEREF _Toc5105 \h </w:instrText>
          </w:r>
          <w:r>
            <w:fldChar w:fldCharType="separate"/>
          </w:r>
          <w:r>
            <w:t>10</w:t>
          </w:r>
          <w:r>
            <w:fldChar w:fldCharType="end"/>
          </w:r>
          <w:r>
            <w:rPr>
              <w:rFonts w:hint="eastAsia" w:ascii="Microsoft JhengHei" w:hAnsi="Microsoft JhengHei" w:eastAsia="Microsoft JhengHei" w:cs="Microsoft JhengHei"/>
              <w:szCs w:val="24"/>
            </w:rPr>
            <w:fldChar w:fldCharType="end"/>
          </w:r>
        </w:p>
        <w:p w14:paraId="5D711A4D">
          <w:pPr>
            <w:pStyle w:val="17"/>
            <w:tabs>
              <w:tab w:val="right" w:leader="dot" w:pos="847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_Toc19110 </w:instrText>
          </w:r>
          <w:r>
            <w:rPr>
              <w:rFonts w:hint="eastAsia" w:ascii="Microsoft JhengHei" w:hAnsi="Microsoft JhengHei" w:eastAsia="Microsoft JhengHei" w:cs="Microsoft JhengHei"/>
              <w:szCs w:val="24"/>
            </w:rPr>
            <w:fldChar w:fldCharType="separate"/>
          </w:r>
          <w:r>
            <w:rPr>
              <w:rFonts w:hint="default"/>
            </w:rPr>
            <w:t xml:space="preserve">9. </w:t>
          </w:r>
          <w:r>
            <w:t>与其他过程的关系</w:t>
          </w:r>
          <w:r>
            <w:tab/>
          </w:r>
          <w:r>
            <w:fldChar w:fldCharType="begin"/>
          </w:r>
          <w:r>
            <w:instrText xml:space="preserve"> PAGEREF _Toc19110 \h </w:instrText>
          </w:r>
          <w:r>
            <w:fldChar w:fldCharType="separate"/>
          </w:r>
          <w:r>
            <w:t>11</w:t>
          </w:r>
          <w:r>
            <w:fldChar w:fldCharType="end"/>
          </w:r>
          <w:r>
            <w:rPr>
              <w:rFonts w:hint="eastAsia" w:ascii="Microsoft JhengHei" w:hAnsi="Microsoft JhengHei" w:eastAsia="Microsoft JhengHei" w:cs="Microsoft JhengHei"/>
              <w:szCs w:val="24"/>
            </w:rPr>
            <w:fldChar w:fldCharType="end"/>
          </w:r>
        </w:p>
        <w:p w14:paraId="1F61F110">
          <w:pPr>
            <w:pStyle w:val="18"/>
            <w:tabs>
              <w:tab w:val="right" w:leader="dot" w:pos="847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_Toc2906 </w:instrText>
          </w:r>
          <w:r>
            <w:rPr>
              <w:rFonts w:hint="eastAsia" w:ascii="Microsoft JhengHei" w:hAnsi="Microsoft JhengHei" w:eastAsia="Microsoft JhengHei" w:cs="Microsoft JhengHei"/>
              <w:szCs w:val="24"/>
            </w:rPr>
            <w:fldChar w:fldCharType="separate"/>
          </w:r>
          <w:r>
            <w:rPr>
              <w:rFonts w:hint="default"/>
            </w:rPr>
            <w:t xml:space="preserve">9.1. </w:t>
          </w:r>
          <w:r>
            <w:t>与服务级别管理过程的关系</w:t>
          </w:r>
          <w:r>
            <w:tab/>
          </w:r>
          <w:r>
            <w:fldChar w:fldCharType="begin"/>
          </w:r>
          <w:r>
            <w:instrText xml:space="preserve"> PAGEREF _Toc2906 \h </w:instrText>
          </w:r>
          <w:r>
            <w:fldChar w:fldCharType="separate"/>
          </w:r>
          <w:r>
            <w:t>11</w:t>
          </w:r>
          <w:r>
            <w:fldChar w:fldCharType="end"/>
          </w:r>
          <w:r>
            <w:rPr>
              <w:rFonts w:hint="eastAsia" w:ascii="Microsoft JhengHei" w:hAnsi="Microsoft JhengHei" w:eastAsia="Microsoft JhengHei" w:cs="Microsoft JhengHei"/>
              <w:szCs w:val="24"/>
            </w:rPr>
            <w:fldChar w:fldCharType="end"/>
          </w:r>
        </w:p>
        <w:p w14:paraId="24A771B7">
          <w:pPr>
            <w:pStyle w:val="18"/>
            <w:tabs>
              <w:tab w:val="right" w:leader="dot" w:pos="847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_Toc17971 </w:instrText>
          </w:r>
          <w:r>
            <w:rPr>
              <w:rFonts w:hint="eastAsia" w:ascii="Microsoft JhengHei" w:hAnsi="Microsoft JhengHei" w:eastAsia="Microsoft JhengHei" w:cs="Microsoft JhengHei"/>
              <w:szCs w:val="24"/>
            </w:rPr>
            <w:fldChar w:fldCharType="separate"/>
          </w:r>
          <w:r>
            <w:rPr>
              <w:rFonts w:hint="default"/>
            </w:rPr>
            <w:t xml:space="preserve">9.2. </w:t>
          </w:r>
          <w:r>
            <w:t>与变更与发布管理过程的关系</w:t>
          </w:r>
          <w:r>
            <w:tab/>
          </w:r>
          <w:r>
            <w:fldChar w:fldCharType="begin"/>
          </w:r>
          <w:r>
            <w:instrText xml:space="preserve"> PAGEREF _Toc17971 \h </w:instrText>
          </w:r>
          <w:r>
            <w:fldChar w:fldCharType="separate"/>
          </w:r>
          <w:r>
            <w:t>11</w:t>
          </w:r>
          <w:r>
            <w:fldChar w:fldCharType="end"/>
          </w:r>
          <w:r>
            <w:rPr>
              <w:rFonts w:hint="eastAsia" w:ascii="Microsoft JhengHei" w:hAnsi="Microsoft JhengHei" w:eastAsia="Microsoft JhengHei" w:cs="Microsoft JhengHei"/>
              <w:szCs w:val="24"/>
            </w:rPr>
            <w:fldChar w:fldCharType="end"/>
          </w:r>
        </w:p>
        <w:p w14:paraId="45131E77">
          <w:pPr>
            <w:pStyle w:val="18"/>
            <w:tabs>
              <w:tab w:val="right" w:leader="dot" w:pos="847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_Toc23676 </w:instrText>
          </w:r>
          <w:r>
            <w:rPr>
              <w:rFonts w:hint="eastAsia" w:ascii="Microsoft JhengHei" w:hAnsi="Microsoft JhengHei" w:eastAsia="Microsoft JhengHei" w:cs="Microsoft JhengHei"/>
              <w:szCs w:val="24"/>
            </w:rPr>
            <w:fldChar w:fldCharType="separate"/>
          </w:r>
          <w:r>
            <w:rPr>
              <w:rFonts w:hint="default"/>
              <w:lang w:val="en-US" w:eastAsia="zh-CN"/>
            </w:rPr>
            <w:t xml:space="preserve">9.3. </w:t>
          </w:r>
          <w:r>
            <w:rPr>
              <w:rFonts w:hint="eastAsia"/>
              <w:lang w:val="en-US" w:eastAsia="zh-CN"/>
            </w:rPr>
            <w:t>与配置管理的关系</w:t>
          </w:r>
          <w:r>
            <w:tab/>
          </w:r>
          <w:r>
            <w:fldChar w:fldCharType="begin"/>
          </w:r>
          <w:r>
            <w:instrText xml:space="preserve"> PAGEREF _Toc23676 \h </w:instrText>
          </w:r>
          <w:r>
            <w:fldChar w:fldCharType="separate"/>
          </w:r>
          <w:r>
            <w:t>11</w:t>
          </w:r>
          <w:r>
            <w:fldChar w:fldCharType="end"/>
          </w:r>
          <w:r>
            <w:rPr>
              <w:rFonts w:hint="eastAsia" w:ascii="Microsoft JhengHei" w:hAnsi="Microsoft JhengHei" w:eastAsia="Microsoft JhengHei" w:cs="Microsoft JhengHei"/>
              <w:szCs w:val="24"/>
            </w:rPr>
            <w:fldChar w:fldCharType="end"/>
          </w:r>
        </w:p>
        <w:p w14:paraId="2904AFC3">
          <w:pPr>
            <w:pStyle w:val="18"/>
            <w:tabs>
              <w:tab w:val="right" w:leader="dot" w:pos="847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_Toc19474 </w:instrText>
          </w:r>
          <w:r>
            <w:rPr>
              <w:rFonts w:hint="eastAsia" w:ascii="Microsoft JhengHei" w:hAnsi="Microsoft JhengHei" w:eastAsia="Microsoft JhengHei" w:cs="Microsoft JhengHei"/>
              <w:szCs w:val="24"/>
            </w:rPr>
            <w:fldChar w:fldCharType="separate"/>
          </w:r>
          <w:r>
            <w:rPr>
              <w:rFonts w:hint="default"/>
              <w:lang w:val="en-US" w:eastAsia="zh-CN"/>
            </w:rPr>
            <w:t xml:space="preserve">9.4. </w:t>
          </w:r>
          <w:r>
            <w:rPr>
              <w:rFonts w:hint="eastAsia"/>
              <w:lang w:val="en-US" w:eastAsia="zh-CN"/>
            </w:rPr>
            <w:t>与事件管理的关系</w:t>
          </w:r>
          <w:r>
            <w:tab/>
          </w:r>
          <w:r>
            <w:fldChar w:fldCharType="begin"/>
          </w:r>
          <w:r>
            <w:instrText xml:space="preserve"> PAGEREF _Toc19474 \h </w:instrText>
          </w:r>
          <w:r>
            <w:fldChar w:fldCharType="separate"/>
          </w:r>
          <w:r>
            <w:t>11</w:t>
          </w:r>
          <w:r>
            <w:fldChar w:fldCharType="end"/>
          </w:r>
          <w:r>
            <w:rPr>
              <w:rFonts w:hint="eastAsia" w:ascii="Microsoft JhengHei" w:hAnsi="Microsoft JhengHei" w:eastAsia="Microsoft JhengHei" w:cs="Microsoft JhengHei"/>
              <w:szCs w:val="24"/>
            </w:rPr>
            <w:fldChar w:fldCharType="end"/>
          </w:r>
        </w:p>
        <w:p w14:paraId="03B8BB8D">
          <w:pPr>
            <w:pStyle w:val="17"/>
            <w:tabs>
              <w:tab w:val="right" w:leader="dot" w:pos="847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_Toc4397 </w:instrText>
          </w:r>
          <w:r>
            <w:rPr>
              <w:rFonts w:hint="eastAsia" w:ascii="Microsoft JhengHei" w:hAnsi="Microsoft JhengHei" w:eastAsia="Microsoft JhengHei" w:cs="Microsoft JhengHei"/>
              <w:szCs w:val="24"/>
            </w:rPr>
            <w:fldChar w:fldCharType="separate"/>
          </w:r>
          <w:r>
            <w:rPr>
              <w:rFonts w:hint="default"/>
            </w:rPr>
            <w:t xml:space="preserve">10. </w:t>
          </w:r>
          <w:r>
            <w:t>服务目录管理过程持续改进</w:t>
          </w:r>
          <w:r>
            <w:tab/>
          </w:r>
          <w:r>
            <w:fldChar w:fldCharType="begin"/>
          </w:r>
          <w:r>
            <w:instrText xml:space="preserve"> PAGEREF _Toc4397 \h </w:instrText>
          </w:r>
          <w:r>
            <w:fldChar w:fldCharType="separate"/>
          </w:r>
          <w:r>
            <w:t>11</w:t>
          </w:r>
          <w:r>
            <w:fldChar w:fldCharType="end"/>
          </w:r>
          <w:r>
            <w:rPr>
              <w:rFonts w:hint="eastAsia" w:ascii="Microsoft JhengHei" w:hAnsi="Microsoft JhengHei" w:eastAsia="Microsoft JhengHei" w:cs="Microsoft JhengHei"/>
              <w:szCs w:val="24"/>
            </w:rPr>
            <w:fldChar w:fldCharType="end"/>
          </w:r>
        </w:p>
        <w:p w14:paraId="1ABB28F9">
          <w:pPr>
            <w:pStyle w:val="17"/>
            <w:tabs>
              <w:tab w:val="right" w:leader="dot" w:pos="847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_Toc17591 </w:instrText>
          </w:r>
          <w:r>
            <w:rPr>
              <w:rFonts w:hint="eastAsia" w:ascii="Microsoft JhengHei" w:hAnsi="Microsoft JhengHei" w:eastAsia="Microsoft JhengHei" w:cs="Microsoft JhengHei"/>
              <w:szCs w:val="24"/>
            </w:rPr>
            <w:fldChar w:fldCharType="separate"/>
          </w:r>
          <w:r>
            <w:rPr>
              <w:rFonts w:hint="default"/>
            </w:rPr>
            <w:t xml:space="preserve">11. </w:t>
          </w:r>
          <w:r>
            <w:t>相关文件与记录</w:t>
          </w:r>
          <w:r>
            <w:tab/>
          </w:r>
          <w:r>
            <w:fldChar w:fldCharType="begin"/>
          </w:r>
          <w:r>
            <w:instrText xml:space="preserve"> PAGEREF _Toc17591 \h </w:instrText>
          </w:r>
          <w:r>
            <w:fldChar w:fldCharType="separate"/>
          </w:r>
          <w:r>
            <w:t>12</w:t>
          </w:r>
          <w:r>
            <w:fldChar w:fldCharType="end"/>
          </w:r>
          <w:r>
            <w:rPr>
              <w:rFonts w:hint="eastAsia" w:ascii="Microsoft JhengHei" w:hAnsi="Microsoft JhengHei" w:eastAsia="Microsoft JhengHei" w:cs="Microsoft JhengHei"/>
              <w:szCs w:val="24"/>
            </w:rPr>
            <w:fldChar w:fldCharType="end"/>
          </w:r>
        </w:p>
        <w:p w14:paraId="5941B99A">
          <w:pPr>
            <w:widowControl w:val="0"/>
            <w:spacing w:line="228" w:lineRule="auto"/>
            <w:rPr>
              <w:rFonts w:ascii="Calibri" w:hAnsi="Calibri" w:eastAsia="Calibri" w:cs="Calibri"/>
              <w:szCs w:val="19"/>
            </w:rPr>
          </w:pPr>
          <w:r>
            <w:rPr>
              <w:rFonts w:hint="eastAsia" w:ascii="Microsoft JhengHei" w:hAnsi="Microsoft JhengHei" w:eastAsia="Microsoft JhengHei" w:cs="Microsoft JhengHei"/>
              <w:szCs w:val="24"/>
            </w:rPr>
            <w:fldChar w:fldCharType="end"/>
          </w:r>
        </w:p>
      </w:sdtContent>
    </w:sdt>
    <w:p w14:paraId="2F651CAE">
      <w:r>
        <w:br w:type="page"/>
      </w:r>
    </w:p>
    <w:p w14:paraId="0396B018">
      <w:pPr>
        <w:pStyle w:val="28"/>
        <w:keepNext w:val="0"/>
        <w:keepLines w:val="0"/>
        <w:widowControl w:val="0"/>
      </w:pPr>
      <w:bookmarkStart w:id="3" w:name="_Toc16271"/>
      <w:r>
        <w:t>目的</w:t>
      </w:r>
      <w:bookmarkEnd w:id="3"/>
    </w:p>
    <w:p w14:paraId="6FB26F4C">
      <w:pPr>
        <w:pStyle w:val="29"/>
        <w:bidi w:val="0"/>
      </w:pPr>
      <w:r>
        <w:rPr>
          <w:rFonts w:hint="eastAsia"/>
        </w:rPr>
        <w:t>运维服务目录管理规范</w:t>
      </w:r>
      <w:r>
        <w:t>的目的是通过服务定义，建立与维护服务目录，奠定整个运维服务能力体系设计的基文件。对所有提供的服务保证其信息来源的一致性，并且确保那些已经获准访问者能够最大程度的使用它。</w:t>
      </w:r>
    </w:p>
    <w:p w14:paraId="03F38F7E">
      <w:pPr>
        <w:pStyle w:val="28"/>
        <w:keepNext w:val="0"/>
        <w:keepLines w:val="0"/>
        <w:widowControl w:val="0"/>
      </w:pPr>
      <w:bookmarkStart w:id="4" w:name="_Toc4076"/>
      <w:r>
        <w:t>范围</w:t>
      </w:r>
      <w:bookmarkEnd w:id="4"/>
    </w:p>
    <w:p w14:paraId="54D54AEF">
      <w:pPr>
        <w:pStyle w:val="29"/>
        <w:bidi w:val="0"/>
      </w:pPr>
      <w:r>
        <w:t>本</w:t>
      </w:r>
      <w:r>
        <w:rPr>
          <w:rFonts w:hint="eastAsia"/>
        </w:rPr>
        <w:t>规范</w:t>
      </w:r>
      <w:r>
        <w:t>适用于运维部。</w:t>
      </w:r>
    </w:p>
    <w:p w14:paraId="46897A12">
      <w:pPr>
        <w:pStyle w:val="29"/>
        <w:bidi w:val="0"/>
      </w:pPr>
      <w:r>
        <w:t>包括提供和维护所有服务的准确信息，包括所有正在转换或已转换到生产环境中的服务。</w:t>
      </w:r>
    </w:p>
    <w:p w14:paraId="560EB378">
      <w:pPr>
        <w:pStyle w:val="28"/>
        <w:keepNext w:val="0"/>
        <w:keepLines w:val="0"/>
        <w:widowControl w:val="0"/>
      </w:pPr>
      <w:bookmarkStart w:id="5" w:name="_Toc24068"/>
      <w:r>
        <w:t>定义</w:t>
      </w:r>
      <w:bookmarkEnd w:id="5"/>
    </w:p>
    <w:p w14:paraId="63C7207F">
      <w:pPr>
        <w:pStyle w:val="29"/>
        <w:bidi w:val="0"/>
      </w:pPr>
      <w:r>
        <w:t>服务目录：是用于记录所有服务项目的相关信息的一个数据库或结构化文档资料，包括业务服务目录和技术服务目录。</w:t>
      </w:r>
    </w:p>
    <w:p w14:paraId="30478526">
      <w:pPr>
        <w:pStyle w:val="29"/>
        <w:bidi w:val="0"/>
      </w:pPr>
      <w:r>
        <w:t>定义服务目录的目的是为IT服务提供文件资料和建立其它服务管理组成的基础。本质上，它清晰地定义了从IT组织</w:t>
      </w:r>
      <w:r>
        <w:rPr>
          <w:rFonts w:hint="eastAsia"/>
        </w:rPr>
        <w:t>可以</w:t>
      </w:r>
      <w:r>
        <w:t>得到什么服务和按商业目标和需求定位</w:t>
      </w:r>
      <w:r>
        <w:rPr>
          <w:rFonts w:hint="eastAsia"/>
        </w:rPr>
        <w:t>哪些</w:t>
      </w:r>
      <w:r>
        <w:t>服务。它可以作为SLA的基准，在组织中它也成为为规程和流程提供文件资料的基础。</w:t>
      </w:r>
    </w:p>
    <w:p w14:paraId="2BE43EDE">
      <w:pPr>
        <w:pStyle w:val="28"/>
        <w:keepNext w:val="0"/>
        <w:keepLines w:val="0"/>
        <w:widowControl w:val="0"/>
      </w:pPr>
      <w:bookmarkStart w:id="6" w:name="_Toc30239"/>
      <w:r>
        <w:t>输入与输出</w:t>
      </w:r>
      <w:bookmarkEnd w:id="6"/>
    </w:p>
    <w:p w14:paraId="246B9551">
      <w:pPr>
        <w:pStyle w:val="30"/>
        <w:keepNext w:val="0"/>
        <w:keepLines w:val="0"/>
        <w:widowControl w:val="0"/>
        <w:tabs>
          <w:tab w:val="left" w:pos="420"/>
        </w:tabs>
      </w:pPr>
      <w:bookmarkStart w:id="7" w:name="bookmark25"/>
      <w:bookmarkEnd w:id="7"/>
      <w:bookmarkStart w:id="8" w:name="_Toc9943"/>
      <w:r>
        <w:t>主要输入</w:t>
      </w:r>
      <w:bookmarkEnd w:id="8"/>
    </w:p>
    <w:tbl>
      <w:tblPr>
        <w:tblStyle w:val="26"/>
        <w:tblW w:w="8919" w:type="dxa"/>
        <w:tblInd w:w="6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836"/>
        <w:gridCol w:w="5083"/>
      </w:tblGrid>
      <w:tr w14:paraId="4F52B1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3836" w:type="dxa"/>
            <w:tcBorders>
              <w:top w:val="single" w:color="000000" w:sz="2" w:space="0"/>
              <w:left w:val="single" w:color="000000" w:sz="2" w:space="0"/>
            </w:tcBorders>
            <w:shd w:val="clear" w:color="auto" w:fill="BFBFBF"/>
          </w:tcPr>
          <w:p w14:paraId="1EA711B4">
            <w:pPr>
              <w:widowControl w:val="0"/>
              <w:spacing w:before="65" w:line="213" w:lineRule="auto"/>
              <w:ind w:left="84"/>
              <w:jc w:val="center"/>
              <w:rPr>
                <w:rFonts w:ascii="宋体" w:hAnsi="宋体" w:cs="宋体"/>
                <w:sz w:val="22"/>
                <w:szCs w:val="22"/>
              </w:rPr>
            </w:pPr>
            <w:r>
              <w:rPr>
                <w:rFonts w:ascii="宋体" w:hAnsi="宋体" w:cs="宋体"/>
                <w:spacing w:val="-4"/>
                <w:sz w:val="22"/>
                <w:szCs w:val="22"/>
              </w:rPr>
              <w:t>输入</w:t>
            </w:r>
          </w:p>
        </w:tc>
        <w:tc>
          <w:tcPr>
            <w:tcW w:w="5083" w:type="dxa"/>
            <w:tcBorders>
              <w:top w:val="single" w:color="000000" w:sz="2" w:space="0"/>
              <w:right w:val="single" w:color="000000" w:sz="2" w:space="0"/>
            </w:tcBorders>
            <w:shd w:val="clear" w:color="auto" w:fill="BFBFBF"/>
          </w:tcPr>
          <w:p w14:paraId="2ACC5F92">
            <w:pPr>
              <w:widowControl w:val="0"/>
              <w:spacing w:before="65" w:line="213" w:lineRule="auto"/>
              <w:ind w:left="79"/>
              <w:jc w:val="center"/>
              <w:rPr>
                <w:rFonts w:ascii="宋体" w:hAnsi="宋体" w:cs="宋体"/>
                <w:sz w:val="22"/>
                <w:szCs w:val="22"/>
              </w:rPr>
            </w:pPr>
            <w:r>
              <w:rPr>
                <w:rFonts w:ascii="宋体" w:hAnsi="宋体" w:cs="宋体"/>
                <w:spacing w:val="-5"/>
                <w:sz w:val="22"/>
                <w:szCs w:val="22"/>
              </w:rPr>
              <w:t>来源</w:t>
            </w:r>
          </w:p>
        </w:tc>
      </w:tr>
      <w:tr w14:paraId="51BD6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5" w:hRule="atLeast"/>
        </w:trPr>
        <w:tc>
          <w:tcPr>
            <w:tcW w:w="3836" w:type="dxa"/>
            <w:tcBorders>
              <w:left w:val="single" w:color="000000" w:sz="2" w:space="0"/>
            </w:tcBorders>
            <w:vAlign w:val="bottom"/>
          </w:tcPr>
          <w:p w14:paraId="2C622E39">
            <w:pPr>
              <w:widowControl w:val="0"/>
              <w:spacing w:before="52" w:line="212" w:lineRule="auto"/>
              <w:ind w:left="73"/>
              <w:rPr>
                <w:rFonts w:ascii="宋体" w:hAnsi="宋体" w:cs="宋体"/>
                <w:sz w:val="22"/>
                <w:szCs w:val="22"/>
              </w:rPr>
            </w:pPr>
            <w:r>
              <w:rPr>
                <w:rFonts w:ascii="宋体" w:hAnsi="宋体" w:cs="宋体"/>
                <w:sz w:val="22"/>
                <w:szCs w:val="22"/>
              </w:rPr>
              <w:t>信息技术服务分类与代码</w:t>
            </w:r>
          </w:p>
        </w:tc>
        <w:tc>
          <w:tcPr>
            <w:tcW w:w="5083" w:type="dxa"/>
            <w:tcBorders>
              <w:right w:val="single" w:color="000000" w:sz="2" w:space="0"/>
            </w:tcBorders>
          </w:tcPr>
          <w:p w14:paraId="3037D3C1">
            <w:pPr>
              <w:widowControl w:val="0"/>
              <w:spacing w:before="52" w:line="212" w:lineRule="auto"/>
              <w:ind w:left="73"/>
              <w:rPr>
                <w:rFonts w:ascii="宋体" w:hAnsi="宋体" w:cs="宋体"/>
                <w:sz w:val="22"/>
                <w:szCs w:val="22"/>
              </w:rPr>
            </w:pPr>
            <w:r>
              <w:rPr>
                <w:rFonts w:ascii="宋体" w:hAnsi="宋体" w:cs="宋体"/>
                <w:sz w:val="22"/>
                <w:szCs w:val="22"/>
              </w:rPr>
              <w:t>GB/T 29264-2012 《信息技</w:t>
            </w:r>
            <w:r>
              <w:rPr>
                <w:rFonts w:ascii="宋体" w:hAnsi="宋体" w:cs="宋体"/>
                <w:spacing w:val="-1"/>
                <w:sz w:val="22"/>
                <w:szCs w:val="22"/>
              </w:rPr>
              <w:t>术服务 分类与代码》</w:t>
            </w:r>
          </w:p>
        </w:tc>
      </w:tr>
      <w:tr w14:paraId="207F2F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3836" w:type="dxa"/>
            <w:tcBorders>
              <w:left w:val="single" w:color="000000" w:sz="2" w:space="0"/>
            </w:tcBorders>
            <w:vAlign w:val="bottom"/>
          </w:tcPr>
          <w:p w14:paraId="26977833">
            <w:pPr>
              <w:widowControl w:val="0"/>
              <w:spacing w:before="52" w:line="212" w:lineRule="auto"/>
              <w:ind w:left="73"/>
              <w:rPr>
                <w:rFonts w:ascii="宋体" w:hAnsi="宋体" w:cs="宋体"/>
                <w:sz w:val="22"/>
                <w:szCs w:val="22"/>
              </w:rPr>
            </w:pPr>
            <w:r>
              <w:rPr>
                <w:rFonts w:ascii="宋体" w:hAnsi="宋体" w:cs="宋体"/>
                <w:sz w:val="22"/>
                <w:szCs w:val="22"/>
              </w:rPr>
              <w:t>组织业务和IT策略、计划中的业务信息</w:t>
            </w:r>
          </w:p>
        </w:tc>
        <w:tc>
          <w:tcPr>
            <w:tcW w:w="5083" w:type="dxa"/>
            <w:tcBorders>
              <w:right w:val="single" w:color="000000" w:sz="2" w:space="0"/>
            </w:tcBorders>
          </w:tcPr>
          <w:p w14:paraId="4583299F">
            <w:pPr>
              <w:widowControl w:val="0"/>
              <w:spacing w:before="212" w:line="220" w:lineRule="auto"/>
              <w:ind w:left="83"/>
              <w:rPr>
                <w:rFonts w:ascii="宋体" w:hAnsi="宋体" w:cs="宋体"/>
                <w:sz w:val="22"/>
                <w:szCs w:val="22"/>
              </w:rPr>
            </w:pPr>
            <w:r>
              <w:rPr>
                <w:rFonts w:ascii="宋体" w:hAnsi="宋体" w:cs="宋体"/>
                <w:spacing w:val="-2"/>
                <w:sz w:val="22"/>
                <w:szCs w:val="22"/>
              </w:rPr>
              <w:t>组织的发展战略、规划，业务影响分析</w:t>
            </w:r>
          </w:p>
        </w:tc>
      </w:tr>
      <w:tr w14:paraId="068A77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6" w:hRule="atLeast"/>
        </w:trPr>
        <w:tc>
          <w:tcPr>
            <w:tcW w:w="3836" w:type="dxa"/>
            <w:tcBorders>
              <w:left w:val="single" w:color="000000" w:sz="2" w:space="0"/>
            </w:tcBorders>
            <w:vAlign w:val="bottom"/>
          </w:tcPr>
          <w:p w14:paraId="05DBEC1F">
            <w:pPr>
              <w:widowControl w:val="0"/>
              <w:spacing w:before="52" w:line="212" w:lineRule="auto"/>
              <w:ind w:left="73"/>
              <w:rPr>
                <w:rFonts w:ascii="宋体" w:hAnsi="宋体" w:cs="宋体"/>
                <w:sz w:val="22"/>
                <w:szCs w:val="22"/>
              </w:rPr>
            </w:pPr>
            <w:r>
              <w:rPr>
                <w:rFonts w:ascii="宋体" w:hAnsi="宋体" w:cs="宋体"/>
                <w:sz w:val="22"/>
                <w:szCs w:val="22"/>
              </w:rPr>
              <w:t>服务级别协议、运维服务合同</w:t>
            </w:r>
          </w:p>
        </w:tc>
        <w:tc>
          <w:tcPr>
            <w:tcW w:w="5083" w:type="dxa"/>
            <w:tcBorders>
              <w:right w:val="single" w:color="000000" w:sz="2" w:space="0"/>
            </w:tcBorders>
          </w:tcPr>
          <w:p w14:paraId="50562216">
            <w:pPr>
              <w:widowControl w:val="0"/>
              <w:spacing w:before="214" w:line="220" w:lineRule="auto"/>
              <w:ind w:left="79"/>
              <w:rPr>
                <w:rFonts w:ascii="宋体" w:hAnsi="宋体" w:cs="宋体"/>
                <w:sz w:val="22"/>
                <w:szCs w:val="22"/>
              </w:rPr>
            </w:pPr>
            <w:r>
              <w:rPr>
                <w:rFonts w:ascii="宋体" w:hAnsi="宋体" w:cs="宋体"/>
                <w:spacing w:val="-2"/>
                <w:sz w:val="22"/>
                <w:szCs w:val="22"/>
              </w:rPr>
              <w:t>过往服务级别协议、运维服务合同</w:t>
            </w:r>
          </w:p>
        </w:tc>
      </w:tr>
      <w:tr w14:paraId="3221DF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3836" w:type="dxa"/>
            <w:tcBorders>
              <w:left w:val="single" w:color="000000" w:sz="2" w:space="0"/>
            </w:tcBorders>
            <w:vAlign w:val="bottom"/>
          </w:tcPr>
          <w:p w14:paraId="70C14DCB">
            <w:pPr>
              <w:widowControl w:val="0"/>
              <w:spacing w:before="52" w:line="212" w:lineRule="auto"/>
              <w:ind w:left="73"/>
              <w:rPr>
                <w:rFonts w:ascii="宋体" w:hAnsi="宋体" w:cs="宋体"/>
                <w:sz w:val="22"/>
                <w:szCs w:val="22"/>
              </w:rPr>
            </w:pPr>
            <w:r>
              <w:rPr>
                <w:rFonts w:ascii="宋体" w:hAnsi="宋体" w:cs="宋体"/>
                <w:sz w:val="22"/>
                <w:szCs w:val="22"/>
              </w:rPr>
              <w:t>公司运维服务能力证明</w:t>
            </w:r>
          </w:p>
        </w:tc>
        <w:tc>
          <w:tcPr>
            <w:tcW w:w="5083" w:type="dxa"/>
            <w:tcBorders>
              <w:right w:val="single" w:color="000000" w:sz="2" w:space="0"/>
            </w:tcBorders>
          </w:tcPr>
          <w:p w14:paraId="61A50577">
            <w:pPr>
              <w:widowControl w:val="0"/>
              <w:spacing w:before="77" w:line="226" w:lineRule="auto"/>
              <w:ind w:left="79" w:right="44" w:hanging="1"/>
              <w:rPr>
                <w:rFonts w:ascii="宋体" w:hAnsi="宋体" w:cs="宋体"/>
                <w:sz w:val="22"/>
                <w:szCs w:val="22"/>
              </w:rPr>
            </w:pPr>
            <w:r>
              <w:rPr>
                <w:rFonts w:ascii="宋体" w:hAnsi="宋体" w:cs="宋体"/>
                <w:spacing w:val="-5"/>
                <w:sz w:val="22"/>
                <w:szCs w:val="22"/>
              </w:rPr>
              <w:t>对运维部运维服务能力的评估（包括人员、资源、</w:t>
            </w:r>
            <w:r>
              <w:rPr>
                <w:rFonts w:hint="eastAsia" w:ascii="宋体" w:hAnsi="宋体" w:cs="宋体"/>
                <w:spacing w:val="-5"/>
                <w:sz w:val="22"/>
                <w:szCs w:val="22"/>
                <w:lang w:eastAsia="zh-CN"/>
              </w:rPr>
              <w:t>过程</w:t>
            </w:r>
            <w:r>
              <w:rPr>
                <w:rFonts w:ascii="宋体" w:hAnsi="宋体" w:cs="宋体"/>
                <w:spacing w:val="-5"/>
                <w:sz w:val="22"/>
                <w:szCs w:val="22"/>
              </w:rPr>
              <w:t>、技术</w:t>
            </w:r>
            <w:r>
              <w:rPr>
                <w:rFonts w:hint="eastAsia" w:ascii="宋体" w:hAnsi="宋体" w:cs="宋体"/>
                <w:spacing w:val="-5"/>
                <w:sz w:val="22"/>
                <w:szCs w:val="22"/>
                <w:lang w:eastAsia="zh-CN"/>
              </w:rPr>
              <w:t>、交付和应急</w:t>
            </w:r>
            <w:r>
              <w:rPr>
                <w:rFonts w:ascii="宋体" w:hAnsi="宋体" w:cs="宋体"/>
                <w:spacing w:val="-5"/>
                <w:sz w:val="22"/>
                <w:szCs w:val="22"/>
              </w:rPr>
              <w:t>）</w:t>
            </w:r>
          </w:p>
        </w:tc>
      </w:tr>
      <w:tr w14:paraId="18711D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3836" w:type="dxa"/>
            <w:tcBorders>
              <w:left w:val="single" w:color="000000" w:sz="2" w:space="0"/>
              <w:bottom w:val="single" w:color="000000" w:sz="2" w:space="0"/>
            </w:tcBorders>
            <w:vAlign w:val="bottom"/>
          </w:tcPr>
          <w:p w14:paraId="697C6277">
            <w:pPr>
              <w:widowControl w:val="0"/>
              <w:spacing w:before="52" w:line="212" w:lineRule="auto"/>
              <w:ind w:left="73"/>
              <w:rPr>
                <w:rFonts w:ascii="宋体" w:hAnsi="宋体" w:cs="宋体"/>
                <w:sz w:val="22"/>
                <w:szCs w:val="22"/>
              </w:rPr>
            </w:pPr>
            <w:r>
              <w:rPr>
                <w:rFonts w:ascii="宋体" w:hAnsi="宋体" w:cs="宋体"/>
                <w:sz w:val="22"/>
                <w:szCs w:val="22"/>
              </w:rPr>
              <w:t>其它服务需求</w:t>
            </w:r>
          </w:p>
        </w:tc>
        <w:tc>
          <w:tcPr>
            <w:tcW w:w="5083" w:type="dxa"/>
            <w:tcBorders>
              <w:bottom w:val="single" w:color="000000" w:sz="2" w:space="0"/>
              <w:right w:val="single" w:color="000000" w:sz="2" w:space="0"/>
            </w:tcBorders>
          </w:tcPr>
          <w:p w14:paraId="082417EB">
            <w:pPr>
              <w:widowControl w:val="0"/>
              <w:spacing w:before="58" w:line="211" w:lineRule="auto"/>
              <w:ind w:left="93"/>
              <w:rPr>
                <w:rFonts w:ascii="宋体" w:hAnsi="宋体" w:cs="宋体"/>
                <w:sz w:val="22"/>
                <w:szCs w:val="22"/>
              </w:rPr>
            </w:pPr>
            <w:r>
              <w:rPr>
                <w:rFonts w:ascii="宋体" w:hAnsi="宋体" w:cs="宋体"/>
                <w:spacing w:val="-2"/>
                <w:sz w:val="22"/>
                <w:szCs w:val="22"/>
              </w:rPr>
              <w:t>收集分析其他服务需求的数据和指标</w:t>
            </w:r>
          </w:p>
        </w:tc>
      </w:tr>
    </w:tbl>
    <w:p w14:paraId="1A6CF318">
      <w:pPr>
        <w:pStyle w:val="30"/>
        <w:keepNext w:val="0"/>
        <w:keepLines w:val="0"/>
        <w:widowControl w:val="0"/>
        <w:tabs>
          <w:tab w:val="left" w:pos="420"/>
        </w:tabs>
      </w:pPr>
      <w:bookmarkStart w:id="9" w:name="_Toc26884"/>
      <w:r>
        <w:t>主要输出</w:t>
      </w:r>
      <w:bookmarkEnd w:id="9"/>
    </w:p>
    <w:tbl>
      <w:tblPr>
        <w:tblStyle w:val="26"/>
        <w:tblW w:w="8919" w:type="dxa"/>
        <w:tblInd w:w="8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64"/>
        <w:gridCol w:w="6255"/>
      </w:tblGrid>
      <w:tr w14:paraId="150EC3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2664" w:type="dxa"/>
            <w:tcBorders>
              <w:bottom w:val="single" w:color="000000" w:sz="4" w:space="0"/>
              <w:right w:val="single" w:color="000000" w:sz="4" w:space="0"/>
            </w:tcBorders>
            <w:shd w:val="clear" w:color="auto" w:fill="BFBFBF"/>
          </w:tcPr>
          <w:p w14:paraId="6F22AC28">
            <w:pPr>
              <w:widowControl w:val="0"/>
              <w:spacing w:before="59" w:line="213" w:lineRule="auto"/>
              <w:ind w:left="83"/>
              <w:jc w:val="center"/>
              <w:rPr>
                <w:rFonts w:ascii="宋体" w:hAnsi="宋体" w:cs="宋体"/>
                <w:sz w:val="22"/>
                <w:szCs w:val="22"/>
              </w:rPr>
            </w:pPr>
            <w:r>
              <w:rPr>
                <w:rFonts w:ascii="宋体" w:hAnsi="宋体" w:cs="宋体"/>
                <w:spacing w:val="-4"/>
                <w:sz w:val="22"/>
                <w:szCs w:val="22"/>
              </w:rPr>
              <w:t>输出</w:t>
            </w:r>
          </w:p>
        </w:tc>
        <w:tc>
          <w:tcPr>
            <w:tcW w:w="6255" w:type="dxa"/>
            <w:tcBorders>
              <w:left w:val="single" w:color="000000" w:sz="4" w:space="0"/>
              <w:bottom w:val="single" w:color="000000" w:sz="4" w:space="0"/>
            </w:tcBorders>
            <w:shd w:val="clear" w:color="auto" w:fill="BFBFBF"/>
          </w:tcPr>
          <w:p w14:paraId="25EC0C99">
            <w:pPr>
              <w:widowControl w:val="0"/>
              <w:spacing w:before="59" w:line="213" w:lineRule="auto"/>
              <w:ind w:left="85"/>
              <w:jc w:val="center"/>
              <w:rPr>
                <w:rFonts w:ascii="宋体" w:hAnsi="宋体" w:cs="宋体"/>
                <w:sz w:val="22"/>
                <w:szCs w:val="22"/>
              </w:rPr>
            </w:pPr>
            <w:r>
              <w:rPr>
                <w:rFonts w:ascii="宋体" w:hAnsi="宋体" w:cs="宋体"/>
                <w:spacing w:val="-6"/>
                <w:sz w:val="22"/>
                <w:szCs w:val="22"/>
              </w:rPr>
              <w:t>去向</w:t>
            </w:r>
          </w:p>
        </w:tc>
      </w:tr>
      <w:tr w14:paraId="529123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2664" w:type="dxa"/>
            <w:tcBorders>
              <w:top w:val="single" w:color="000000" w:sz="4" w:space="0"/>
              <w:right w:val="single" w:color="000000" w:sz="4" w:space="0"/>
            </w:tcBorders>
          </w:tcPr>
          <w:p w14:paraId="0E4E5C0A">
            <w:pPr>
              <w:widowControl w:val="0"/>
              <w:spacing w:before="49" w:line="214" w:lineRule="auto"/>
              <w:ind w:left="87"/>
              <w:rPr>
                <w:rFonts w:ascii="宋体" w:hAnsi="宋体" w:cs="宋体"/>
                <w:sz w:val="22"/>
                <w:szCs w:val="22"/>
              </w:rPr>
            </w:pPr>
            <w:r>
              <w:rPr>
                <w:rFonts w:ascii="宋体" w:hAnsi="宋体" w:cs="宋体"/>
                <w:spacing w:val="-4"/>
                <w:sz w:val="22"/>
                <w:szCs w:val="22"/>
              </w:rPr>
              <w:t>服务目录（组织级）</w:t>
            </w:r>
          </w:p>
        </w:tc>
        <w:tc>
          <w:tcPr>
            <w:tcW w:w="6255" w:type="dxa"/>
            <w:tcBorders>
              <w:top w:val="single" w:color="000000" w:sz="4" w:space="0"/>
              <w:left w:val="single" w:color="000000" w:sz="4" w:space="0"/>
            </w:tcBorders>
          </w:tcPr>
          <w:p w14:paraId="2243F458">
            <w:pPr>
              <w:widowControl w:val="0"/>
              <w:spacing w:before="49" w:line="214" w:lineRule="auto"/>
              <w:ind w:left="79"/>
              <w:rPr>
                <w:rFonts w:ascii="宋体" w:hAnsi="宋体" w:cs="宋体"/>
                <w:sz w:val="22"/>
                <w:szCs w:val="22"/>
                <w:lang w:eastAsia="zh-CN"/>
              </w:rPr>
            </w:pPr>
            <w:r>
              <w:rPr>
                <w:rFonts w:ascii="宋体" w:hAnsi="宋体" w:cs="宋体"/>
                <w:spacing w:val="-2"/>
                <w:sz w:val="22"/>
                <w:szCs w:val="22"/>
              </w:rPr>
              <w:t>运维部/质量部</w:t>
            </w:r>
          </w:p>
        </w:tc>
      </w:tr>
    </w:tbl>
    <w:p w14:paraId="0F5F0463">
      <w:pPr>
        <w:pStyle w:val="28"/>
        <w:keepNext w:val="0"/>
        <w:keepLines w:val="0"/>
        <w:widowControl w:val="0"/>
      </w:pPr>
      <w:bookmarkStart w:id="10" w:name="_Toc10031"/>
      <w:r>
        <w:t>职责权限</w:t>
      </w:r>
      <w:bookmarkEnd w:id="10"/>
    </w:p>
    <w:tbl>
      <w:tblPr>
        <w:tblStyle w:val="26"/>
        <w:tblW w:w="9146"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411"/>
        <w:gridCol w:w="6735"/>
      </w:tblGrid>
      <w:tr w14:paraId="017D9E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8" w:hRule="atLeast"/>
        </w:trPr>
        <w:tc>
          <w:tcPr>
            <w:tcW w:w="2411" w:type="dxa"/>
            <w:tcBorders>
              <w:top w:val="single" w:color="000000" w:sz="10" w:space="0"/>
              <w:left w:val="single" w:color="000000" w:sz="10" w:space="0"/>
            </w:tcBorders>
            <w:shd w:val="clear" w:color="auto" w:fill="D9D9D9"/>
          </w:tcPr>
          <w:p w14:paraId="2663EA1F">
            <w:pPr>
              <w:widowControl w:val="0"/>
              <w:spacing w:before="103" w:line="219" w:lineRule="auto"/>
              <w:ind w:left="121"/>
              <w:jc w:val="center"/>
              <w:rPr>
                <w:rFonts w:ascii="宋体" w:hAnsi="宋体" w:cs="宋体"/>
                <w:sz w:val="22"/>
                <w:szCs w:val="22"/>
              </w:rPr>
            </w:pPr>
            <w:r>
              <w:rPr>
                <w:rFonts w:ascii="宋体" w:hAnsi="宋体" w:cs="宋体"/>
                <w:b/>
                <w:bCs/>
                <w:spacing w:val="-8"/>
                <w:sz w:val="22"/>
                <w:szCs w:val="22"/>
              </w:rPr>
              <w:t>角</w:t>
            </w:r>
            <w:r>
              <w:rPr>
                <w:rFonts w:ascii="宋体" w:hAnsi="宋体" w:cs="宋体"/>
                <w:spacing w:val="11"/>
                <w:sz w:val="22"/>
                <w:szCs w:val="22"/>
              </w:rPr>
              <w:t xml:space="preserve"> </w:t>
            </w:r>
            <w:r>
              <w:rPr>
                <w:rFonts w:ascii="宋体" w:hAnsi="宋体" w:cs="宋体"/>
                <w:b/>
                <w:bCs/>
                <w:spacing w:val="-8"/>
                <w:sz w:val="22"/>
                <w:szCs w:val="22"/>
              </w:rPr>
              <w:t>色</w:t>
            </w:r>
          </w:p>
        </w:tc>
        <w:tc>
          <w:tcPr>
            <w:tcW w:w="6735" w:type="dxa"/>
            <w:tcBorders>
              <w:top w:val="single" w:color="000000" w:sz="10" w:space="0"/>
              <w:right w:val="single" w:color="000000" w:sz="10" w:space="0"/>
            </w:tcBorders>
            <w:shd w:val="clear" w:color="auto" w:fill="D9D9D9"/>
          </w:tcPr>
          <w:p w14:paraId="04581977">
            <w:pPr>
              <w:widowControl w:val="0"/>
              <w:spacing w:before="102" w:line="222" w:lineRule="auto"/>
              <w:ind w:left="110"/>
              <w:jc w:val="center"/>
              <w:rPr>
                <w:rFonts w:ascii="宋体" w:hAnsi="宋体" w:cs="宋体"/>
                <w:sz w:val="22"/>
                <w:szCs w:val="22"/>
              </w:rPr>
            </w:pPr>
            <w:r>
              <w:rPr>
                <w:rFonts w:ascii="宋体" w:hAnsi="宋体" w:cs="宋体"/>
                <w:b/>
                <w:bCs/>
                <w:spacing w:val="-7"/>
                <w:sz w:val="22"/>
                <w:szCs w:val="22"/>
              </w:rPr>
              <w:t>职</w:t>
            </w:r>
            <w:r>
              <w:rPr>
                <w:rFonts w:ascii="宋体" w:hAnsi="宋体" w:cs="宋体"/>
                <w:spacing w:val="26"/>
                <w:sz w:val="22"/>
                <w:szCs w:val="22"/>
              </w:rPr>
              <w:t xml:space="preserve"> </w:t>
            </w:r>
            <w:r>
              <w:rPr>
                <w:rFonts w:ascii="宋体" w:hAnsi="宋体" w:cs="宋体"/>
                <w:b/>
                <w:bCs/>
                <w:spacing w:val="-7"/>
                <w:sz w:val="22"/>
                <w:szCs w:val="22"/>
              </w:rPr>
              <w:t>责</w:t>
            </w:r>
          </w:p>
        </w:tc>
      </w:tr>
      <w:tr w14:paraId="6C9623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34" w:hRule="atLeast"/>
        </w:trPr>
        <w:tc>
          <w:tcPr>
            <w:tcW w:w="2411" w:type="dxa"/>
            <w:tcBorders>
              <w:left w:val="single" w:color="000000" w:sz="10" w:space="0"/>
            </w:tcBorders>
          </w:tcPr>
          <w:p w14:paraId="5C9533A9">
            <w:pPr>
              <w:widowControl w:val="0"/>
              <w:spacing w:before="72" w:line="220" w:lineRule="auto"/>
              <w:ind w:left="113"/>
              <w:rPr>
                <w:rFonts w:ascii="宋体" w:hAnsi="宋体" w:cs="宋体"/>
                <w:sz w:val="22"/>
                <w:szCs w:val="22"/>
                <w:lang w:eastAsia="zh-CN"/>
              </w:rPr>
            </w:pPr>
            <w:r>
              <w:rPr>
                <w:rFonts w:hint="eastAsia" w:ascii="宋体" w:hAnsi="宋体" w:cs="宋体"/>
                <w:spacing w:val="-2"/>
                <w:sz w:val="22"/>
                <w:szCs w:val="22"/>
                <w:lang w:eastAsia="zh-CN"/>
              </w:rPr>
              <w:t>运维部经理</w:t>
            </w:r>
          </w:p>
        </w:tc>
        <w:tc>
          <w:tcPr>
            <w:tcW w:w="6735" w:type="dxa"/>
            <w:tcBorders>
              <w:right w:val="single" w:color="000000" w:sz="10" w:space="0"/>
            </w:tcBorders>
          </w:tcPr>
          <w:p w14:paraId="62F05112">
            <w:pPr>
              <w:widowControl w:val="0"/>
              <w:numPr>
                <w:ilvl w:val="0"/>
                <w:numId w:val="2"/>
              </w:numPr>
              <w:spacing w:before="79" w:line="231" w:lineRule="auto"/>
              <w:ind w:right="260"/>
              <w:rPr>
                <w:rFonts w:ascii="宋体" w:hAnsi="宋体" w:cs="宋体"/>
                <w:sz w:val="22"/>
                <w:szCs w:val="22"/>
              </w:rPr>
            </w:pPr>
            <w:r>
              <w:rPr>
                <w:rFonts w:ascii="宋体" w:hAnsi="宋体" w:cs="宋体"/>
                <w:spacing w:val="-2"/>
                <w:sz w:val="22"/>
                <w:szCs w:val="22"/>
              </w:rPr>
              <w:t>负责监督服务目录流程管理，识别过程中存在的问题</w:t>
            </w:r>
            <w:r>
              <w:rPr>
                <w:rFonts w:ascii="宋体" w:hAnsi="宋体" w:cs="宋体"/>
                <w:spacing w:val="-3"/>
                <w:sz w:val="22"/>
                <w:szCs w:val="22"/>
              </w:rPr>
              <w:t>并提出改</w:t>
            </w:r>
            <w:r>
              <w:rPr>
                <w:rFonts w:ascii="宋体" w:hAnsi="宋体" w:cs="宋体"/>
                <w:spacing w:val="-8"/>
                <w:sz w:val="22"/>
                <w:szCs w:val="22"/>
              </w:rPr>
              <w:t>进措施；</w:t>
            </w:r>
          </w:p>
          <w:p w14:paraId="7435DAE1">
            <w:pPr>
              <w:widowControl w:val="0"/>
              <w:numPr>
                <w:ilvl w:val="0"/>
                <w:numId w:val="2"/>
              </w:numPr>
              <w:spacing w:before="51" w:line="220" w:lineRule="auto"/>
              <w:rPr>
                <w:rFonts w:ascii="宋体" w:hAnsi="宋体" w:cs="宋体"/>
                <w:sz w:val="22"/>
                <w:szCs w:val="22"/>
              </w:rPr>
            </w:pPr>
            <w:r>
              <w:rPr>
                <w:rFonts w:ascii="宋体" w:hAnsi="宋体" w:cs="宋体"/>
                <w:spacing w:val="-7"/>
                <w:sz w:val="22"/>
                <w:szCs w:val="22"/>
              </w:rPr>
              <w:t>审批服务目录；</w:t>
            </w:r>
          </w:p>
          <w:p w14:paraId="7884C129">
            <w:pPr>
              <w:widowControl w:val="0"/>
              <w:numPr>
                <w:ilvl w:val="0"/>
                <w:numId w:val="2"/>
              </w:numPr>
              <w:spacing w:before="35" w:line="205" w:lineRule="auto"/>
              <w:rPr>
                <w:rFonts w:ascii="宋体" w:hAnsi="宋体" w:cs="宋体"/>
                <w:sz w:val="22"/>
                <w:szCs w:val="22"/>
              </w:rPr>
            </w:pPr>
            <w:r>
              <w:rPr>
                <w:rFonts w:hint="eastAsia" w:ascii="宋体" w:hAnsi="宋体" w:cs="宋体"/>
                <w:spacing w:val="-2"/>
                <w:sz w:val="22"/>
                <w:szCs w:val="22"/>
                <w:lang w:val="en-US" w:eastAsia="zh-CN"/>
              </w:rPr>
              <w:t>与质量部</w:t>
            </w:r>
            <w:r>
              <w:rPr>
                <w:rFonts w:ascii="宋体" w:hAnsi="宋体" w:cs="宋体"/>
                <w:spacing w:val="-2"/>
                <w:sz w:val="22"/>
                <w:szCs w:val="22"/>
              </w:rPr>
              <w:t>就服务目录的发布达成共识等</w:t>
            </w:r>
            <w:r>
              <w:rPr>
                <w:rFonts w:hint="eastAsia" w:ascii="宋体" w:hAnsi="宋体" w:cs="宋体"/>
                <w:spacing w:val="-2"/>
                <w:sz w:val="22"/>
                <w:szCs w:val="22"/>
                <w:lang w:eastAsia="zh-CN"/>
              </w:rPr>
              <w:t>。</w:t>
            </w:r>
          </w:p>
        </w:tc>
      </w:tr>
      <w:tr w14:paraId="5E55B2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96" w:hRule="atLeast"/>
        </w:trPr>
        <w:tc>
          <w:tcPr>
            <w:tcW w:w="2411" w:type="dxa"/>
            <w:tcBorders>
              <w:left w:val="single" w:color="000000" w:sz="10" w:space="0"/>
            </w:tcBorders>
          </w:tcPr>
          <w:p w14:paraId="4B3DFB5B">
            <w:pPr>
              <w:widowControl w:val="0"/>
              <w:spacing w:before="71" w:line="220" w:lineRule="auto"/>
              <w:ind w:left="113"/>
              <w:rPr>
                <w:rFonts w:ascii="宋体" w:hAnsi="宋体" w:cs="宋体"/>
                <w:sz w:val="22"/>
                <w:szCs w:val="22"/>
              </w:rPr>
            </w:pPr>
            <w:r>
              <w:rPr>
                <w:rFonts w:ascii="宋体" w:hAnsi="宋体" w:cs="宋体"/>
                <w:spacing w:val="-2"/>
                <w:sz w:val="22"/>
                <w:szCs w:val="22"/>
              </w:rPr>
              <w:t>运维部</w:t>
            </w:r>
          </w:p>
        </w:tc>
        <w:tc>
          <w:tcPr>
            <w:tcW w:w="6735" w:type="dxa"/>
            <w:tcBorders>
              <w:right w:val="single" w:color="000000" w:sz="10" w:space="0"/>
            </w:tcBorders>
          </w:tcPr>
          <w:p w14:paraId="0457E4EA">
            <w:pPr>
              <w:widowControl w:val="0"/>
              <w:numPr>
                <w:ilvl w:val="0"/>
                <w:numId w:val="3"/>
              </w:numPr>
              <w:spacing w:before="81" w:line="220" w:lineRule="auto"/>
              <w:rPr>
                <w:rFonts w:ascii="宋体" w:hAnsi="宋体" w:cs="宋体"/>
                <w:sz w:val="22"/>
                <w:szCs w:val="22"/>
              </w:rPr>
            </w:pPr>
            <w:r>
              <w:rPr>
                <w:rFonts w:ascii="宋体" w:hAnsi="宋体" w:cs="宋体"/>
                <w:spacing w:val="-6"/>
                <w:sz w:val="22"/>
                <w:szCs w:val="22"/>
              </w:rPr>
              <w:t>负责调查了解、确定用户服务需求；</w:t>
            </w:r>
          </w:p>
          <w:p w14:paraId="01F67127">
            <w:pPr>
              <w:widowControl w:val="0"/>
              <w:numPr>
                <w:ilvl w:val="0"/>
                <w:numId w:val="3"/>
              </w:numPr>
              <w:spacing w:before="66" w:line="230" w:lineRule="auto"/>
              <w:ind w:right="263"/>
              <w:rPr>
                <w:rFonts w:ascii="宋体" w:hAnsi="宋体" w:cs="宋体"/>
                <w:sz w:val="22"/>
                <w:szCs w:val="22"/>
              </w:rPr>
            </w:pPr>
            <w:r>
              <w:rPr>
                <w:rFonts w:ascii="宋体" w:hAnsi="宋体" w:cs="宋体"/>
                <w:spacing w:val="-1"/>
                <w:sz w:val="22"/>
                <w:szCs w:val="22"/>
              </w:rPr>
              <w:t>对运维业务的外部环境及发展状况提出意</w:t>
            </w:r>
            <w:r>
              <w:rPr>
                <w:rFonts w:ascii="宋体" w:hAnsi="宋体" w:cs="宋体"/>
                <w:spacing w:val="-2"/>
                <w:sz w:val="22"/>
                <w:szCs w:val="22"/>
              </w:rPr>
              <w:t>见，分析当前和未来</w:t>
            </w:r>
            <w:r>
              <w:rPr>
                <w:rFonts w:ascii="宋体" w:hAnsi="宋体" w:cs="宋体"/>
                <w:spacing w:val="-9"/>
                <w:sz w:val="22"/>
                <w:szCs w:val="22"/>
              </w:rPr>
              <w:t>公司运维业务；</w:t>
            </w:r>
          </w:p>
          <w:p w14:paraId="5181AC39">
            <w:pPr>
              <w:widowControl w:val="0"/>
              <w:numPr>
                <w:ilvl w:val="0"/>
                <w:numId w:val="3"/>
              </w:numPr>
              <w:spacing w:before="54" w:line="220" w:lineRule="auto"/>
              <w:rPr>
                <w:rFonts w:ascii="宋体" w:hAnsi="宋体" w:cs="宋体"/>
                <w:sz w:val="22"/>
                <w:szCs w:val="22"/>
              </w:rPr>
            </w:pPr>
            <w:r>
              <w:rPr>
                <w:rFonts w:ascii="宋体" w:hAnsi="宋体" w:cs="宋体"/>
                <w:spacing w:val="-7"/>
                <w:sz w:val="22"/>
                <w:szCs w:val="22"/>
              </w:rPr>
              <w:t>负责编制服务目录；</w:t>
            </w:r>
          </w:p>
          <w:p w14:paraId="60F37040">
            <w:pPr>
              <w:widowControl w:val="0"/>
              <w:numPr>
                <w:ilvl w:val="0"/>
                <w:numId w:val="3"/>
              </w:numPr>
              <w:spacing w:before="49" w:line="220" w:lineRule="auto"/>
              <w:rPr>
                <w:rFonts w:ascii="宋体" w:hAnsi="宋体" w:cs="宋体"/>
                <w:sz w:val="22"/>
                <w:szCs w:val="22"/>
              </w:rPr>
            </w:pPr>
            <w:r>
              <w:rPr>
                <w:rFonts w:ascii="宋体" w:hAnsi="宋体" w:cs="宋体"/>
                <w:spacing w:val="-3"/>
                <w:sz w:val="22"/>
                <w:szCs w:val="22"/>
              </w:rPr>
              <w:t>负责组织相关人员进行运维业务分析，并评审服务目</w:t>
            </w:r>
            <w:r>
              <w:rPr>
                <w:rFonts w:ascii="宋体" w:hAnsi="宋体" w:cs="宋体"/>
                <w:spacing w:val="-4"/>
                <w:sz w:val="22"/>
                <w:szCs w:val="22"/>
              </w:rPr>
              <w:t>录；</w:t>
            </w:r>
          </w:p>
          <w:p w14:paraId="70E8B68C">
            <w:pPr>
              <w:widowControl w:val="0"/>
              <w:numPr>
                <w:ilvl w:val="0"/>
                <w:numId w:val="3"/>
              </w:numPr>
              <w:spacing w:before="42" w:line="216" w:lineRule="auto"/>
              <w:rPr>
                <w:rFonts w:ascii="宋体" w:hAnsi="宋体" w:cs="宋体"/>
                <w:sz w:val="22"/>
                <w:szCs w:val="22"/>
              </w:rPr>
            </w:pPr>
            <w:r>
              <w:rPr>
                <w:rFonts w:ascii="宋体" w:hAnsi="宋体" w:cs="宋体"/>
                <w:spacing w:val="-6"/>
                <w:sz w:val="22"/>
                <w:szCs w:val="22"/>
              </w:rPr>
              <w:t>负责更新服务目录。</w:t>
            </w:r>
          </w:p>
        </w:tc>
      </w:tr>
      <w:tr w14:paraId="5D0457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2" w:hRule="atLeast"/>
        </w:trPr>
        <w:tc>
          <w:tcPr>
            <w:tcW w:w="2411" w:type="dxa"/>
            <w:tcBorders>
              <w:left w:val="single" w:color="000000" w:sz="10" w:space="0"/>
              <w:bottom w:val="single" w:color="000000" w:sz="10" w:space="0"/>
            </w:tcBorders>
          </w:tcPr>
          <w:p w14:paraId="21B1CB80">
            <w:pPr>
              <w:widowControl w:val="0"/>
              <w:spacing w:before="71" w:line="220" w:lineRule="auto"/>
              <w:ind w:left="113"/>
              <w:rPr>
                <w:rFonts w:hint="eastAsia" w:ascii="宋体" w:hAnsi="宋体" w:eastAsia="宋体" w:cs="宋体"/>
                <w:spacing w:val="-2"/>
                <w:sz w:val="22"/>
                <w:szCs w:val="22"/>
                <w:lang w:val="en-US" w:eastAsia="zh-CN"/>
              </w:rPr>
            </w:pPr>
            <w:r>
              <w:rPr>
                <w:rFonts w:hint="eastAsia" w:ascii="宋体" w:hAnsi="宋体" w:cs="宋体"/>
                <w:spacing w:val="-2"/>
                <w:sz w:val="22"/>
                <w:szCs w:val="22"/>
                <w:lang w:val="en-US" w:eastAsia="zh-CN"/>
              </w:rPr>
              <w:t>质量部</w:t>
            </w:r>
          </w:p>
        </w:tc>
        <w:tc>
          <w:tcPr>
            <w:tcW w:w="6735" w:type="dxa"/>
            <w:tcBorders>
              <w:bottom w:val="single" w:color="000000" w:sz="10" w:space="0"/>
              <w:right w:val="single" w:color="000000" w:sz="10" w:space="0"/>
            </w:tcBorders>
          </w:tcPr>
          <w:p w14:paraId="1C9E8C1F">
            <w:pPr>
              <w:widowControl w:val="0"/>
              <w:numPr>
                <w:ilvl w:val="0"/>
                <w:numId w:val="4"/>
              </w:numPr>
              <w:spacing w:before="42" w:line="216" w:lineRule="auto"/>
              <w:rPr>
                <w:rFonts w:ascii="宋体" w:hAnsi="宋体" w:cs="宋体"/>
                <w:spacing w:val="-6"/>
                <w:sz w:val="22"/>
                <w:szCs w:val="22"/>
              </w:rPr>
            </w:pPr>
            <w:r>
              <w:rPr>
                <w:rFonts w:hint="eastAsia" w:ascii="宋体" w:hAnsi="宋体" w:cs="宋体"/>
                <w:spacing w:val="-6"/>
                <w:sz w:val="22"/>
                <w:szCs w:val="22"/>
                <w:lang w:val="en-US" w:eastAsia="zh-CN"/>
              </w:rPr>
              <w:t>负责</w:t>
            </w:r>
            <w:r>
              <w:rPr>
                <w:rFonts w:ascii="宋体" w:hAnsi="宋体" w:cs="宋体"/>
                <w:spacing w:val="-6"/>
                <w:sz w:val="22"/>
                <w:szCs w:val="22"/>
              </w:rPr>
              <w:t>对服务目录管理过程进行定期审计，验证目录与实际交付成果的一致性</w:t>
            </w:r>
          </w:p>
        </w:tc>
      </w:tr>
    </w:tbl>
    <w:p w14:paraId="533CFA62">
      <w:pPr>
        <w:pStyle w:val="28"/>
        <w:bidi w:val="0"/>
      </w:pPr>
      <w:bookmarkStart w:id="11" w:name="_Toc6537"/>
      <w:r>
        <w:t>服务目录管理机制</w:t>
      </w:r>
      <w:bookmarkEnd w:id="11"/>
    </w:p>
    <w:p w14:paraId="7F461CD9">
      <w:pPr>
        <w:pStyle w:val="30"/>
        <w:bidi w:val="0"/>
      </w:pPr>
      <w:bookmarkStart w:id="12" w:name="bookmark26"/>
      <w:bookmarkEnd w:id="12"/>
      <w:bookmarkStart w:id="13" w:name="_Toc19227"/>
      <w:r>
        <w:t>服务目录内容</w:t>
      </w:r>
      <w:bookmarkEnd w:id="13"/>
    </w:p>
    <w:p w14:paraId="72336772">
      <w:pPr>
        <w:pStyle w:val="29"/>
        <w:widowControl w:val="0"/>
        <w:ind w:firstLine="480"/>
      </w:pPr>
      <w:r>
        <w:t>服务目录覆盖组织当前所有服务能力范围内可以提供的服务，服务目录应包括：</w:t>
      </w:r>
    </w:p>
    <w:p w14:paraId="0E2C6954">
      <w:pPr>
        <w:pStyle w:val="29"/>
        <w:widowControl w:val="0"/>
        <w:ind w:firstLine="480"/>
      </w:pPr>
      <w:r>
        <w:t>服务目录（包括编码、名称）</w:t>
      </w:r>
    </w:p>
    <w:p w14:paraId="60BE2C91">
      <w:pPr>
        <w:pStyle w:val="29"/>
        <w:widowControl w:val="0"/>
        <w:ind w:firstLine="480"/>
      </w:pPr>
      <w:r>
        <w:t>服务详述（包括如服务对象、服务分类、服务内容、服务频度、响应时间、交付方式、</w:t>
      </w:r>
      <w:r>
        <w:rPr>
          <w:rFonts w:hint="eastAsia"/>
          <w:lang w:val="en-US" w:eastAsia="zh-CN"/>
        </w:rPr>
        <w:t>服务目标/服务价值、</w:t>
      </w:r>
      <w:r>
        <w:t>交付成果等）</w:t>
      </w:r>
    </w:p>
    <w:p w14:paraId="017EE071">
      <w:pPr>
        <w:pStyle w:val="29"/>
        <w:widowControl w:val="0"/>
        <w:ind w:firstLine="480"/>
      </w:pPr>
      <w:r>
        <w:t>未来服务目录可在服务产品化的基础上，增加运维部门、服务时长、服务人员所需最低技能，服务报价等细项；</w:t>
      </w:r>
    </w:p>
    <w:p w14:paraId="0D48A712">
      <w:pPr>
        <w:pStyle w:val="29"/>
        <w:widowControl w:val="0"/>
        <w:ind w:firstLine="480"/>
      </w:pPr>
      <w:r>
        <w:t>以及增加通过服务搭配与组合以实现不同级别的服务承诺。</w:t>
      </w:r>
    </w:p>
    <w:p w14:paraId="0C1E7241">
      <w:pPr>
        <w:pStyle w:val="30"/>
        <w:keepNext w:val="0"/>
        <w:keepLines w:val="0"/>
        <w:widowControl w:val="0"/>
        <w:tabs>
          <w:tab w:val="left" w:pos="420"/>
        </w:tabs>
      </w:pPr>
      <w:bookmarkStart w:id="14" w:name="_Toc12016"/>
      <w:r>
        <w:t>受众和目标</w:t>
      </w:r>
      <w:bookmarkEnd w:id="14"/>
    </w:p>
    <w:p w14:paraId="5CD9B24F">
      <w:pPr>
        <w:pStyle w:val="29"/>
        <w:widowControl w:val="0"/>
        <w:ind w:firstLine="480"/>
      </w:pPr>
      <w:r>
        <w:t>服务目录的目标是成为组织（IT服务供方）与客户（IT服务需方）之间的一个桥梁。对客户准确、完整地介绍组织的IT服务能力范围；对组织可以利用服务目录以及客户对服务目录的反馈，开展自身IT服务能力建设的依据。有利于服务的不断改进和资源匹配率的不断提升。</w:t>
      </w:r>
    </w:p>
    <w:p w14:paraId="50314616">
      <w:pPr>
        <w:pStyle w:val="29"/>
        <w:widowControl w:val="0"/>
        <w:ind w:firstLine="480"/>
      </w:pPr>
      <w:r>
        <w:t>服务目录：在服务目录建立后，原则上每年年初修编一次。若遇外部重大环境变化、内部重大战略转型也可按需进行修编。受众主要</w:t>
      </w:r>
      <w:r>
        <w:rPr>
          <w:rFonts w:hint="eastAsia"/>
        </w:rPr>
        <w:t>是运维相关部门。</w:t>
      </w:r>
    </w:p>
    <w:p w14:paraId="5AF5E033">
      <w:pPr>
        <w:pStyle w:val="30"/>
        <w:keepNext w:val="0"/>
        <w:keepLines w:val="0"/>
        <w:widowControl w:val="0"/>
        <w:tabs>
          <w:tab w:val="left" w:pos="420"/>
        </w:tabs>
      </w:pPr>
      <w:bookmarkStart w:id="15" w:name="_Toc8835"/>
      <w:r>
        <w:t>基本要求</w:t>
      </w:r>
      <w:bookmarkEnd w:id="15"/>
    </w:p>
    <w:p w14:paraId="1C314ABA">
      <w:pPr>
        <w:pStyle w:val="29"/>
        <w:widowControl w:val="0"/>
        <w:ind w:firstLine="480"/>
      </w:pPr>
      <w:r>
        <w:t>服务目录的基本要求包括：</w:t>
      </w:r>
    </w:p>
    <w:p w14:paraId="1081C9A2">
      <w:pPr>
        <w:pStyle w:val="41"/>
        <w:widowControl w:val="0"/>
        <w:numPr>
          <w:ilvl w:val="0"/>
          <w:numId w:val="5"/>
        </w:numPr>
      </w:pPr>
      <w:r>
        <w:t>服务目录应被制定并形成文档记录，在提供运维服务的过程中得到了应用；</w:t>
      </w:r>
    </w:p>
    <w:p w14:paraId="0D82289F">
      <w:pPr>
        <w:pStyle w:val="41"/>
        <w:widowControl w:val="0"/>
        <w:numPr>
          <w:ilvl w:val="0"/>
          <w:numId w:val="5"/>
        </w:numPr>
      </w:pPr>
      <w:r>
        <w:t>服务目录应在每年年初进行修编；</w:t>
      </w:r>
    </w:p>
    <w:p w14:paraId="755379F5">
      <w:pPr>
        <w:pStyle w:val="41"/>
        <w:widowControl w:val="0"/>
        <w:numPr>
          <w:ilvl w:val="0"/>
          <w:numId w:val="5"/>
        </w:numPr>
      </w:pPr>
      <w:r>
        <w:t>所有服务目录应包括服务列表，列表层次结构需符合 GB/T 29264-2012的要求</w:t>
      </w:r>
    </w:p>
    <w:p w14:paraId="189C34F4">
      <w:pPr>
        <w:pStyle w:val="41"/>
        <w:widowControl w:val="0"/>
        <w:numPr>
          <w:ilvl w:val="0"/>
          <w:numId w:val="5"/>
        </w:numPr>
      </w:pPr>
      <w:r>
        <w:t>服务目录应全面覆盖组织当前运维服务能力下可提供的运维服务；</w:t>
      </w:r>
    </w:p>
    <w:p w14:paraId="47882ACD">
      <w:pPr>
        <w:pStyle w:val="41"/>
        <w:widowControl w:val="0"/>
        <w:numPr>
          <w:ilvl w:val="0"/>
          <w:numId w:val="5"/>
        </w:numPr>
      </w:pPr>
      <w:r>
        <w:t>服务目录应简明易懂，并对每个服务项有相关说明，容易被客户理解。</w:t>
      </w:r>
    </w:p>
    <w:p w14:paraId="4171727E">
      <w:pPr>
        <w:pStyle w:val="30"/>
        <w:keepNext w:val="0"/>
        <w:keepLines w:val="0"/>
        <w:widowControl w:val="0"/>
        <w:tabs>
          <w:tab w:val="left" w:pos="420"/>
        </w:tabs>
      </w:pPr>
      <w:bookmarkStart w:id="16" w:name="_Toc4233"/>
      <w:r>
        <w:t>内容形式</w:t>
      </w:r>
      <w:bookmarkEnd w:id="16"/>
    </w:p>
    <w:p w14:paraId="47FF0782">
      <w:pPr>
        <w:pStyle w:val="29"/>
        <w:widowControl w:val="0"/>
        <w:ind w:firstLine="480"/>
      </w:pPr>
      <w:r>
        <w:t>服务目录中包含服务级别协议的内容。服务目录是决定客户期望的关键文件，客户和支持人员应该能方便地使用该文件以作为服务级别协议的参考。</w:t>
      </w:r>
    </w:p>
    <w:p w14:paraId="645247F7">
      <w:pPr>
        <w:pStyle w:val="29"/>
        <w:widowControl w:val="0"/>
        <w:ind w:firstLine="480"/>
      </w:pPr>
      <w:r>
        <w:t>服务目录以表格的形式展现，服务目录（包括编码、名称）、服务详述（包括如服务对象、服务分类、服务内容、服务频度、响应时间、交付方式、服务目标/服务价值</w:t>
      </w:r>
      <w:r>
        <w:rPr>
          <w:rFonts w:hint="default"/>
        </w:rPr>
        <w:t>、</w:t>
      </w:r>
      <w:r>
        <w:t>交付成果</w:t>
      </w:r>
      <w:r>
        <w:rPr>
          <w:rFonts w:hint="eastAsia"/>
          <w:lang w:eastAsia="zh-CN"/>
        </w:rPr>
        <w:t>、</w:t>
      </w:r>
      <w:r>
        <w:rPr>
          <w:rFonts w:hint="eastAsia"/>
          <w:lang w:val="en-US" w:eastAsia="zh-CN"/>
        </w:rPr>
        <w:t>服务简介</w:t>
      </w:r>
      <w:bookmarkStart w:id="34" w:name="_GoBack"/>
      <w:bookmarkEnd w:id="34"/>
      <w:r>
        <w:t>等）。</w:t>
      </w:r>
    </w:p>
    <w:p w14:paraId="23E5D7B6">
      <w:pPr>
        <w:pStyle w:val="29"/>
        <w:widowControl w:val="0"/>
        <w:ind w:firstLine="480"/>
      </w:pPr>
      <w:r>
        <w:t>具体内容与形式参见《</w:t>
      </w:r>
      <w:r>
        <w:rPr>
          <w:rFonts w:hint="eastAsia"/>
        </w:rPr>
        <w:t>公司运行维护</w:t>
      </w:r>
      <w:r>
        <w:t>服务目录》。</w:t>
      </w:r>
    </w:p>
    <w:p w14:paraId="70D043A9">
      <w:pPr>
        <w:pStyle w:val="30"/>
        <w:keepNext w:val="0"/>
        <w:keepLines w:val="0"/>
        <w:widowControl w:val="0"/>
        <w:tabs>
          <w:tab w:val="left" w:pos="420"/>
        </w:tabs>
      </w:pPr>
      <w:bookmarkStart w:id="17" w:name="_Toc14957"/>
      <w:r>
        <w:rPr>
          <w:rFonts w:hint="eastAsia"/>
          <w:lang w:eastAsia="zh-CN"/>
        </w:rPr>
        <w:t>服务目录需求定义</w:t>
      </w:r>
      <w:bookmarkEnd w:id="17"/>
    </w:p>
    <w:p w14:paraId="1DBF51ED">
      <w:pPr>
        <w:pStyle w:val="29"/>
        <w:widowControl w:val="0"/>
        <w:ind w:firstLine="480"/>
      </w:pPr>
      <w:r>
        <w:t>服务目录的需求应满足服务目录阅读者需求。为了满足客户管理和内部管理的需要，在提供服务目录前需要</w:t>
      </w:r>
      <w:r>
        <w:rPr>
          <w:rFonts w:hint="eastAsia"/>
        </w:rPr>
        <w:t>由</w:t>
      </w:r>
      <w:r>
        <w:t>运维部就服务目录进行协商并将协商结果记录下来。</w:t>
      </w:r>
    </w:p>
    <w:p w14:paraId="6C03ABA3">
      <w:pPr>
        <w:pStyle w:val="30"/>
        <w:keepNext w:val="0"/>
        <w:keepLines w:val="0"/>
        <w:widowControl w:val="0"/>
        <w:rPr>
          <w:lang w:eastAsia="zh-CN"/>
        </w:rPr>
      </w:pPr>
      <w:bookmarkStart w:id="18" w:name="_Toc13899"/>
      <w:r>
        <w:rPr>
          <w:rFonts w:hint="eastAsia"/>
          <w:lang w:eastAsia="zh-CN"/>
        </w:rPr>
        <w:t>服务目录管理与分发</w:t>
      </w:r>
      <w:bookmarkEnd w:id="18"/>
    </w:p>
    <w:p w14:paraId="329B9632">
      <w:pPr>
        <w:pStyle w:val="29"/>
        <w:widowControl w:val="0"/>
        <w:ind w:firstLine="480"/>
      </w:pPr>
      <w:r>
        <w:t>服务目录的储存、分发和维护应建有规范的制度，相关的管理人员和流程负责人对服务目录管理流程的文档负责。建立健全文档的访问控制机制，服务目录储存位置应对</w:t>
      </w:r>
      <w:r>
        <w:rPr>
          <w:rFonts w:hint="eastAsia"/>
          <w:lang w:val="en-US" w:eastAsia="zh-CN"/>
        </w:rPr>
        <w:t>运维部</w:t>
      </w:r>
      <w:r>
        <w:t>、</w:t>
      </w:r>
      <w:r>
        <w:rPr>
          <w:rFonts w:hint="eastAsia"/>
        </w:rPr>
        <w:t>运维部</w:t>
      </w:r>
      <w:r>
        <w:t>服务管理人员公布。项目级服务目录存储位置仅对项目相关的</w:t>
      </w:r>
      <w:r>
        <w:rPr>
          <w:rFonts w:hint="eastAsia"/>
          <w:lang w:val="en-US" w:eastAsia="zh-CN"/>
        </w:rPr>
        <w:t>运维部</w:t>
      </w:r>
      <w:r>
        <w:t>、服务管理人员公布。文档应定期检查，保证可用。</w:t>
      </w:r>
    </w:p>
    <w:p w14:paraId="1386FB1D">
      <w:pPr>
        <w:pStyle w:val="29"/>
        <w:widowControl w:val="0"/>
        <w:ind w:firstLine="480"/>
        <w:rPr>
          <w:rFonts w:hint="eastAsia"/>
          <w:lang w:val="en-US" w:eastAsia="zh-CN"/>
        </w:rPr>
      </w:pPr>
      <w:r>
        <w:rPr>
          <w:rFonts w:hint="eastAsia"/>
          <w:lang w:val="en-US" w:eastAsia="zh-CN"/>
        </w:rPr>
        <w:t>服务目录的发布与更新应遵循以下发布流程：</w:t>
      </w:r>
    </w:p>
    <w:tbl>
      <w:tblPr>
        <w:tblStyle w:val="21"/>
        <w:tblW w:w="869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1"/>
        <w:gridCol w:w="1353"/>
        <w:gridCol w:w="1968"/>
        <w:gridCol w:w="4750"/>
      </w:tblGrid>
      <w:tr w14:paraId="2B687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621"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6FB8E0E2">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F1115"/>
                <w:spacing w:val="0"/>
                <w:kern w:val="0"/>
                <w:sz w:val="18"/>
                <w:szCs w:val="18"/>
                <w:lang w:val="en-US" w:eastAsia="zh-CN" w:bidi="ar"/>
              </w:rPr>
              <w:t>步骤</w:t>
            </w:r>
          </w:p>
        </w:tc>
        <w:tc>
          <w:tcPr>
            <w:tcW w:w="1353"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42006D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F1115"/>
                <w:spacing w:val="0"/>
                <w:kern w:val="0"/>
                <w:sz w:val="18"/>
                <w:szCs w:val="18"/>
                <w:lang w:val="en-US" w:eastAsia="zh-CN" w:bidi="ar"/>
              </w:rPr>
              <w:t>活动名称</w:t>
            </w:r>
          </w:p>
        </w:tc>
        <w:tc>
          <w:tcPr>
            <w:tcW w:w="1968"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21B205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F1115"/>
                <w:spacing w:val="0"/>
                <w:kern w:val="0"/>
                <w:sz w:val="18"/>
                <w:szCs w:val="18"/>
                <w:lang w:val="en-US" w:eastAsia="zh-CN" w:bidi="ar"/>
              </w:rPr>
              <w:t>责任主体</w:t>
            </w:r>
          </w:p>
        </w:tc>
        <w:tc>
          <w:tcPr>
            <w:tcW w:w="4750"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6C7DBDD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F1115"/>
                <w:spacing w:val="0"/>
                <w:kern w:val="0"/>
                <w:sz w:val="18"/>
                <w:szCs w:val="18"/>
                <w:lang w:val="en-US" w:eastAsia="zh-CN" w:bidi="ar"/>
              </w:rPr>
              <w:t>说明</w:t>
            </w:r>
          </w:p>
        </w:tc>
      </w:tr>
      <w:tr w14:paraId="06C038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1"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26B3090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1</w:t>
            </w:r>
          </w:p>
        </w:tc>
        <w:tc>
          <w:tcPr>
            <w:tcW w:w="1353"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5291ED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发布申请</w:t>
            </w:r>
          </w:p>
        </w:tc>
        <w:tc>
          <w:tcPr>
            <w:tcW w:w="196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CE07A4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服务目录负责人</w:t>
            </w:r>
          </w:p>
        </w:tc>
        <w:tc>
          <w:tcPr>
            <w:tcW w:w="475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50B224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服务目录编制或修订完成后，由服务目录负责人填写《服务目录发布申请表》，明确变更内容、影响范围及发布原因。</w:t>
            </w:r>
          </w:p>
        </w:tc>
      </w:tr>
      <w:tr w14:paraId="6EEE34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1"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B6CA9A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2</w:t>
            </w:r>
          </w:p>
        </w:tc>
        <w:tc>
          <w:tcPr>
            <w:tcW w:w="1353"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AAF6CC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审核</w:t>
            </w:r>
          </w:p>
        </w:tc>
        <w:tc>
          <w:tcPr>
            <w:tcW w:w="196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D6F94E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运维部经理</w:t>
            </w:r>
          </w:p>
        </w:tc>
        <w:tc>
          <w:tcPr>
            <w:tcW w:w="475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90F9E7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运维部经理对服务目录的完整性、准确性进行审核，确认服务目录与公司当前运维服务能力相匹配。</w:t>
            </w:r>
          </w:p>
        </w:tc>
      </w:tr>
      <w:tr w14:paraId="1312A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1"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2FD7DC1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3</w:t>
            </w:r>
          </w:p>
        </w:tc>
        <w:tc>
          <w:tcPr>
            <w:tcW w:w="1353"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271C12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批准</w:t>
            </w:r>
          </w:p>
        </w:tc>
        <w:tc>
          <w:tcPr>
            <w:tcW w:w="196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9B89E7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公司副总经理</w:t>
            </w:r>
          </w:p>
        </w:tc>
        <w:tc>
          <w:tcPr>
            <w:tcW w:w="475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0E9A140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公司副总经理对服务目录进行最终批准，确认可对外发布。</w:t>
            </w:r>
          </w:p>
        </w:tc>
      </w:tr>
      <w:tr w14:paraId="64219C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1"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5F2483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4</w:t>
            </w:r>
          </w:p>
        </w:tc>
        <w:tc>
          <w:tcPr>
            <w:tcW w:w="1353"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3F7D62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发布通知</w:t>
            </w:r>
          </w:p>
        </w:tc>
        <w:tc>
          <w:tcPr>
            <w:tcW w:w="196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677AB3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服务目录负责人</w:t>
            </w:r>
          </w:p>
        </w:tc>
        <w:tc>
          <w:tcPr>
            <w:tcW w:w="475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7C705D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服务目录负责人通过邮件或公司OA系统，向运维部、质量部及相关项目组发送发布通知，告知服务目录的版本号、生效日期及存储位置。</w:t>
            </w:r>
          </w:p>
        </w:tc>
      </w:tr>
      <w:tr w14:paraId="24C951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1"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1D26BB9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5</w:t>
            </w:r>
          </w:p>
        </w:tc>
        <w:tc>
          <w:tcPr>
            <w:tcW w:w="1353"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334EC7F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存档</w:t>
            </w:r>
          </w:p>
        </w:tc>
        <w:tc>
          <w:tcPr>
            <w:tcW w:w="1968"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0D80A39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服务目录负责人</w:t>
            </w:r>
          </w:p>
        </w:tc>
        <w:tc>
          <w:tcPr>
            <w:tcW w:w="4750"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565C50B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将批准后的服务目录文档存档至指定文档管理系统，并更新文档版本记录。</w:t>
            </w:r>
          </w:p>
        </w:tc>
      </w:tr>
    </w:tbl>
    <w:p w14:paraId="16445362">
      <w:pPr>
        <w:pStyle w:val="29"/>
        <w:bidi w:val="0"/>
        <w:rPr>
          <w:rFonts w:hint="eastAsia" w:eastAsia="宋体"/>
          <w:lang w:val="en-US" w:eastAsia="zh-CN"/>
        </w:rPr>
      </w:pPr>
      <w:r>
        <w:t>服务目录的更新应通过变更与发布管理过程进行，未经上述流程审批，不得擅自发布或更新服务目录</w:t>
      </w:r>
      <w:r>
        <w:rPr>
          <w:rFonts w:hint="eastAsia"/>
          <w:lang w:eastAsia="zh-CN"/>
        </w:rPr>
        <w:t>。</w:t>
      </w:r>
    </w:p>
    <w:p w14:paraId="28026C10">
      <w:pPr>
        <w:pStyle w:val="30"/>
        <w:keepNext w:val="0"/>
        <w:keepLines w:val="0"/>
        <w:widowControl w:val="0"/>
        <w:rPr>
          <w:lang w:eastAsia="zh-CN"/>
        </w:rPr>
      </w:pPr>
      <w:bookmarkStart w:id="19" w:name="_Toc5565"/>
      <w:r>
        <w:rPr>
          <w:rFonts w:hint="eastAsia"/>
          <w:lang w:eastAsia="zh-CN"/>
        </w:rPr>
        <w:t>服务目录定期回顾与有效性保障</w:t>
      </w:r>
      <w:bookmarkEnd w:id="19"/>
    </w:p>
    <w:p w14:paraId="530C1622">
      <w:pPr>
        <w:pStyle w:val="29"/>
        <w:widowControl w:val="0"/>
        <w:ind w:firstLine="480"/>
      </w:pPr>
      <w:r>
        <w:t>为了避免服务目录流于形式，成为无意义的劳动，</w:t>
      </w:r>
      <w:r>
        <w:rPr>
          <w:rFonts w:hint="eastAsia"/>
        </w:rPr>
        <w:t>运维部</w:t>
      </w:r>
      <w:r>
        <w:t>服务管理人员和流程负责人应充分利用服务服务目录，每年定期或根据实际情况对服务目录进行回顾，提高决策的科学性。</w:t>
      </w:r>
    </w:p>
    <w:p w14:paraId="75CAC5D1">
      <w:pPr>
        <w:pStyle w:val="28"/>
        <w:keepNext w:val="0"/>
        <w:keepLines w:val="0"/>
        <w:widowControl w:val="0"/>
      </w:pPr>
      <w:bookmarkStart w:id="20" w:name="_Toc32566"/>
      <w:r>
        <w:t>服务目录管理流程</w:t>
      </w:r>
      <w:bookmarkEnd w:id="20"/>
    </w:p>
    <w:p w14:paraId="416481FD">
      <w:pPr>
        <w:pStyle w:val="29"/>
        <w:widowControl w:val="0"/>
        <w:ind w:firstLine="480"/>
      </w:pPr>
      <w:r>
        <w:t>服务目录管理流程的范围包括提供和维护所有服务的准确信息。包括所有在转换或已转换到生产环境中的服务。</w:t>
      </w:r>
      <w:bookmarkStart w:id="21" w:name="bookmark27"/>
      <w:bookmarkEnd w:id="21"/>
    </w:p>
    <w:p w14:paraId="45358C9D">
      <w:pPr>
        <w:pStyle w:val="30"/>
        <w:keepNext w:val="0"/>
        <w:keepLines w:val="0"/>
        <w:widowControl w:val="0"/>
        <w:tabs>
          <w:tab w:val="left" w:pos="420"/>
        </w:tabs>
      </w:pPr>
      <w:bookmarkStart w:id="22" w:name="_Toc26771"/>
      <w:r>
        <w:t>管理流程图</w:t>
      </w:r>
      <w:bookmarkEnd w:id="22"/>
    </w:p>
    <w:p w14:paraId="08374FEA">
      <w:pPr>
        <w:widowControl w:val="0"/>
        <w:ind w:firstLine="420" w:firstLineChars="200"/>
      </w:pPr>
      <w:r>
        <w:rPr>
          <w:lang w:eastAsia="zh-CN"/>
        </w:rPr>
        <w:drawing>
          <wp:inline distT="0" distB="0" distL="114300" distR="114300">
            <wp:extent cx="5068570" cy="4988560"/>
            <wp:effectExtent l="0" t="0" r="635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stretch>
                      <a:fillRect/>
                    </a:stretch>
                  </pic:blipFill>
                  <pic:spPr>
                    <a:xfrm>
                      <a:off x="0" y="0"/>
                      <a:ext cx="5068570" cy="4988560"/>
                    </a:xfrm>
                    <a:prstGeom prst="rect">
                      <a:avLst/>
                    </a:prstGeom>
                    <a:noFill/>
                    <a:ln>
                      <a:noFill/>
                    </a:ln>
                  </pic:spPr>
                </pic:pic>
              </a:graphicData>
            </a:graphic>
          </wp:inline>
        </w:drawing>
      </w:r>
    </w:p>
    <w:p w14:paraId="3ECBFFC1">
      <w:pPr>
        <w:pStyle w:val="30"/>
        <w:keepNext w:val="0"/>
        <w:keepLines w:val="0"/>
        <w:widowControl w:val="0"/>
        <w:tabs>
          <w:tab w:val="left" w:pos="420"/>
        </w:tabs>
      </w:pPr>
      <w:bookmarkStart w:id="23" w:name="_Toc17301"/>
      <w:r>
        <w:t>过程描述</w:t>
      </w:r>
      <w:bookmarkEnd w:id="23"/>
    </w:p>
    <w:tbl>
      <w:tblPr>
        <w:tblStyle w:val="26"/>
        <w:tblW w:w="9095" w:type="dxa"/>
        <w:tblInd w:w="3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05"/>
        <w:gridCol w:w="1412"/>
        <w:gridCol w:w="1698"/>
        <w:gridCol w:w="4980"/>
      </w:tblGrid>
      <w:tr w14:paraId="2F2658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7" w:hRule="atLeast"/>
        </w:trPr>
        <w:tc>
          <w:tcPr>
            <w:tcW w:w="1005" w:type="dxa"/>
            <w:shd w:val="clear" w:color="auto" w:fill="B2B2B2"/>
          </w:tcPr>
          <w:p w14:paraId="65669645">
            <w:pPr>
              <w:widowControl w:val="0"/>
              <w:spacing w:before="144" w:line="228" w:lineRule="auto"/>
              <w:ind w:left="251"/>
              <w:rPr>
                <w:rFonts w:ascii="宋体" w:hAnsi="宋体" w:cs="宋体"/>
                <w:sz w:val="20"/>
                <w:szCs w:val="20"/>
              </w:rPr>
            </w:pPr>
            <w:r>
              <w:rPr>
                <w:rFonts w:ascii="宋体" w:hAnsi="宋体" w:cs="宋体"/>
                <w:b/>
                <w:bCs/>
                <w:spacing w:val="-2"/>
                <w:sz w:val="20"/>
                <w:szCs w:val="20"/>
              </w:rPr>
              <w:t>编</w:t>
            </w:r>
            <w:r>
              <w:rPr>
                <w:rFonts w:ascii="宋体" w:hAnsi="宋体" w:cs="宋体"/>
                <w:spacing w:val="12"/>
                <w:sz w:val="20"/>
                <w:szCs w:val="20"/>
              </w:rPr>
              <w:t xml:space="preserve"> </w:t>
            </w:r>
            <w:r>
              <w:rPr>
                <w:rFonts w:ascii="宋体" w:hAnsi="宋体" w:cs="宋体"/>
                <w:b/>
                <w:bCs/>
                <w:spacing w:val="-2"/>
                <w:sz w:val="20"/>
                <w:szCs w:val="20"/>
              </w:rPr>
              <w:t>码</w:t>
            </w:r>
          </w:p>
        </w:tc>
        <w:tc>
          <w:tcPr>
            <w:tcW w:w="1412" w:type="dxa"/>
            <w:shd w:val="clear" w:color="auto" w:fill="B2B2B2"/>
          </w:tcPr>
          <w:p w14:paraId="6D62B211">
            <w:pPr>
              <w:widowControl w:val="0"/>
              <w:spacing w:before="148" w:line="228" w:lineRule="auto"/>
              <w:ind w:left="452"/>
              <w:rPr>
                <w:rFonts w:ascii="宋体" w:hAnsi="宋体" w:cs="宋体"/>
                <w:sz w:val="20"/>
                <w:szCs w:val="20"/>
              </w:rPr>
            </w:pPr>
            <w:r>
              <w:rPr>
                <w:rFonts w:ascii="宋体" w:hAnsi="宋体" w:cs="宋体"/>
                <w:b/>
                <w:bCs/>
                <w:spacing w:val="-4"/>
                <w:sz w:val="20"/>
                <w:szCs w:val="20"/>
              </w:rPr>
              <w:t>活</w:t>
            </w:r>
            <w:r>
              <w:rPr>
                <w:rFonts w:ascii="宋体" w:hAnsi="宋体" w:cs="宋体"/>
                <w:spacing w:val="17"/>
                <w:sz w:val="20"/>
                <w:szCs w:val="20"/>
              </w:rPr>
              <w:t xml:space="preserve"> </w:t>
            </w:r>
            <w:r>
              <w:rPr>
                <w:rFonts w:ascii="宋体" w:hAnsi="宋体" w:cs="宋体"/>
                <w:b/>
                <w:bCs/>
                <w:spacing w:val="-4"/>
                <w:sz w:val="20"/>
                <w:szCs w:val="20"/>
              </w:rPr>
              <w:t>动</w:t>
            </w:r>
          </w:p>
        </w:tc>
        <w:tc>
          <w:tcPr>
            <w:tcW w:w="1698" w:type="dxa"/>
            <w:shd w:val="clear" w:color="auto" w:fill="B2B2B2"/>
          </w:tcPr>
          <w:p w14:paraId="3781AB63">
            <w:pPr>
              <w:widowControl w:val="0"/>
              <w:spacing w:before="144" w:line="228" w:lineRule="auto"/>
              <w:ind w:left="450"/>
              <w:rPr>
                <w:rFonts w:ascii="宋体" w:hAnsi="宋体" w:cs="宋体"/>
                <w:sz w:val="20"/>
                <w:szCs w:val="20"/>
              </w:rPr>
            </w:pPr>
            <w:r>
              <w:rPr>
                <w:rFonts w:ascii="宋体" w:hAnsi="宋体" w:cs="宋体"/>
                <w:b/>
                <w:bCs/>
                <w:spacing w:val="-1"/>
                <w:sz w:val="20"/>
                <w:szCs w:val="20"/>
              </w:rPr>
              <w:t>责任主体</w:t>
            </w:r>
          </w:p>
        </w:tc>
        <w:tc>
          <w:tcPr>
            <w:tcW w:w="4980" w:type="dxa"/>
            <w:shd w:val="clear" w:color="auto" w:fill="B2B2B2"/>
          </w:tcPr>
          <w:p w14:paraId="5D3A2AEF">
            <w:pPr>
              <w:widowControl w:val="0"/>
              <w:spacing w:before="144" w:line="228" w:lineRule="auto"/>
              <w:ind w:left="2242"/>
              <w:rPr>
                <w:rFonts w:ascii="宋体" w:hAnsi="宋体" w:cs="宋体"/>
                <w:sz w:val="20"/>
                <w:szCs w:val="20"/>
              </w:rPr>
            </w:pPr>
            <w:r>
              <w:rPr>
                <w:rFonts w:ascii="宋体" w:hAnsi="宋体" w:cs="宋体"/>
                <w:b/>
                <w:bCs/>
                <w:spacing w:val="-3"/>
                <w:sz w:val="20"/>
                <w:szCs w:val="20"/>
              </w:rPr>
              <w:t>说</w:t>
            </w:r>
            <w:r>
              <w:rPr>
                <w:rFonts w:ascii="宋体" w:hAnsi="宋体" w:cs="宋体"/>
                <w:spacing w:val="52"/>
                <w:sz w:val="20"/>
                <w:szCs w:val="20"/>
              </w:rPr>
              <w:t xml:space="preserve"> </w:t>
            </w:r>
            <w:r>
              <w:rPr>
                <w:rFonts w:ascii="宋体" w:hAnsi="宋体" w:cs="宋体"/>
                <w:b/>
                <w:bCs/>
                <w:spacing w:val="-3"/>
                <w:sz w:val="20"/>
                <w:szCs w:val="20"/>
              </w:rPr>
              <w:t>明</w:t>
            </w:r>
          </w:p>
        </w:tc>
      </w:tr>
    </w:tbl>
    <w:p w14:paraId="7B7084BD">
      <w:pPr>
        <w:widowControl w:val="0"/>
        <w:spacing w:line="90" w:lineRule="auto"/>
        <w:rPr>
          <w:sz w:val="2"/>
        </w:rPr>
      </w:pPr>
    </w:p>
    <w:tbl>
      <w:tblPr>
        <w:tblStyle w:val="26"/>
        <w:tblW w:w="9095" w:type="dxa"/>
        <w:tblInd w:w="1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05"/>
        <w:gridCol w:w="1412"/>
        <w:gridCol w:w="1698"/>
        <w:gridCol w:w="4980"/>
      </w:tblGrid>
      <w:tr w14:paraId="74EDDF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4" w:hRule="atLeast"/>
        </w:trPr>
        <w:tc>
          <w:tcPr>
            <w:tcW w:w="1005" w:type="dxa"/>
          </w:tcPr>
          <w:p w14:paraId="48260DD4">
            <w:pPr>
              <w:widowControl w:val="0"/>
              <w:spacing w:before="195" w:line="268" w:lineRule="exact"/>
              <w:ind w:left="151"/>
              <w:rPr>
                <w:rFonts w:ascii="宋体" w:hAnsi="宋体" w:cs="宋体"/>
                <w:sz w:val="20"/>
                <w:szCs w:val="20"/>
              </w:rPr>
            </w:pPr>
            <w:r>
              <w:rPr>
                <w:rFonts w:ascii="宋体" w:hAnsi="宋体" w:cs="宋体"/>
                <w:spacing w:val="-6"/>
                <w:position w:val="1"/>
                <w:sz w:val="20"/>
                <w:szCs w:val="20"/>
              </w:rPr>
              <w:t>1.1</w:t>
            </w:r>
          </w:p>
        </w:tc>
        <w:tc>
          <w:tcPr>
            <w:tcW w:w="1412" w:type="dxa"/>
          </w:tcPr>
          <w:p w14:paraId="44F86BFC">
            <w:pPr>
              <w:widowControl w:val="0"/>
              <w:spacing w:before="147" w:line="228" w:lineRule="auto"/>
              <w:ind w:left="116"/>
              <w:rPr>
                <w:rFonts w:ascii="宋体" w:hAnsi="宋体" w:cs="宋体"/>
                <w:sz w:val="20"/>
                <w:szCs w:val="20"/>
              </w:rPr>
            </w:pPr>
            <w:r>
              <w:rPr>
                <w:rFonts w:ascii="宋体" w:hAnsi="宋体" w:cs="宋体"/>
                <w:spacing w:val="6"/>
                <w:sz w:val="20"/>
                <w:szCs w:val="20"/>
              </w:rPr>
              <w:t>设计服务范</w:t>
            </w:r>
          </w:p>
          <w:p w14:paraId="5FCE8F40">
            <w:pPr>
              <w:widowControl w:val="0"/>
              <w:spacing w:before="218" w:line="228" w:lineRule="auto"/>
              <w:ind w:left="146"/>
              <w:rPr>
                <w:rFonts w:ascii="宋体" w:hAnsi="宋体" w:cs="宋体"/>
                <w:sz w:val="20"/>
                <w:szCs w:val="20"/>
              </w:rPr>
            </w:pPr>
            <w:r>
              <w:rPr>
                <w:rFonts w:ascii="宋体" w:hAnsi="宋体" w:cs="宋体"/>
                <w:sz w:val="20"/>
                <w:szCs w:val="20"/>
              </w:rPr>
              <w:t>围和服务项</w:t>
            </w:r>
          </w:p>
        </w:tc>
        <w:tc>
          <w:tcPr>
            <w:tcW w:w="1698" w:type="dxa"/>
          </w:tcPr>
          <w:p w14:paraId="5805D868">
            <w:pPr>
              <w:widowControl w:val="0"/>
              <w:spacing w:before="147" w:line="228" w:lineRule="auto"/>
              <w:ind w:left="112"/>
              <w:rPr>
                <w:rFonts w:ascii="宋体" w:hAnsi="宋体" w:cs="宋体"/>
                <w:sz w:val="20"/>
                <w:szCs w:val="20"/>
              </w:rPr>
            </w:pPr>
            <w:r>
              <w:rPr>
                <w:rFonts w:ascii="宋体" w:hAnsi="宋体" w:cs="宋体"/>
                <w:spacing w:val="6"/>
                <w:sz w:val="20"/>
                <w:szCs w:val="20"/>
              </w:rPr>
              <w:t>服务目录负责人</w:t>
            </w:r>
          </w:p>
        </w:tc>
        <w:tc>
          <w:tcPr>
            <w:tcW w:w="4980" w:type="dxa"/>
          </w:tcPr>
          <w:p w14:paraId="78AC0384">
            <w:pPr>
              <w:widowControl w:val="0"/>
              <w:spacing w:before="166" w:line="359" w:lineRule="auto"/>
              <w:ind w:left="198" w:right="261" w:hanging="80"/>
              <w:rPr>
                <w:rFonts w:ascii="宋体" w:hAnsi="宋体" w:cs="宋体"/>
                <w:sz w:val="20"/>
                <w:szCs w:val="20"/>
              </w:rPr>
            </w:pPr>
            <w:r>
              <w:rPr>
                <w:rFonts w:ascii="宋体" w:hAnsi="宋体" w:cs="宋体"/>
                <w:spacing w:val="8"/>
                <w:sz w:val="20"/>
                <w:szCs w:val="20"/>
              </w:rPr>
              <w:t>服务目录负责人识别并梳理服务项，作为制定服务</w:t>
            </w:r>
            <w:r>
              <w:rPr>
                <w:rFonts w:ascii="宋体" w:hAnsi="宋体" w:cs="宋体"/>
                <w:spacing w:val="2"/>
                <w:sz w:val="20"/>
                <w:szCs w:val="20"/>
              </w:rPr>
              <w:t>目录参考依据。设计服务范围和服务项。</w:t>
            </w:r>
          </w:p>
        </w:tc>
      </w:tr>
      <w:tr w14:paraId="49121A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1005" w:type="dxa"/>
          </w:tcPr>
          <w:p w14:paraId="2E2ED3FE">
            <w:pPr>
              <w:widowControl w:val="0"/>
              <w:spacing w:before="181" w:line="268" w:lineRule="exact"/>
              <w:ind w:left="151"/>
              <w:rPr>
                <w:rFonts w:ascii="宋体" w:hAnsi="宋体" w:cs="宋体"/>
                <w:sz w:val="20"/>
                <w:szCs w:val="20"/>
              </w:rPr>
            </w:pPr>
            <w:r>
              <w:rPr>
                <w:rFonts w:ascii="宋体" w:hAnsi="宋体" w:cs="宋体"/>
                <w:spacing w:val="-6"/>
                <w:position w:val="1"/>
                <w:sz w:val="20"/>
                <w:szCs w:val="20"/>
              </w:rPr>
              <w:t>1.2</w:t>
            </w:r>
          </w:p>
        </w:tc>
        <w:tc>
          <w:tcPr>
            <w:tcW w:w="1412" w:type="dxa"/>
          </w:tcPr>
          <w:p w14:paraId="30BDED72">
            <w:pPr>
              <w:widowControl w:val="0"/>
              <w:spacing w:before="133" w:line="228" w:lineRule="auto"/>
              <w:ind w:left="108"/>
              <w:rPr>
                <w:rFonts w:ascii="宋体" w:hAnsi="宋体" w:cs="宋体"/>
                <w:sz w:val="20"/>
                <w:szCs w:val="20"/>
              </w:rPr>
            </w:pPr>
            <w:r>
              <w:rPr>
                <w:rFonts w:ascii="宋体" w:hAnsi="宋体" w:cs="宋体"/>
                <w:spacing w:val="6"/>
                <w:sz w:val="20"/>
                <w:szCs w:val="20"/>
              </w:rPr>
              <w:t>确定服务范</w:t>
            </w:r>
          </w:p>
          <w:p w14:paraId="429378A8">
            <w:pPr>
              <w:widowControl w:val="0"/>
              <w:spacing w:before="218" w:line="228" w:lineRule="auto"/>
              <w:ind w:left="146"/>
              <w:rPr>
                <w:rFonts w:ascii="宋体" w:hAnsi="宋体" w:cs="宋体"/>
                <w:sz w:val="20"/>
                <w:szCs w:val="20"/>
              </w:rPr>
            </w:pPr>
            <w:r>
              <w:rPr>
                <w:rFonts w:ascii="宋体" w:hAnsi="宋体" w:cs="宋体"/>
                <w:sz w:val="20"/>
                <w:szCs w:val="20"/>
              </w:rPr>
              <w:t>围和服务项</w:t>
            </w:r>
          </w:p>
        </w:tc>
        <w:tc>
          <w:tcPr>
            <w:tcW w:w="1698" w:type="dxa"/>
          </w:tcPr>
          <w:p w14:paraId="56155415">
            <w:pPr>
              <w:widowControl w:val="0"/>
              <w:spacing w:before="153" w:line="358" w:lineRule="auto"/>
              <w:ind w:left="112" w:right="126"/>
              <w:rPr>
                <w:rFonts w:ascii="宋体" w:hAnsi="宋体" w:cs="宋体"/>
                <w:sz w:val="20"/>
                <w:szCs w:val="20"/>
                <w:lang w:eastAsia="zh-CN"/>
              </w:rPr>
            </w:pPr>
            <w:r>
              <w:rPr>
                <w:rFonts w:ascii="宋体" w:hAnsi="宋体" w:cs="宋体"/>
                <w:spacing w:val="6"/>
                <w:sz w:val="20"/>
                <w:szCs w:val="20"/>
              </w:rPr>
              <w:t>运维部</w:t>
            </w:r>
          </w:p>
        </w:tc>
        <w:tc>
          <w:tcPr>
            <w:tcW w:w="4980" w:type="dxa"/>
          </w:tcPr>
          <w:p w14:paraId="399C9D09">
            <w:pPr>
              <w:widowControl w:val="0"/>
              <w:spacing w:before="153" w:line="358" w:lineRule="auto"/>
              <w:ind w:left="118" w:right="261"/>
              <w:rPr>
                <w:rFonts w:ascii="宋体" w:hAnsi="宋体" w:cs="宋体"/>
                <w:sz w:val="20"/>
                <w:szCs w:val="20"/>
              </w:rPr>
            </w:pPr>
            <w:r>
              <w:rPr>
                <w:rFonts w:ascii="宋体" w:hAnsi="宋体" w:cs="宋体"/>
                <w:spacing w:val="8"/>
                <w:sz w:val="20"/>
                <w:szCs w:val="20"/>
              </w:rPr>
              <w:t>服务目录负责人配合运维部确定</w:t>
            </w:r>
            <w:r>
              <w:rPr>
                <w:rFonts w:ascii="宋体" w:hAnsi="宋体" w:cs="宋体"/>
                <w:spacing w:val="4"/>
                <w:sz w:val="20"/>
                <w:szCs w:val="20"/>
              </w:rPr>
              <w:t>服务范围和服务项。</w:t>
            </w:r>
          </w:p>
        </w:tc>
      </w:tr>
      <w:tr w14:paraId="630609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1005" w:type="dxa"/>
          </w:tcPr>
          <w:p w14:paraId="6C07DEC1">
            <w:pPr>
              <w:widowControl w:val="0"/>
              <w:spacing w:before="183" w:line="267" w:lineRule="exact"/>
              <w:ind w:left="151"/>
              <w:rPr>
                <w:rFonts w:ascii="宋体" w:hAnsi="宋体" w:cs="宋体"/>
                <w:sz w:val="20"/>
                <w:szCs w:val="20"/>
              </w:rPr>
            </w:pPr>
            <w:r>
              <w:rPr>
                <w:rFonts w:ascii="宋体" w:hAnsi="宋体" w:cs="宋体"/>
                <w:spacing w:val="-6"/>
                <w:position w:val="1"/>
                <w:sz w:val="20"/>
                <w:szCs w:val="20"/>
              </w:rPr>
              <w:t>1.3</w:t>
            </w:r>
          </w:p>
        </w:tc>
        <w:tc>
          <w:tcPr>
            <w:tcW w:w="1412" w:type="dxa"/>
          </w:tcPr>
          <w:p w14:paraId="26C8AD9B">
            <w:pPr>
              <w:widowControl w:val="0"/>
              <w:spacing w:before="155" w:line="357" w:lineRule="auto"/>
              <w:ind w:left="109" w:right="262" w:firstLine="4"/>
              <w:rPr>
                <w:rFonts w:ascii="宋体" w:hAnsi="宋体" w:cs="宋体"/>
                <w:sz w:val="20"/>
                <w:szCs w:val="20"/>
              </w:rPr>
            </w:pPr>
            <w:r>
              <w:rPr>
                <w:rFonts w:ascii="宋体" w:hAnsi="宋体" w:cs="宋体"/>
                <w:spacing w:val="5"/>
                <w:sz w:val="20"/>
                <w:szCs w:val="20"/>
              </w:rPr>
              <w:t>构建服务目</w:t>
            </w:r>
            <w:r>
              <w:rPr>
                <w:rFonts w:ascii="宋体" w:hAnsi="宋体" w:cs="宋体"/>
                <w:sz w:val="20"/>
                <w:szCs w:val="20"/>
              </w:rPr>
              <w:t>录</w:t>
            </w:r>
          </w:p>
        </w:tc>
        <w:tc>
          <w:tcPr>
            <w:tcW w:w="1698" w:type="dxa"/>
          </w:tcPr>
          <w:p w14:paraId="32E0CD9A">
            <w:pPr>
              <w:widowControl w:val="0"/>
              <w:spacing w:before="134" w:line="228" w:lineRule="auto"/>
              <w:ind w:left="112"/>
              <w:rPr>
                <w:rFonts w:ascii="宋体" w:hAnsi="宋体" w:cs="宋体"/>
                <w:sz w:val="20"/>
                <w:szCs w:val="20"/>
              </w:rPr>
            </w:pPr>
            <w:r>
              <w:rPr>
                <w:rFonts w:ascii="宋体" w:hAnsi="宋体" w:cs="宋体"/>
                <w:spacing w:val="6"/>
                <w:sz w:val="20"/>
                <w:szCs w:val="20"/>
              </w:rPr>
              <w:t>服务目录负责人</w:t>
            </w:r>
          </w:p>
        </w:tc>
        <w:tc>
          <w:tcPr>
            <w:tcW w:w="4980" w:type="dxa"/>
          </w:tcPr>
          <w:p w14:paraId="3428A392">
            <w:pPr>
              <w:widowControl w:val="0"/>
              <w:spacing w:before="134" w:line="228" w:lineRule="auto"/>
              <w:ind w:left="118"/>
              <w:rPr>
                <w:rFonts w:ascii="宋体" w:hAnsi="宋体" w:cs="宋体"/>
                <w:sz w:val="20"/>
                <w:szCs w:val="20"/>
              </w:rPr>
            </w:pPr>
            <w:r>
              <w:rPr>
                <w:rFonts w:ascii="宋体" w:hAnsi="宋体" w:cs="宋体"/>
                <w:spacing w:val="8"/>
                <w:sz w:val="20"/>
                <w:szCs w:val="20"/>
              </w:rPr>
              <w:t>服务目录负责人在</w:t>
            </w:r>
            <w:r>
              <w:rPr>
                <w:rFonts w:hint="eastAsia" w:ascii="宋体" w:hAnsi="宋体" w:cs="宋体"/>
                <w:spacing w:val="8"/>
                <w:sz w:val="20"/>
                <w:szCs w:val="20"/>
                <w:lang w:val="en-US" w:eastAsia="zh-CN"/>
              </w:rPr>
              <w:t>运维部经理</w:t>
            </w:r>
            <w:r>
              <w:rPr>
                <w:rFonts w:ascii="宋体" w:hAnsi="宋体" w:cs="宋体"/>
                <w:spacing w:val="8"/>
                <w:sz w:val="20"/>
                <w:szCs w:val="20"/>
              </w:rPr>
              <w:t>的协助下，构建</w:t>
            </w:r>
            <w:r>
              <w:rPr>
                <w:rFonts w:ascii="宋体" w:hAnsi="宋体" w:cs="宋体"/>
                <w:spacing w:val="2"/>
                <w:sz w:val="20"/>
                <w:szCs w:val="20"/>
              </w:rPr>
              <w:t>服务目录。</w:t>
            </w:r>
          </w:p>
        </w:tc>
      </w:tr>
      <w:tr w14:paraId="7D7E44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1005" w:type="dxa"/>
          </w:tcPr>
          <w:p w14:paraId="3D6CBC79">
            <w:pPr>
              <w:widowControl w:val="0"/>
              <w:spacing w:before="184" w:line="268" w:lineRule="exact"/>
              <w:ind w:left="151"/>
              <w:rPr>
                <w:rFonts w:ascii="宋体" w:hAnsi="宋体" w:cs="宋体"/>
                <w:sz w:val="20"/>
                <w:szCs w:val="20"/>
              </w:rPr>
            </w:pPr>
            <w:r>
              <w:rPr>
                <w:rFonts w:ascii="宋体" w:hAnsi="宋体" w:cs="宋体"/>
                <w:spacing w:val="-6"/>
                <w:position w:val="1"/>
                <w:sz w:val="20"/>
                <w:szCs w:val="20"/>
              </w:rPr>
              <w:t>1.4</w:t>
            </w:r>
          </w:p>
        </w:tc>
        <w:tc>
          <w:tcPr>
            <w:tcW w:w="1412" w:type="dxa"/>
          </w:tcPr>
          <w:p w14:paraId="24BE8613">
            <w:pPr>
              <w:widowControl w:val="0"/>
              <w:spacing w:before="155" w:line="357" w:lineRule="auto"/>
              <w:ind w:left="108" w:right="260" w:hanging="1"/>
              <w:rPr>
                <w:rFonts w:ascii="宋体" w:hAnsi="宋体" w:cs="宋体"/>
                <w:sz w:val="20"/>
                <w:szCs w:val="20"/>
              </w:rPr>
            </w:pPr>
            <w:r>
              <w:rPr>
                <w:rFonts w:ascii="宋体" w:hAnsi="宋体" w:cs="宋体"/>
                <w:spacing w:val="6"/>
                <w:sz w:val="20"/>
                <w:szCs w:val="20"/>
              </w:rPr>
              <w:t>批准服务目</w:t>
            </w:r>
            <w:r>
              <w:rPr>
                <w:rFonts w:ascii="宋体" w:hAnsi="宋体" w:cs="宋体"/>
                <w:sz w:val="20"/>
                <w:szCs w:val="20"/>
              </w:rPr>
              <w:t>录</w:t>
            </w:r>
          </w:p>
        </w:tc>
        <w:tc>
          <w:tcPr>
            <w:tcW w:w="1698" w:type="dxa"/>
          </w:tcPr>
          <w:p w14:paraId="539C60F1">
            <w:pPr>
              <w:widowControl w:val="0"/>
              <w:spacing w:before="136" w:line="228" w:lineRule="auto"/>
              <w:ind w:left="126"/>
              <w:rPr>
                <w:rFonts w:ascii="宋体" w:hAnsi="宋体" w:cs="宋体"/>
                <w:sz w:val="20"/>
                <w:szCs w:val="20"/>
              </w:rPr>
            </w:pPr>
            <w:r>
              <w:rPr>
                <w:rFonts w:ascii="宋体" w:hAnsi="宋体" w:cs="宋体"/>
                <w:spacing w:val="4"/>
                <w:sz w:val="20"/>
                <w:szCs w:val="20"/>
              </w:rPr>
              <w:t>公司副总经理</w:t>
            </w:r>
          </w:p>
        </w:tc>
        <w:tc>
          <w:tcPr>
            <w:tcW w:w="4980" w:type="dxa"/>
          </w:tcPr>
          <w:p w14:paraId="52064275">
            <w:pPr>
              <w:widowControl w:val="0"/>
              <w:spacing w:before="136" w:line="227" w:lineRule="auto"/>
              <w:ind w:left="117"/>
              <w:rPr>
                <w:rFonts w:ascii="宋体" w:hAnsi="宋体" w:cs="宋体"/>
                <w:sz w:val="20"/>
                <w:szCs w:val="20"/>
              </w:rPr>
            </w:pPr>
            <w:r>
              <w:rPr>
                <w:rFonts w:ascii="宋体" w:hAnsi="宋体" w:cs="宋体"/>
                <w:spacing w:val="5"/>
                <w:sz w:val="20"/>
                <w:szCs w:val="20"/>
              </w:rPr>
              <w:t>批准服务目录并对外发布。</w:t>
            </w:r>
          </w:p>
        </w:tc>
      </w:tr>
      <w:tr w14:paraId="1003F8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6" w:hRule="atLeast"/>
        </w:trPr>
        <w:tc>
          <w:tcPr>
            <w:tcW w:w="1005" w:type="dxa"/>
          </w:tcPr>
          <w:p w14:paraId="03637958">
            <w:pPr>
              <w:widowControl w:val="0"/>
              <w:spacing w:before="188" w:line="268" w:lineRule="exact"/>
              <w:ind w:left="124"/>
              <w:rPr>
                <w:rFonts w:ascii="宋体" w:hAnsi="宋体" w:cs="宋体"/>
                <w:sz w:val="20"/>
                <w:szCs w:val="20"/>
              </w:rPr>
            </w:pPr>
            <w:r>
              <w:rPr>
                <w:rFonts w:ascii="宋体" w:hAnsi="宋体" w:cs="宋体"/>
                <w:position w:val="1"/>
                <w:sz w:val="20"/>
                <w:szCs w:val="20"/>
              </w:rPr>
              <w:t>2.1</w:t>
            </w:r>
          </w:p>
        </w:tc>
        <w:tc>
          <w:tcPr>
            <w:tcW w:w="1412" w:type="dxa"/>
          </w:tcPr>
          <w:p w14:paraId="4BB93275">
            <w:pPr>
              <w:widowControl w:val="0"/>
              <w:spacing w:before="157" w:line="436" w:lineRule="auto"/>
              <w:ind w:left="109" w:right="260" w:hanging="2"/>
              <w:rPr>
                <w:rFonts w:ascii="宋体" w:hAnsi="宋体" w:cs="宋体"/>
                <w:sz w:val="20"/>
                <w:szCs w:val="20"/>
              </w:rPr>
            </w:pPr>
            <w:r>
              <w:rPr>
                <w:rFonts w:ascii="宋体" w:hAnsi="宋体" w:cs="宋体"/>
                <w:spacing w:val="6"/>
                <w:sz w:val="20"/>
                <w:szCs w:val="20"/>
              </w:rPr>
              <w:t>业务影响分</w:t>
            </w:r>
            <w:r>
              <w:rPr>
                <w:rFonts w:ascii="宋体" w:hAnsi="宋体" w:cs="宋体"/>
                <w:sz w:val="20"/>
                <w:szCs w:val="20"/>
              </w:rPr>
              <w:t>析</w:t>
            </w:r>
          </w:p>
        </w:tc>
        <w:tc>
          <w:tcPr>
            <w:tcW w:w="1698" w:type="dxa"/>
          </w:tcPr>
          <w:p w14:paraId="4DF77CF7">
            <w:pPr>
              <w:widowControl w:val="0"/>
              <w:spacing w:before="140" w:line="228" w:lineRule="auto"/>
              <w:ind w:left="112"/>
              <w:rPr>
                <w:rFonts w:ascii="宋体" w:hAnsi="宋体" w:cs="宋体"/>
                <w:sz w:val="20"/>
                <w:szCs w:val="20"/>
              </w:rPr>
            </w:pPr>
            <w:r>
              <w:rPr>
                <w:rFonts w:ascii="宋体" w:hAnsi="宋体" w:cs="宋体"/>
                <w:spacing w:val="6"/>
                <w:sz w:val="20"/>
                <w:szCs w:val="20"/>
              </w:rPr>
              <w:t>服务目录负责人</w:t>
            </w:r>
          </w:p>
        </w:tc>
        <w:tc>
          <w:tcPr>
            <w:tcW w:w="4980" w:type="dxa"/>
          </w:tcPr>
          <w:p w14:paraId="2DF323F5">
            <w:pPr>
              <w:widowControl w:val="0"/>
              <w:spacing w:before="157" w:line="381" w:lineRule="auto"/>
              <w:ind w:left="118" w:right="246"/>
              <w:jc w:val="both"/>
              <w:rPr>
                <w:rFonts w:ascii="宋体" w:hAnsi="宋体" w:cs="宋体"/>
                <w:sz w:val="20"/>
                <w:szCs w:val="20"/>
              </w:rPr>
            </w:pPr>
            <w:r>
              <w:rPr>
                <w:rFonts w:ascii="宋体" w:hAnsi="宋体" w:cs="宋体"/>
                <w:spacing w:val="9"/>
                <w:sz w:val="20"/>
                <w:szCs w:val="20"/>
              </w:rPr>
              <w:t>服务目录负责人根据组织内外部环境，相关法律法规、客户需求、组织能力水平开展业务影响分析，</w:t>
            </w:r>
            <w:r>
              <w:rPr>
                <w:rFonts w:ascii="宋体" w:hAnsi="宋体" w:cs="宋体"/>
                <w:spacing w:val="6"/>
                <w:sz w:val="20"/>
                <w:szCs w:val="20"/>
              </w:rPr>
              <w:t>确定服务目录是否能满足业务需求。</w:t>
            </w:r>
          </w:p>
        </w:tc>
      </w:tr>
      <w:tr w14:paraId="2F1953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0" w:hRule="atLeast"/>
        </w:trPr>
        <w:tc>
          <w:tcPr>
            <w:tcW w:w="1005" w:type="dxa"/>
          </w:tcPr>
          <w:p w14:paraId="58F12044">
            <w:pPr>
              <w:widowControl w:val="0"/>
              <w:spacing w:before="190" w:line="268" w:lineRule="exact"/>
              <w:ind w:left="124"/>
              <w:rPr>
                <w:rFonts w:ascii="宋体" w:hAnsi="宋体" w:cs="宋体"/>
                <w:sz w:val="20"/>
                <w:szCs w:val="20"/>
              </w:rPr>
            </w:pPr>
            <w:r>
              <w:rPr>
                <w:rFonts w:ascii="宋体" w:hAnsi="宋体" w:cs="宋体"/>
                <w:position w:val="1"/>
                <w:sz w:val="20"/>
                <w:szCs w:val="20"/>
              </w:rPr>
              <w:t>2.2</w:t>
            </w:r>
          </w:p>
        </w:tc>
        <w:tc>
          <w:tcPr>
            <w:tcW w:w="1412" w:type="dxa"/>
          </w:tcPr>
          <w:p w14:paraId="22D212B2">
            <w:pPr>
              <w:widowControl w:val="0"/>
              <w:spacing w:before="162" w:line="433" w:lineRule="auto"/>
              <w:ind w:left="108" w:right="260"/>
              <w:rPr>
                <w:rFonts w:ascii="宋体" w:hAnsi="宋体" w:cs="宋体"/>
                <w:sz w:val="20"/>
                <w:szCs w:val="20"/>
              </w:rPr>
            </w:pPr>
            <w:r>
              <w:rPr>
                <w:rFonts w:ascii="宋体" w:hAnsi="宋体" w:cs="宋体"/>
                <w:spacing w:val="6"/>
                <w:sz w:val="20"/>
                <w:szCs w:val="20"/>
              </w:rPr>
              <w:t>确定服务目录能否满足</w:t>
            </w:r>
          </w:p>
        </w:tc>
        <w:tc>
          <w:tcPr>
            <w:tcW w:w="1698" w:type="dxa"/>
          </w:tcPr>
          <w:p w14:paraId="71C95641">
            <w:pPr>
              <w:widowControl w:val="0"/>
              <w:spacing w:before="142" w:line="228" w:lineRule="auto"/>
              <w:ind w:left="112"/>
              <w:rPr>
                <w:rFonts w:ascii="宋体" w:hAnsi="宋体" w:cs="宋体"/>
                <w:sz w:val="20"/>
                <w:szCs w:val="20"/>
              </w:rPr>
            </w:pPr>
            <w:r>
              <w:rPr>
                <w:rFonts w:ascii="宋体" w:hAnsi="宋体" w:cs="宋体"/>
                <w:spacing w:val="6"/>
                <w:sz w:val="20"/>
                <w:szCs w:val="20"/>
              </w:rPr>
              <w:t>服务目录负责人</w:t>
            </w:r>
          </w:p>
        </w:tc>
        <w:tc>
          <w:tcPr>
            <w:tcW w:w="4980" w:type="dxa"/>
          </w:tcPr>
          <w:p w14:paraId="41891E2A">
            <w:pPr>
              <w:widowControl w:val="0"/>
              <w:spacing w:before="163" w:line="400" w:lineRule="auto"/>
              <w:ind w:left="118" w:right="244"/>
              <w:jc w:val="both"/>
              <w:rPr>
                <w:rFonts w:ascii="宋体" w:hAnsi="宋体" w:cs="宋体"/>
                <w:sz w:val="20"/>
                <w:szCs w:val="20"/>
              </w:rPr>
            </w:pPr>
            <w:r>
              <w:rPr>
                <w:rFonts w:ascii="宋体" w:hAnsi="宋体" w:cs="宋体"/>
                <w:spacing w:val="9"/>
                <w:sz w:val="20"/>
                <w:szCs w:val="20"/>
              </w:rPr>
              <w:t>服务目录负责人协调运维部，对服务目录进行评审。如服务目录能够满足新业务和内部</w:t>
            </w:r>
            <w:r>
              <w:rPr>
                <w:rFonts w:ascii="宋体" w:hAnsi="宋体" w:cs="宋体"/>
                <w:spacing w:val="6"/>
                <w:sz w:val="20"/>
                <w:szCs w:val="20"/>
              </w:rPr>
              <w:t>管理，则转入活动 2.3“批准服务目录</w:t>
            </w:r>
            <w:r>
              <w:rPr>
                <w:rFonts w:ascii="宋体" w:hAnsi="宋体" w:cs="宋体"/>
                <w:spacing w:val="-38"/>
                <w:sz w:val="20"/>
                <w:szCs w:val="20"/>
              </w:rPr>
              <w:t xml:space="preserve"> </w:t>
            </w:r>
            <w:r>
              <w:rPr>
                <w:rFonts w:ascii="宋体" w:hAnsi="宋体" w:cs="宋体"/>
                <w:spacing w:val="6"/>
                <w:sz w:val="20"/>
                <w:szCs w:val="20"/>
              </w:rPr>
              <w:t>”，如无法</w:t>
            </w:r>
            <w:r>
              <w:rPr>
                <w:rFonts w:ascii="宋体" w:hAnsi="宋体" w:cs="宋体"/>
                <w:spacing w:val="9"/>
                <w:sz w:val="20"/>
                <w:szCs w:val="20"/>
              </w:rPr>
              <w:t>满足业务需求，则转入活动</w:t>
            </w:r>
            <w:r>
              <w:rPr>
                <w:rFonts w:ascii="宋体" w:hAnsi="宋体" w:cs="宋体"/>
                <w:spacing w:val="-4"/>
                <w:sz w:val="20"/>
                <w:szCs w:val="20"/>
              </w:rPr>
              <w:t xml:space="preserve"> </w:t>
            </w:r>
            <w:r>
              <w:rPr>
                <w:rFonts w:ascii="宋体" w:hAnsi="宋体" w:cs="宋体"/>
                <w:spacing w:val="9"/>
                <w:sz w:val="20"/>
                <w:szCs w:val="20"/>
              </w:rPr>
              <w:t>2.4“接收新服务项与</w:t>
            </w:r>
            <w:r>
              <w:rPr>
                <w:rFonts w:ascii="宋体" w:hAnsi="宋体" w:cs="宋体"/>
                <w:spacing w:val="4"/>
                <w:sz w:val="20"/>
                <w:szCs w:val="20"/>
              </w:rPr>
              <w:t>需求</w:t>
            </w:r>
            <w:r>
              <w:rPr>
                <w:rFonts w:ascii="宋体" w:hAnsi="宋体" w:cs="宋体"/>
                <w:spacing w:val="-46"/>
                <w:sz w:val="20"/>
                <w:szCs w:val="20"/>
              </w:rPr>
              <w:t xml:space="preserve"> </w:t>
            </w:r>
            <w:r>
              <w:rPr>
                <w:rFonts w:ascii="宋体" w:hAnsi="宋体" w:cs="宋体"/>
                <w:spacing w:val="4"/>
                <w:sz w:val="20"/>
                <w:szCs w:val="20"/>
              </w:rPr>
              <w:t>”。</w:t>
            </w:r>
          </w:p>
        </w:tc>
      </w:tr>
      <w:tr w14:paraId="4B4B05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8" w:hRule="atLeast"/>
        </w:trPr>
        <w:tc>
          <w:tcPr>
            <w:tcW w:w="1005" w:type="dxa"/>
          </w:tcPr>
          <w:p w14:paraId="048D0896">
            <w:pPr>
              <w:widowControl w:val="0"/>
              <w:spacing w:before="195" w:line="267" w:lineRule="exact"/>
              <w:ind w:left="124"/>
              <w:rPr>
                <w:rFonts w:ascii="宋体" w:hAnsi="宋体" w:cs="宋体"/>
                <w:sz w:val="20"/>
                <w:szCs w:val="20"/>
              </w:rPr>
            </w:pPr>
            <w:r>
              <w:rPr>
                <w:rFonts w:ascii="宋体" w:hAnsi="宋体" w:cs="宋体"/>
                <w:position w:val="1"/>
                <w:sz w:val="20"/>
                <w:szCs w:val="20"/>
              </w:rPr>
              <w:t>2.3</w:t>
            </w:r>
          </w:p>
        </w:tc>
        <w:tc>
          <w:tcPr>
            <w:tcW w:w="1412" w:type="dxa"/>
          </w:tcPr>
          <w:p w14:paraId="4E04DCE4">
            <w:pPr>
              <w:widowControl w:val="0"/>
              <w:spacing w:before="167" w:line="351" w:lineRule="auto"/>
              <w:ind w:left="108" w:right="260" w:hanging="1"/>
              <w:rPr>
                <w:rFonts w:ascii="宋体" w:hAnsi="宋体" w:cs="宋体"/>
                <w:sz w:val="20"/>
                <w:szCs w:val="20"/>
              </w:rPr>
            </w:pPr>
            <w:r>
              <w:rPr>
                <w:rFonts w:ascii="宋体" w:hAnsi="宋体" w:cs="宋体"/>
                <w:spacing w:val="6"/>
                <w:sz w:val="20"/>
                <w:szCs w:val="20"/>
              </w:rPr>
              <w:t>批准服务目</w:t>
            </w:r>
            <w:r>
              <w:rPr>
                <w:rFonts w:ascii="宋体" w:hAnsi="宋体" w:cs="宋体"/>
                <w:sz w:val="20"/>
                <w:szCs w:val="20"/>
              </w:rPr>
              <w:t>录</w:t>
            </w:r>
          </w:p>
        </w:tc>
        <w:tc>
          <w:tcPr>
            <w:tcW w:w="1698" w:type="dxa"/>
          </w:tcPr>
          <w:p w14:paraId="62CF1B4E">
            <w:pPr>
              <w:widowControl w:val="0"/>
              <w:spacing w:before="146" w:line="228" w:lineRule="auto"/>
              <w:ind w:left="126"/>
              <w:rPr>
                <w:rFonts w:ascii="宋体" w:hAnsi="宋体" w:cs="宋体"/>
                <w:sz w:val="20"/>
                <w:szCs w:val="20"/>
              </w:rPr>
            </w:pPr>
            <w:r>
              <w:rPr>
                <w:rFonts w:ascii="宋体" w:hAnsi="宋体" w:cs="宋体"/>
                <w:spacing w:val="4"/>
                <w:sz w:val="20"/>
                <w:szCs w:val="20"/>
              </w:rPr>
              <w:t>公司副总经理</w:t>
            </w:r>
          </w:p>
        </w:tc>
        <w:tc>
          <w:tcPr>
            <w:tcW w:w="4980" w:type="dxa"/>
          </w:tcPr>
          <w:p w14:paraId="76DB210D">
            <w:pPr>
              <w:widowControl w:val="0"/>
              <w:spacing w:before="147" w:line="227" w:lineRule="auto"/>
              <w:ind w:left="117"/>
              <w:rPr>
                <w:rFonts w:ascii="宋体" w:hAnsi="宋体" w:cs="宋体"/>
                <w:sz w:val="20"/>
                <w:szCs w:val="20"/>
              </w:rPr>
            </w:pPr>
            <w:r>
              <w:rPr>
                <w:rFonts w:ascii="宋体" w:hAnsi="宋体" w:cs="宋体"/>
                <w:spacing w:val="5"/>
                <w:sz w:val="20"/>
                <w:szCs w:val="20"/>
              </w:rPr>
              <w:t>批准服务目录并对外发布。</w:t>
            </w:r>
          </w:p>
        </w:tc>
      </w:tr>
      <w:tr w14:paraId="4B38D0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6" w:hRule="atLeast"/>
        </w:trPr>
        <w:tc>
          <w:tcPr>
            <w:tcW w:w="1005" w:type="dxa"/>
          </w:tcPr>
          <w:p w14:paraId="191D66AB">
            <w:pPr>
              <w:widowControl w:val="0"/>
              <w:spacing w:before="197" w:line="268" w:lineRule="exact"/>
              <w:ind w:left="124"/>
              <w:rPr>
                <w:rFonts w:ascii="宋体" w:hAnsi="宋体" w:cs="宋体"/>
                <w:sz w:val="20"/>
                <w:szCs w:val="20"/>
              </w:rPr>
            </w:pPr>
            <w:r>
              <w:rPr>
                <w:rFonts w:ascii="宋体" w:hAnsi="宋体" w:cs="宋体"/>
                <w:position w:val="1"/>
                <w:sz w:val="20"/>
                <w:szCs w:val="20"/>
              </w:rPr>
              <w:t>2.4</w:t>
            </w:r>
          </w:p>
        </w:tc>
        <w:tc>
          <w:tcPr>
            <w:tcW w:w="1412" w:type="dxa"/>
          </w:tcPr>
          <w:p w14:paraId="0754CAB3">
            <w:pPr>
              <w:widowControl w:val="0"/>
              <w:spacing w:before="152" w:line="228" w:lineRule="auto"/>
              <w:ind w:left="107"/>
              <w:rPr>
                <w:rFonts w:ascii="宋体" w:hAnsi="宋体" w:cs="宋体"/>
                <w:sz w:val="20"/>
                <w:szCs w:val="20"/>
              </w:rPr>
            </w:pPr>
            <w:r>
              <w:rPr>
                <w:rFonts w:ascii="宋体" w:hAnsi="宋体" w:cs="宋体"/>
                <w:spacing w:val="6"/>
                <w:sz w:val="20"/>
                <w:szCs w:val="20"/>
              </w:rPr>
              <w:t>接受与定义</w:t>
            </w:r>
          </w:p>
          <w:p w14:paraId="16435057">
            <w:pPr>
              <w:widowControl w:val="0"/>
              <w:spacing w:before="215" w:line="228" w:lineRule="auto"/>
              <w:ind w:left="108"/>
              <w:rPr>
                <w:rFonts w:ascii="宋体" w:hAnsi="宋体" w:cs="宋体"/>
                <w:sz w:val="20"/>
                <w:szCs w:val="20"/>
              </w:rPr>
            </w:pPr>
            <w:r>
              <w:rPr>
                <w:rFonts w:ascii="宋体" w:hAnsi="宋体" w:cs="宋体"/>
                <w:spacing w:val="6"/>
                <w:sz w:val="20"/>
                <w:szCs w:val="20"/>
              </w:rPr>
              <w:t>服务项和服</w:t>
            </w:r>
          </w:p>
          <w:p w14:paraId="417BDE2C">
            <w:pPr>
              <w:widowControl w:val="0"/>
              <w:spacing w:before="220" w:line="228" w:lineRule="auto"/>
              <w:ind w:left="112"/>
              <w:rPr>
                <w:rFonts w:ascii="宋体" w:hAnsi="宋体" w:cs="宋体"/>
                <w:sz w:val="20"/>
                <w:szCs w:val="20"/>
              </w:rPr>
            </w:pPr>
            <w:r>
              <w:rPr>
                <w:rFonts w:ascii="宋体" w:hAnsi="宋体" w:cs="宋体"/>
                <w:spacing w:val="6"/>
                <w:sz w:val="20"/>
                <w:szCs w:val="20"/>
              </w:rPr>
              <w:t>务级别需求</w:t>
            </w:r>
          </w:p>
        </w:tc>
        <w:tc>
          <w:tcPr>
            <w:tcW w:w="1698" w:type="dxa"/>
          </w:tcPr>
          <w:p w14:paraId="6CEFDF91">
            <w:pPr>
              <w:widowControl w:val="0"/>
              <w:spacing w:before="149" w:line="228" w:lineRule="auto"/>
              <w:ind w:left="112"/>
              <w:rPr>
                <w:rFonts w:ascii="宋体" w:hAnsi="宋体" w:cs="宋体"/>
                <w:sz w:val="20"/>
                <w:szCs w:val="20"/>
              </w:rPr>
            </w:pPr>
            <w:r>
              <w:rPr>
                <w:rFonts w:ascii="宋体" w:hAnsi="宋体" w:cs="宋体"/>
                <w:spacing w:val="6"/>
                <w:sz w:val="20"/>
                <w:szCs w:val="20"/>
              </w:rPr>
              <w:t>服务目录负责人</w:t>
            </w:r>
          </w:p>
        </w:tc>
        <w:tc>
          <w:tcPr>
            <w:tcW w:w="4980" w:type="dxa"/>
          </w:tcPr>
          <w:p w14:paraId="5E150C9A">
            <w:pPr>
              <w:widowControl w:val="0"/>
              <w:spacing w:before="149" w:line="228" w:lineRule="auto"/>
              <w:ind w:left="118"/>
              <w:rPr>
                <w:rFonts w:ascii="宋体" w:hAnsi="宋体" w:cs="宋体"/>
                <w:sz w:val="20"/>
                <w:szCs w:val="20"/>
              </w:rPr>
            </w:pPr>
            <w:r>
              <w:rPr>
                <w:rFonts w:ascii="宋体" w:hAnsi="宋体" w:cs="宋体"/>
                <w:spacing w:val="7"/>
                <w:sz w:val="20"/>
                <w:szCs w:val="20"/>
              </w:rPr>
              <w:t>服务目录负责人调整服务目录内容并确认后。</w:t>
            </w:r>
          </w:p>
        </w:tc>
      </w:tr>
      <w:tr w14:paraId="71AD74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1005" w:type="dxa"/>
          </w:tcPr>
          <w:p w14:paraId="2416F22E">
            <w:pPr>
              <w:widowControl w:val="0"/>
              <w:spacing w:before="196"/>
              <w:ind w:left="125"/>
              <w:rPr>
                <w:rFonts w:ascii="宋体" w:hAnsi="宋体" w:cs="宋体"/>
                <w:sz w:val="22"/>
                <w:szCs w:val="22"/>
              </w:rPr>
            </w:pPr>
            <w:r>
              <w:rPr>
                <w:rFonts w:ascii="宋体" w:hAnsi="宋体" w:cs="宋体"/>
                <w:spacing w:val="-5"/>
                <w:sz w:val="22"/>
                <w:szCs w:val="22"/>
              </w:rPr>
              <w:t>2.5</w:t>
            </w:r>
          </w:p>
        </w:tc>
        <w:tc>
          <w:tcPr>
            <w:tcW w:w="1412" w:type="dxa"/>
          </w:tcPr>
          <w:p w14:paraId="35D9E204">
            <w:pPr>
              <w:widowControl w:val="0"/>
              <w:spacing w:before="168" w:line="319" w:lineRule="auto"/>
              <w:ind w:left="109" w:right="212"/>
              <w:rPr>
                <w:rFonts w:ascii="宋体" w:hAnsi="宋体" w:cs="宋体"/>
                <w:sz w:val="22"/>
                <w:szCs w:val="22"/>
              </w:rPr>
            </w:pPr>
            <w:r>
              <w:rPr>
                <w:rFonts w:ascii="宋体" w:hAnsi="宋体" w:cs="宋体"/>
                <w:spacing w:val="-5"/>
                <w:sz w:val="22"/>
                <w:szCs w:val="22"/>
              </w:rPr>
              <w:t>调整服务目</w:t>
            </w:r>
            <w:r>
              <w:rPr>
                <w:rFonts w:ascii="宋体" w:hAnsi="宋体" w:cs="宋体"/>
                <w:sz w:val="22"/>
                <w:szCs w:val="22"/>
              </w:rPr>
              <w:t>录</w:t>
            </w:r>
          </w:p>
        </w:tc>
        <w:tc>
          <w:tcPr>
            <w:tcW w:w="1698" w:type="dxa"/>
          </w:tcPr>
          <w:p w14:paraId="0F8AD0BE">
            <w:pPr>
              <w:widowControl w:val="0"/>
              <w:spacing w:before="149" w:line="228" w:lineRule="auto"/>
              <w:ind w:left="112"/>
              <w:rPr>
                <w:rFonts w:ascii="宋体" w:hAnsi="宋体" w:cs="宋体"/>
                <w:sz w:val="22"/>
                <w:szCs w:val="22"/>
              </w:rPr>
            </w:pPr>
            <w:r>
              <w:rPr>
                <w:rFonts w:ascii="宋体" w:hAnsi="宋体" w:cs="宋体"/>
                <w:spacing w:val="6"/>
                <w:sz w:val="20"/>
                <w:szCs w:val="20"/>
              </w:rPr>
              <w:t>服务目录负责人</w:t>
            </w:r>
          </w:p>
        </w:tc>
        <w:tc>
          <w:tcPr>
            <w:tcW w:w="4980" w:type="dxa"/>
          </w:tcPr>
          <w:p w14:paraId="2EE7E409">
            <w:pPr>
              <w:widowControl w:val="0"/>
              <w:spacing w:before="149" w:line="228" w:lineRule="auto"/>
              <w:ind w:left="112"/>
              <w:rPr>
                <w:rFonts w:ascii="宋体" w:hAnsi="宋体" w:cs="宋体"/>
                <w:sz w:val="22"/>
                <w:szCs w:val="22"/>
              </w:rPr>
            </w:pPr>
            <w:r>
              <w:rPr>
                <w:rFonts w:ascii="宋体" w:hAnsi="宋体" w:cs="宋体"/>
                <w:spacing w:val="6"/>
                <w:sz w:val="20"/>
                <w:szCs w:val="20"/>
              </w:rPr>
              <w:t>如现有服务目录不能满足新业务和内部管理需求，</w:t>
            </w:r>
            <w:r>
              <w:rPr>
                <w:rFonts w:hint="eastAsia" w:ascii="宋体" w:hAnsi="宋体" w:cs="宋体"/>
                <w:spacing w:val="6"/>
                <w:sz w:val="20"/>
                <w:szCs w:val="20"/>
                <w:lang w:val="en-US" w:eastAsia="zh-CN"/>
              </w:rPr>
              <w:t>运维部经理</w:t>
            </w:r>
            <w:r>
              <w:rPr>
                <w:rFonts w:ascii="宋体" w:hAnsi="宋体" w:cs="宋体"/>
                <w:spacing w:val="6"/>
                <w:sz w:val="20"/>
                <w:szCs w:val="20"/>
              </w:rPr>
              <w:t>重新定义服务项内容。</w:t>
            </w:r>
          </w:p>
        </w:tc>
      </w:tr>
      <w:tr w14:paraId="694F31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3" w:hRule="atLeast"/>
        </w:trPr>
        <w:tc>
          <w:tcPr>
            <w:tcW w:w="1005" w:type="dxa"/>
          </w:tcPr>
          <w:p w14:paraId="71312B7C">
            <w:pPr>
              <w:widowControl w:val="0"/>
              <w:spacing w:before="200"/>
              <w:ind w:left="125"/>
              <w:rPr>
                <w:rFonts w:ascii="宋体" w:hAnsi="宋体" w:cs="宋体"/>
                <w:sz w:val="22"/>
                <w:szCs w:val="22"/>
              </w:rPr>
            </w:pPr>
            <w:r>
              <w:rPr>
                <w:rFonts w:ascii="宋体" w:hAnsi="宋体" w:cs="宋体"/>
                <w:spacing w:val="-5"/>
                <w:sz w:val="22"/>
                <w:szCs w:val="22"/>
              </w:rPr>
              <w:t>2.6</w:t>
            </w:r>
          </w:p>
        </w:tc>
        <w:tc>
          <w:tcPr>
            <w:tcW w:w="1412" w:type="dxa"/>
          </w:tcPr>
          <w:p w14:paraId="043A399B">
            <w:pPr>
              <w:widowControl w:val="0"/>
              <w:spacing w:before="149" w:line="228" w:lineRule="auto"/>
              <w:ind w:left="112"/>
              <w:rPr>
                <w:rFonts w:ascii="宋体" w:hAnsi="宋体" w:cs="宋体"/>
                <w:spacing w:val="6"/>
                <w:sz w:val="20"/>
                <w:szCs w:val="20"/>
              </w:rPr>
            </w:pPr>
            <w:r>
              <w:rPr>
                <w:rFonts w:ascii="宋体" w:hAnsi="宋体" w:cs="宋体"/>
                <w:spacing w:val="6"/>
                <w:sz w:val="20"/>
                <w:szCs w:val="20"/>
              </w:rPr>
              <w:t>批准调整后服务目录</w:t>
            </w:r>
          </w:p>
        </w:tc>
        <w:tc>
          <w:tcPr>
            <w:tcW w:w="1698" w:type="dxa"/>
          </w:tcPr>
          <w:p w14:paraId="50D912F5">
            <w:pPr>
              <w:widowControl w:val="0"/>
              <w:spacing w:before="149" w:line="228" w:lineRule="auto"/>
              <w:ind w:left="112"/>
              <w:rPr>
                <w:rFonts w:ascii="宋体" w:hAnsi="宋体" w:cs="宋体"/>
                <w:spacing w:val="6"/>
                <w:sz w:val="20"/>
                <w:szCs w:val="20"/>
              </w:rPr>
            </w:pPr>
            <w:r>
              <w:rPr>
                <w:rFonts w:ascii="宋体" w:hAnsi="宋体" w:cs="宋体"/>
                <w:spacing w:val="6"/>
                <w:sz w:val="20"/>
                <w:szCs w:val="20"/>
              </w:rPr>
              <w:t>公司副总经理</w:t>
            </w:r>
          </w:p>
        </w:tc>
        <w:tc>
          <w:tcPr>
            <w:tcW w:w="4980" w:type="dxa"/>
          </w:tcPr>
          <w:p w14:paraId="2C606B3B">
            <w:pPr>
              <w:widowControl w:val="0"/>
              <w:spacing w:before="149" w:line="228" w:lineRule="auto"/>
              <w:ind w:left="112"/>
              <w:rPr>
                <w:rFonts w:ascii="宋体" w:hAnsi="宋体" w:cs="宋体"/>
                <w:spacing w:val="6"/>
                <w:sz w:val="20"/>
                <w:szCs w:val="20"/>
              </w:rPr>
            </w:pPr>
            <w:r>
              <w:rPr>
                <w:rFonts w:ascii="宋体" w:hAnsi="宋体" w:cs="宋体"/>
                <w:spacing w:val="6"/>
                <w:sz w:val="20"/>
                <w:szCs w:val="20"/>
              </w:rPr>
              <w:t>批准服务目录，通过变更与发布管理流程进行服务目录变更。</w:t>
            </w:r>
          </w:p>
        </w:tc>
      </w:tr>
    </w:tbl>
    <w:p w14:paraId="6A313E9C">
      <w:pPr>
        <w:pStyle w:val="28"/>
        <w:keepNext w:val="0"/>
        <w:keepLines w:val="0"/>
        <w:widowControl w:val="0"/>
      </w:pPr>
      <w:bookmarkStart w:id="24" w:name="_Toc5105"/>
      <w:r>
        <w:t>服务目录价值</w:t>
      </w:r>
      <w:bookmarkEnd w:id="24"/>
    </w:p>
    <w:p w14:paraId="0D648899">
      <w:pPr>
        <w:pStyle w:val="29"/>
        <w:ind w:firstLine="480"/>
      </w:pPr>
      <w:r>
        <w:t>组织管理层决策有支撑：服务目录准确描述基于客户需求（客户视角），组织能为客户提供什么样的运维服务，从而围绕服务目录开展相关的人员、资源、技术和过程建设。为组织管理层提供决策支撑。</w:t>
      </w:r>
    </w:p>
    <w:p w14:paraId="68EBDBB3">
      <w:pPr>
        <w:pStyle w:val="29"/>
        <w:ind w:firstLine="480"/>
      </w:pPr>
      <w:r>
        <w:t>运维服务可量化：运维服务作为无形无界的特殊产物，往往很难被衡量价值，所以运维服务通过服务目录的细化，可渐趋产品化，为性能度量提供</w:t>
      </w:r>
      <w:r>
        <w:rPr>
          <w:rFonts w:hint="eastAsia"/>
        </w:rPr>
        <w:t>统一标准</w:t>
      </w:r>
      <w:r>
        <w:t>；</w:t>
      </w:r>
    </w:p>
    <w:p w14:paraId="329A662E">
      <w:pPr>
        <w:pStyle w:val="29"/>
        <w:ind w:firstLine="480"/>
      </w:pPr>
      <w:r>
        <w:t>运维服务可被客户所识别：运维服务最终的交付对象是客户，所以运维服务通过服务目录（客户视角），能清晰展示组织的服务范围、服务能力、服务时效等，易被客户所理解，认同。作与客户的沟通工具，以及客户的决策依据；</w:t>
      </w:r>
    </w:p>
    <w:p w14:paraId="027FF773">
      <w:pPr>
        <w:pStyle w:val="29"/>
        <w:ind w:firstLine="480"/>
      </w:pPr>
      <w:r>
        <w:t>运维服务等级可区分：运维服务在服务目录中进行细化后，采用不同的服务搭配与组合以及实现不同的服务承诺，让客户可以根据自己的需要去选择适合自己的服务。</w:t>
      </w:r>
    </w:p>
    <w:p w14:paraId="4DC89CED">
      <w:pPr>
        <w:pStyle w:val="28"/>
        <w:keepNext w:val="0"/>
        <w:keepLines w:val="0"/>
        <w:widowControl w:val="0"/>
      </w:pPr>
      <w:bookmarkStart w:id="25" w:name="_Toc19110"/>
      <w:r>
        <w:t>与其他过程的关系</w:t>
      </w:r>
      <w:bookmarkEnd w:id="25"/>
    </w:p>
    <w:p w14:paraId="414E452B">
      <w:pPr>
        <w:pStyle w:val="30"/>
        <w:keepNext w:val="0"/>
        <w:keepLines w:val="0"/>
        <w:widowControl w:val="0"/>
        <w:tabs>
          <w:tab w:val="left" w:pos="420"/>
        </w:tabs>
      </w:pPr>
      <w:bookmarkStart w:id="26" w:name="bookmark28"/>
      <w:bookmarkEnd w:id="26"/>
      <w:bookmarkStart w:id="27" w:name="_Toc2906"/>
      <w:r>
        <w:t>与服务级别管理过程的关系</w:t>
      </w:r>
      <w:bookmarkEnd w:id="27"/>
    </w:p>
    <w:p w14:paraId="62A9A70D">
      <w:pPr>
        <w:widowControl w:val="0"/>
        <w:ind w:firstLine="476" w:firstLineChars="200"/>
        <w:rPr>
          <w:rFonts w:ascii="宋体" w:hAnsi="宋体" w:cs="宋体"/>
          <w:spacing w:val="-1"/>
          <w:sz w:val="24"/>
          <w:szCs w:val="24"/>
        </w:rPr>
      </w:pPr>
      <w:r>
        <w:rPr>
          <w:rFonts w:ascii="宋体" w:hAnsi="宋体" w:cs="宋体"/>
          <w:spacing w:val="-1"/>
          <w:sz w:val="24"/>
          <w:szCs w:val="24"/>
        </w:rPr>
        <w:t>在组织中，以同样的方式向所有或大多数客户提供一个标准级别的支持，因此对于大多数用户服务目录成为了实际上的SLA。只有那些用户需要一个不同的服务等级时将需要有一个SLA，并且SLA只需要定义什么项目不同于标准服务目录。服务目录制定后，将作为服务级别管理的输入。</w:t>
      </w:r>
    </w:p>
    <w:p w14:paraId="49DE4A3A">
      <w:pPr>
        <w:pStyle w:val="30"/>
        <w:keepNext w:val="0"/>
        <w:keepLines w:val="0"/>
        <w:widowControl w:val="0"/>
        <w:tabs>
          <w:tab w:val="left" w:pos="420"/>
        </w:tabs>
      </w:pPr>
      <w:bookmarkStart w:id="28" w:name="_Toc17971"/>
      <w:r>
        <w:t>与变更与发布管理过程的关系</w:t>
      </w:r>
      <w:bookmarkEnd w:id="28"/>
    </w:p>
    <w:p w14:paraId="4C65AA39">
      <w:pPr>
        <w:pStyle w:val="29"/>
        <w:ind w:firstLine="480"/>
      </w:pPr>
      <w:r>
        <w:t>服务目录在修订后，需经由变更与发布管理流程进行重新发布。</w:t>
      </w:r>
    </w:p>
    <w:p w14:paraId="40212027">
      <w:pPr>
        <w:pStyle w:val="30"/>
        <w:bidi w:val="0"/>
        <w:rPr>
          <w:rFonts w:hint="eastAsia"/>
          <w:lang w:val="en-US" w:eastAsia="zh-CN"/>
        </w:rPr>
      </w:pPr>
      <w:bookmarkStart w:id="29" w:name="_Toc23676"/>
      <w:r>
        <w:rPr>
          <w:rFonts w:hint="eastAsia"/>
          <w:lang w:val="en-US" w:eastAsia="zh-CN"/>
        </w:rPr>
        <w:t>与配置管理的关系</w:t>
      </w:r>
      <w:bookmarkEnd w:id="29"/>
    </w:p>
    <w:p w14:paraId="013E0E9C">
      <w:pPr>
        <w:pStyle w:val="29"/>
        <w:bidi w:val="0"/>
        <w:rPr>
          <w:rFonts w:hint="default"/>
          <w:lang w:val="en-US" w:eastAsia="zh-CN"/>
        </w:rPr>
      </w:pPr>
      <w:r>
        <w:rPr>
          <w:rFonts w:hint="eastAsia"/>
          <w:lang w:val="en-US" w:eastAsia="zh-CN"/>
        </w:rPr>
        <w:t>目录项应与CMDB中的配置项类型保持一致</w:t>
      </w:r>
    </w:p>
    <w:p w14:paraId="289DAC12">
      <w:pPr>
        <w:pStyle w:val="30"/>
        <w:bidi w:val="0"/>
        <w:rPr>
          <w:rFonts w:hint="default"/>
          <w:lang w:val="en-US" w:eastAsia="zh-CN"/>
        </w:rPr>
      </w:pPr>
      <w:bookmarkStart w:id="30" w:name="_Toc19474"/>
      <w:r>
        <w:rPr>
          <w:rFonts w:hint="eastAsia"/>
          <w:lang w:val="en-US" w:eastAsia="zh-CN"/>
        </w:rPr>
        <w:t>与事件管理的关系</w:t>
      </w:r>
      <w:bookmarkEnd w:id="30"/>
    </w:p>
    <w:p w14:paraId="543F0714">
      <w:pPr>
        <w:pStyle w:val="29"/>
        <w:rPr>
          <w:rFonts w:hint="default"/>
          <w:lang w:val="en-US" w:eastAsia="zh-CN"/>
        </w:rPr>
      </w:pPr>
      <w:r>
        <w:rPr>
          <w:rFonts w:hint="eastAsia"/>
          <w:lang w:val="en-US" w:eastAsia="zh-CN"/>
        </w:rPr>
        <w:t>工单创建必须关联目录项，严禁脱离目录手动输入</w:t>
      </w:r>
    </w:p>
    <w:p w14:paraId="678A4A95">
      <w:pPr>
        <w:pStyle w:val="28"/>
        <w:keepNext w:val="0"/>
        <w:keepLines w:val="0"/>
        <w:widowControl w:val="0"/>
      </w:pPr>
      <w:bookmarkStart w:id="31" w:name="_Toc4397"/>
      <w:r>
        <w:t>服务目录管理过程持续改进</w:t>
      </w:r>
      <w:bookmarkEnd w:id="31"/>
    </w:p>
    <w:p w14:paraId="52809764">
      <w:pPr>
        <w:pStyle w:val="41"/>
      </w:pPr>
      <w:r>
        <w:t>改进的输入：</w:t>
      </w:r>
    </w:p>
    <w:p w14:paraId="64DCCF10">
      <w:pPr>
        <w:pStyle w:val="41"/>
        <w:numPr>
          <w:ilvl w:val="0"/>
          <w:numId w:val="6"/>
        </w:numPr>
      </w:pPr>
      <w:r>
        <w:t>过程执行中发现的不足；</w:t>
      </w:r>
    </w:p>
    <w:p w14:paraId="403321E6">
      <w:pPr>
        <w:pStyle w:val="41"/>
        <w:numPr>
          <w:ilvl w:val="0"/>
          <w:numId w:val="6"/>
        </w:numPr>
      </w:pPr>
      <w:r>
        <w:t>过程自检过程中发现的不足；</w:t>
      </w:r>
    </w:p>
    <w:p w14:paraId="19252AC2">
      <w:pPr>
        <w:pStyle w:val="41"/>
        <w:numPr>
          <w:ilvl w:val="0"/>
          <w:numId w:val="6"/>
        </w:numPr>
      </w:pPr>
      <w:r>
        <w:t>内部审核及外部审核中，发现的与ITSS运维通用要求的不符合项；</w:t>
      </w:r>
    </w:p>
    <w:p w14:paraId="11B3D8FF">
      <w:pPr>
        <w:pStyle w:val="41"/>
        <w:numPr>
          <w:ilvl w:val="0"/>
          <w:numId w:val="6"/>
        </w:numPr>
      </w:pPr>
      <w:r>
        <w:t>管理评审过程中发现的服务/流程改进点。</w:t>
      </w:r>
    </w:p>
    <w:p w14:paraId="43FBCDE2">
      <w:pPr>
        <w:pStyle w:val="41"/>
      </w:pPr>
      <w:r>
        <w:t>改进方法：</w:t>
      </w:r>
    </w:p>
    <w:p w14:paraId="6C13FA30">
      <w:pPr>
        <w:pStyle w:val="41"/>
        <w:numPr>
          <w:ilvl w:val="0"/>
          <w:numId w:val="7"/>
        </w:numPr>
      </w:pPr>
      <w:r>
        <w:t>组织过程改进讨论会议，与各方就改进需求、改进目标、改进方案沟通讨论；</w:t>
      </w:r>
    </w:p>
    <w:p w14:paraId="3B2B5A62">
      <w:pPr>
        <w:pStyle w:val="41"/>
        <w:numPr>
          <w:ilvl w:val="0"/>
          <w:numId w:val="7"/>
        </w:numPr>
      </w:pPr>
      <w:r>
        <w:t>服务管理体系负责人审批改进计划；</w:t>
      </w:r>
    </w:p>
    <w:p w14:paraId="489D121C">
      <w:pPr>
        <w:pStyle w:val="41"/>
        <w:numPr>
          <w:ilvl w:val="0"/>
          <w:numId w:val="7"/>
        </w:numPr>
      </w:pPr>
      <w:r>
        <w:t>对服务目录管理改进过程进行监控，对人事和资源做出合理安排；</w:t>
      </w:r>
    </w:p>
    <w:p w14:paraId="787A730F">
      <w:pPr>
        <w:pStyle w:val="41"/>
        <w:numPr>
          <w:ilvl w:val="0"/>
          <w:numId w:val="7"/>
        </w:numPr>
      </w:pPr>
      <w:r>
        <w:t>向管理体系负责人汇报改进结果</w:t>
      </w:r>
      <w:r>
        <w:rPr>
          <w:rFonts w:hint="eastAsia"/>
        </w:rPr>
        <w:t>；</w:t>
      </w:r>
    </w:p>
    <w:p w14:paraId="171E7398">
      <w:pPr>
        <w:pStyle w:val="41"/>
        <w:numPr>
          <w:ilvl w:val="0"/>
          <w:numId w:val="7"/>
        </w:numPr>
      </w:pPr>
      <w:r>
        <w:t>根据服务改进结果安排相应的知识转移工作，包括文档的更新发放、培训课程的安排等。</w:t>
      </w:r>
    </w:p>
    <w:p w14:paraId="214047BE">
      <w:pPr>
        <w:pStyle w:val="28"/>
        <w:keepNext w:val="0"/>
        <w:keepLines w:val="0"/>
        <w:widowControl w:val="0"/>
      </w:pPr>
      <w:bookmarkStart w:id="32" w:name="_Toc17591"/>
      <w:r>
        <w:t>相关文件与记录</w:t>
      </w:r>
      <w:bookmarkEnd w:id="32"/>
    </w:p>
    <w:p w14:paraId="1C425D76">
      <w:pPr>
        <w:widowControl w:val="0"/>
        <w:spacing w:line="219" w:lineRule="auto"/>
        <w:ind w:firstLine="464" w:firstLineChars="200"/>
        <w:rPr>
          <w:rFonts w:ascii="宋体" w:hAnsi="宋体" w:cs="宋体"/>
          <w:sz w:val="24"/>
          <w:szCs w:val="24"/>
        </w:rPr>
      </w:pPr>
      <w:bookmarkStart w:id="33" w:name="bookmark29"/>
      <w:bookmarkEnd w:id="33"/>
      <w:r>
        <w:rPr>
          <w:rFonts w:ascii="宋体" w:hAnsi="宋体" w:cs="宋体"/>
          <w:spacing w:val="-4"/>
          <w:sz w:val="24"/>
          <w:szCs w:val="24"/>
        </w:rPr>
        <w:t>《</w:t>
      </w:r>
      <w:r>
        <w:rPr>
          <w:rFonts w:hint="eastAsia" w:ascii="宋体" w:hAnsi="宋体" w:cs="宋体"/>
          <w:spacing w:val="-4"/>
          <w:sz w:val="24"/>
          <w:szCs w:val="24"/>
        </w:rPr>
        <w:t>公司运行维护服务目录</w:t>
      </w:r>
      <w:r>
        <w:rPr>
          <w:rFonts w:ascii="宋体" w:hAnsi="宋体" w:cs="宋体"/>
          <w:spacing w:val="-4"/>
          <w:sz w:val="24"/>
          <w:szCs w:val="24"/>
        </w:rPr>
        <w:t>》</w:t>
      </w:r>
    </w:p>
    <w:sectPr>
      <w:footerReference r:id="rId6" w:type="default"/>
      <w:pgSz w:w="11906" w:h="16840"/>
      <w:pgMar w:top="1431" w:right="1785" w:bottom="1144" w:left="1645" w:header="0" w:footer="97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F05D9">
    <w:pPr>
      <w:spacing w:line="169" w:lineRule="auto"/>
      <w:ind w:left="4450"/>
      <w:rPr>
        <w:rFonts w:ascii="Calibri" w:hAnsi="Calibri" w:eastAsia="Calibri" w:cs="Calibri"/>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50D442">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BBD0E839"/>
    <w:multiLevelType w:val="singleLevel"/>
    <w:tmpl w:val="BBD0E839"/>
    <w:lvl w:ilvl="0" w:tentative="0">
      <w:start w:val="1"/>
      <w:numFmt w:val="decimal"/>
      <w:lvlText w:val="%1."/>
      <w:lvlJc w:val="left"/>
      <w:pPr>
        <w:ind w:left="425" w:hanging="425"/>
      </w:pPr>
      <w:rPr>
        <w:rFonts w:hint="default"/>
      </w:rPr>
    </w:lvl>
  </w:abstractNum>
  <w:abstractNum w:abstractNumId="2">
    <w:nsid w:val="CD138288"/>
    <w:multiLevelType w:val="singleLevel"/>
    <w:tmpl w:val="CD138288"/>
    <w:lvl w:ilvl="0" w:tentative="0">
      <w:start w:val="1"/>
      <w:numFmt w:val="decimal"/>
      <w:lvlText w:val="%1."/>
      <w:lvlJc w:val="left"/>
      <w:pPr>
        <w:ind w:left="425" w:hanging="425"/>
      </w:pPr>
      <w:rPr>
        <w:rFonts w:hint="default"/>
      </w:rPr>
    </w:lvl>
  </w:abstractNum>
  <w:abstractNum w:abstractNumId="3">
    <w:nsid w:val="CFCEA185"/>
    <w:multiLevelType w:val="singleLevel"/>
    <w:tmpl w:val="CFCEA185"/>
    <w:lvl w:ilvl="0" w:tentative="0">
      <w:start w:val="1"/>
      <w:numFmt w:val="decimal"/>
      <w:lvlText w:val="%1."/>
      <w:lvlJc w:val="left"/>
      <w:pPr>
        <w:ind w:left="425" w:hanging="425"/>
      </w:pPr>
      <w:rPr>
        <w:rFonts w:hint="default"/>
      </w:rPr>
    </w:lvl>
  </w:abstractNum>
  <w:abstractNum w:abstractNumId="4">
    <w:nsid w:val="F7191751"/>
    <w:multiLevelType w:val="singleLevel"/>
    <w:tmpl w:val="F7191751"/>
    <w:lvl w:ilvl="0" w:tentative="0">
      <w:start w:val="1"/>
      <w:numFmt w:val="decimal"/>
      <w:lvlText w:val="%1."/>
      <w:lvlJc w:val="left"/>
      <w:pPr>
        <w:ind w:left="425" w:hanging="425"/>
      </w:pPr>
      <w:rPr>
        <w:rFonts w:hint="default"/>
      </w:rPr>
    </w:lvl>
  </w:abstractNum>
  <w:abstractNum w:abstractNumId="5">
    <w:nsid w:val="1B93FE6C"/>
    <w:multiLevelType w:val="singleLevel"/>
    <w:tmpl w:val="1B93FE6C"/>
    <w:lvl w:ilvl="0" w:tentative="0">
      <w:start w:val="1"/>
      <w:numFmt w:val="decimal"/>
      <w:lvlText w:val="%1."/>
      <w:lvlJc w:val="left"/>
      <w:pPr>
        <w:ind w:left="425" w:hanging="425"/>
      </w:pPr>
      <w:rPr>
        <w:rFonts w:hint="default"/>
      </w:rPr>
    </w:lvl>
  </w:abstractNum>
  <w:abstractNum w:abstractNumId="6">
    <w:nsid w:val="6A10E1AF"/>
    <w:multiLevelType w:val="singleLevel"/>
    <w:tmpl w:val="6A10E1AF"/>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3"/>
  </w:num>
  <w:num w:numId="4">
    <w:abstractNumId w:val="1"/>
  </w:num>
  <w:num w:numId="5">
    <w:abstractNumId w:val="5"/>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NotTrackMove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2"/>
  </w:compat>
  <w:rsids>
    <w:rsidRoot w:val="002F5A44"/>
    <w:rsid w:val="002F5A44"/>
    <w:rsid w:val="006720AC"/>
    <w:rsid w:val="00D9567E"/>
    <w:rsid w:val="020F2B29"/>
    <w:rsid w:val="025D6B3C"/>
    <w:rsid w:val="041F054D"/>
    <w:rsid w:val="047F0FEB"/>
    <w:rsid w:val="04910658"/>
    <w:rsid w:val="057332A8"/>
    <w:rsid w:val="064918B1"/>
    <w:rsid w:val="070C2524"/>
    <w:rsid w:val="088072A7"/>
    <w:rsid w:val="09D21BBD"/>
    <w:rsid w:val="0A9B28F7"/>
    <w:rsid w:val="0BEF6C69"/>
    <w:rsid w:val="0C8F1FE8"/>
    <w:rsid w:val="0DC611B8"/>
    <w:rsid w:val="0F5B4403"/>
    <w:rsid w:val="0F63159B"/>
    <w:rsid w:val="112371A2"/>
    <w:rsid w:val="113D0264"/>
    <w:rsid w:val="14182135"/>
    <w:rsid w:val="15EA64E1"/>
    <w:rsid w:val="174B2FAF"/>
    <w:rsid w:val="1A0A0EFF"/>
    <w:rsid w:val="1C274BC0"/>
    <w:rsid w:val="217A2E0F"/>
    <w:rsid w:val="21964095"/>
    <w:rsid w:val="219C4B33"/>
    <w:rsid w:val="2B7D59D5"/>
    <w:rsid w:val="2CC8062C"/>
    <w:rsid w:val="2E7F3812"/>
    <w:rsid w:val="2EBA2A9C"/>
    <w:rsid w:val="30AE010C"/>
    <w:rsid w:val="3639699D"/>
    <w:rsid w:val="383129D2"/>
    <w:rsid w:val="38FE5C7B"/>
    <w:rsid w:val="46F25071"/>
    <w:rsid w:val="49057251"/>
    <w:rsid w:val="4A0E1A32"/>
    <w:rsid w:val="4A716FBC"/>
    <w:rsid w:val="4AC20341"/>
    <w:rsid w:val="4ACE3700"/>
    <w:rsid w:val="4C41500D"/>
    <w:rsid w:val="4CD34FFD"/>
    <w:rsid w:val="4F471DD4"/>
    <w:rsid w:val="558D41B7"/>
    <w:rsid w:val="564E3947"/>
    <w:rsid w:val="56725887"/>
    <w:rsid w:val="56F049FE"/>
    <w:rsid w:val="5B296730"/>
    <w:rsid w:val="5B2F4B39"/>
    <w:rsid w:val="5B8A5421"/>
    <w:rsid w:val="5FD01870"/>
    <w:rsid w:val="60367925"/>
    <w:rsid w:val="64DA0BB2"/>
    <w:rsid w:val="69FD14B4"/>
    <w:rsid w:val="6D521B17"/>
    <w:rsid w:val="6D6261FE"/>
    <w:rsid w:val="6FF62C2D"/>
    <w:rsid w:val="7109556A"/>
    <w:rsid w:val="776124BE"/>
    <w:rsid w:val="788C3961"/>
    <w:rsid w:val="7A795A34"/>
    <w:rsid w:val="7EB454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3">
    <w:name w:val="Default Paragraph Font"/>
    <w:semiHidden/>
    <w:qFormat/>
    <w:uiPriority w:val="0"/>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Balloon Text"/>
    <w:basedOn w:val="1"/>
    <w:link w:val="45"/>
    <w:qFormat/>
    <w:uiPriority w:val="0"/>
    <w:rPr>
      <w:sz w:val="18"/>
    </w:rPr>
  </w:style>
  <w:style w:type="paragraph" w:styleId="15">
    <w:name w:val="footer"/>
    <w:basedOn w:val="1"/>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7">
    <w:name w:val="toc 1"/>
    <w:basedOn w:val="1"/>
    <w:next w:val="1"/>
    <w:qFormat/>
    <w:uiPriority w:val="0"/>
    <w:rPr>
      <w:rFonts w:ascii="Arial" w:hAnsi="Arial" w:eastAsia="Microsoft JhengHei"/>
      <w:sz w:val="24"/>
    </w:rPr>
  </w:style>
  <w:style w:type="paragraph" w:styleId="18">
    <w:name w:val="toc 2"/>
    <w:basedOn w:val="1"/>
    <w:next w:val="1"/>
    <w:qFormat/>
    <w:uiPriority w:val="0"/>
    <w:pPr>
      <w:ind w:left="420" w:leftChars="200"/>
    </w:pPr>
  </w:style>
  <w:style w:type="paragraph" w:styleId="19">
    <w:name w:val="Normal (Web)"/>
    <w:basedOn w:val="1"/>
    <w:qFormat/>
    <w:uiPriority w:val="0"/>
    <w:rPr>
      <w:sz w:val="24"/>
    </w:rPr>
  </w:style>
  <w:style w:type="paragraph" w:styleId="20">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4">
    <w:name w:val="Strong"/>
    <w:basedOn w:val="23"/>
    <w:qFormat/>
    <w:uiPriority w:val="0"/>
    <w:rPr>
      <w:b/>
    </w:rPr>
  </w:style>
  <w:style w:type="paragraph" w:customStyle="1" w:styleId="25">
    <w:name w:val="柴_文档修订信息"/>
    <w:basedOn w:val="1"/>
    <w:uiPriority w:val="0"/>
    <w:pPr>
      <w:widowControl w:val="0"/>
      <w:ind w:firstLine="470" w:firstLineChars="200"/>
      <w:jc w:val="center"/>
    </w:pPr>
    <w:rPr>
      <w:rFonts w:hint="eastAsia" w:ascii="Arial" w:hAnsi="Arial"/>
      <w:b/>
      <w:bCs/>
      <w:sz w:val="24"/>
      <w:lang w:eastAsia="zh-CN"/>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40"/>
    <w:qFormat/>
    <w:uiPriority w:val="0"/>
    <w:pPr>
      <w:spacing w:before="100" w:after="90" w:line="360" w:lineRule="auto"/>
    </w:pPr>
    <w:rPr>
      <w:rFonts w:ascii="Arial" w:hAnsi="Arial" w:eastAsia="宋体"/>
      <w:sz w:val="32"/>
    </w:rPr>
  </w:style>
  <w:style w:type="paragraph" w:customStyle="1" w:styleId="29">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link w:val="48"/>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柴_公司名"/>
    <w:basedOn w:val="20"/>
    <w:qFormat/>
    <w:uiPriority w:val="0"/>
    <w:pPr>
      <w:spacing w:after="600" w:afterLines="600"/>
    </w:pPr>
    <w:rPr>
      <w:rFonts w:hint="eastAsia" w:ascii="宋体" w:hAnsi="宋体" w:eastAsia="宋体" w:cs="宋体"/>
      <w:bCs/>
      <w:spacing w:val="-6"/>
      <w:sz w:val="52"/>
      <w:szCs w:val="52"/>
    </w:rPr>
  </w:style>
  <w:style w:type="paragraph" w:customStyle="1" w:styleId="34">
    <w:name w:val="柴_文档名"/>
    <w:basedOn w:val="20"/>
    <w:qFormat/>
    <w:uiPriority w:val="0"/>
    <w:pPr>
      <w:spacing w:after="900" w:afterLines="900"/>
    </w:pPr>
    <w:rPr>
      <w:rFonts w:ascii="黑体" w:hAnsi="黑体" w:eastAsia="黑体" w:cs="黑体"/>
      <w:bCs/>
      <w:spacing w:val="-7"/>
      <w:sz w:val="52"/>
      <w:szCs w:val="52"/>
    </w:rPr>
  </w:style>
  <w:style w:type="paragraph" w:customStyle="1" w:styleId="35">
    <w:name w:val="WPSOffice手动目录 1"/>
    <w:qFormat/>
    <w:uiPriority w:val="0"/>
    <w:pPr>
      <w:ind w:leftChars="0"/>
    </w:pPr>
    <w:rPr>
      <w:rFonts w:ascii="Times New Roman" w:hAnsi="Times New Roman" w:eastAsia="宋体" w:cs="Times New Roman"/>
      <w:sz w:val="20"/>
      <w:szCs w:val="20"/>
    </w:rPr>
  </w:style>
  <w:style w:type="paragraph" w:customStyle="1" w:styleId="36">
    <w:name w:val="WPSOffice手动目录 2"/>
    <w:qFormat/>
    <w:uiPriority w:val="0"/>
    <w:pPr>
      <w:ind w:leftChars="200"/>
    </w:pPr>
    <w:rPr>
      <w:rFonts w:ascii="Times New Roman" w:hAnsi="Times New Roman" w:eastAsia="宋体" w:cs="Times New Roman"/>
      <w:sz w:val="20"/>
      <w:szCs w:val="20"/>
    </w:rPr>
  </w:style>
  <w:style w:type="paragraph" w:customStyle="1" w:styleId="37">
    <w:name w:val="WPSOffice手动目录 3"/>
    <w:qFormat/>
    <w:uiPriority w:val="0"/>
    <w:pPr>
      <w:ind w:leftChars="400"/>
    </w:pPr>
    <w:rPr>
      <w:rFonts w:ascii="Times New Roman" w:hAnsi="Times New Roman" w:eastAsia="宋体" w:cs="Times New Roman"/>
      <w:sz w:val="20"/>
      <w:szCs w:val="20"/>
    </w:rPr>
  </w:style>
  <w:style w:type="paragraph" w:customStyle="1" w:styleId="38">
    <w:name w:val="Compact"/>
    <w:basedOn w:val="12"/>
    <w:qFormat/>
    <w:uiPriority w:val="0"/>
    <w:pPr>
      <w:spacing w:before="36" w:after="36"/>
    </w:pPr>
  </w:style>
  <w:style w:type="table" w:customStyle="1" w:styleId="3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0">
    <w:name w:val="柴_标题1 Char"/>
    <w:link w:val="28"/>
    <w:qFormat/>
    <w:uiPriority w:val="0"/>
    <w:rPr>
      <w:rFonts w:ascii="Arial" w:hAnsi="Arial" w:eastAsia="宋体"/>
      <w:sz w:val="32"/>
    </w:rPr>
  </w:style>
  <w:style w:type="paragraph" w:customStyle="1" w:styleId="41">
    <w:name w:val="柴_正文_无缩进"/>
    <w:basedOn w:val="1"/>
    <w:link w:val="47"/>
    <w:qFormat/>
    <w:uiPriority w:val="0"/>
    <w:pPr>
      <w:ind w:firstLine="0" w:firstLineChars="0"/>
    </w:pPr>
    <w:rPr>
      <w:rFonts w:ascii="Arial" w:hAnsi="Arial"/>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29"/>
    <w:qFormat/>
    <w:uiPriority w:val="0"/>
    <w:rPr>
      <w:rFonts w:ascii="Arial" w:hAnsi="Arial" w:eastAsia="宋体"/>
      <w:sz w:val="24"/>
      <w:lang w:eastAsia="zh-CN"/>
    </w:rPr>
  </w:style>
  <w:style w:type="table" w:customStyle="1" w:styleId="44">
    <w:name w:val="Table Normal_1"/>
    <w:semiHidden/>
    <w:unhideWhenUsed/>
    <w:qFormat/>
    <w:uiPriority w:val="0"/>
    <w:tblPr>
      <w:tblCellMar>
        <w:top w:w="0" w:type="dxa"/>
        <w:left w:w="0" w:type="dxa"/>
        <w:bottom w:w="0" w:type="dxa"/>
        <w:right w:w="0" w:type="dxa"/>
      </w:tblCellMar>
    </w:tblPr>
  </w:style>
  <w:style w:type="character" w:customStyle="1" w:styleId="45">
    <w:name w:val="批注框文本 Char"/>
    <w:link w:val="14"/>
    <w:uiPriority w:val="0"/>
    <w:rPr>
      <w:sz w:val="18"/>
    </w:rPr>
  </w:style>
  <w:style w:type="table" w:customStyle="1" w:styleId="46">
    <w:name w:val="Table Normal_0_0"/>
    <w:semiHidden/>
    <w:unhideWhenUsed/>
    <w:qFormat/>
    <w:uiPriority w:val="0"/>
    <w:tblPr>
      <w:tblCellMar>
        <w:top w:w="0" w:type="dxa"/>
        <w:left w:w="0" w:type="dxa"/>
        <w:bottom w:w="0" w:type="dxa"/>
        <w:right w:w="0" w:type="dxa"/>
      </w:tblCellMar>
    </w:tblPr>
  </w:style>
  <w:style w:type="character" w:customStyle="1" w:styleId="47">
    <w:name w:val="柴_正文_无缩进 Char"/>
    <w:link w:val="41"/>
    <w:qFormat/>
    <w:uiPriority w:val="0"/>
    <w:rPr>
      <w:rFonts w:ascii="Arial" w:hAnsi="Arial"/>
      <w:sz w:val="24"/>
      <w:lang w:eastAsia="zh-CN"/>
    </w:rPr>
  </w:style>
  <w:style w:type="character" w:customStyle="1" w:styleId="48">
    <w:name w:val="柴_标题2 Char"/>
    <w:link w:val="30"/>
    <w:qFormat/>
    <w:uiPriority w:val="0"/>
    <w:rPr>
      <w:rFonts w:ascii="Arial" w:hAnsi="Arial" w:eastAsia="宋体"/>
      <w:sz w:val="2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2415</Words>
  <Characters>2543</Characters>
  <Lines>37</Lines>
  <Paragraphs>10</Paragraphs>
  <TotalTime>0</TotalTime>
  <ScaleCrop>false</ScaleCrop>
  <LinksUpToDate>false</LinksUpToDate>
  <CharactersWithSpaces>2663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2025-08-17T23:52:00Z</dcterms:created>
  <dc:creator>zhangmingzhao</dc:creator>
  <cp:lastModifiedBy>郝宇</cp:lastModifiedBy>
  <dcterms:modified xsi:type="dcterms:W3CDTF">2026-04-27T04:41:36Z</dcterms:modified>
  <dc:title>信息知识库</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2025-08-20T14:52:32Z</vt:filetime>
  </property>
  <property fmtid="{D5CDD505-2E9C-101B-9397-08002B2CF9AE}" pid="3" name="CRO">
    <vt:lpwstr>wqlLaW5nc29mdCBQREYgdG8gV1BTIDExNQ</vt:lpwstr>
  </property>
  <property fmtid="{D5CDD505-2E9C-101B-9397-08002B2CF9AE}" pid="4" name="ICV">
    <vt:lpwstr>2F73AB647509423ABBA1533DAF412971_12</vt:lpwstr>
  </property>
  <property fmtid="{D5CDD505-2E9C-101B-9397-08002B2CF9AE}" pid="5" name="KSOProductBuildVer">
    <vt:lpwstr>2052-12.1.0.25865</vt:lpwstr>
  </property>
  <property fmtid="{D5CDD505-2E9C-101B-9397-08002B2CF9AE}" pid="6" name="KSOTemplateDocerSaveRecord">
    <vt:lpwstr>eyJoZGlkIjoiZWI4NmUzMGY2ODA3MDc4ZTFlMjZjZTAyMjM0NmVmODgiLCJ1c2VySWQiOiIxMDc1MzgyOSJ9</vt:lpwstr>
  </property>
</Properties>
</file>