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B868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p>
    <w:p w14:paraId="1677B4C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3366"/>
      <w:r>
        <w:rPr>
          <w:rFonts w:hint="eastAsia"/>
          <w:lang w:val="en-US" w:eastAsia="zh-CN"/>
        </w:rPr>
        <w:t>2025年度</w:t>
      </w:r>
      <w:r>
        <w:t>应急</w:t>
      </w:r>
      <w:r>
        <w:rPr>
          <w:rFonts w:hint="eastAsia"/>
          <w:lang w:val="en-US" w:eastAsia="zh-CN"/>
        </w:rPr>
        <w:t>工作</w:t>
      </w:r>
      <w:r>
        <w:t>总结报告</w:t>
      </w:r>
      <w:bookmarkEnd w:id="0"/>
    </w:p>
    <w:p w14:paraId="797CC2AC">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136DE7F7">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4411"/>
      <w:r>
        <w:t>江苏云储智能科技有限公司</w:t>
      </w:r>
      <w:bookmarkEnd w:id="1"/>
    </w:p>
    <w:p w14:paraId="3CFDEC8C">
      <w:pPr>
        <w:keepNext w:val="0"/>
        <w:keepLines w:val="0"/>
        <w:pageBreakBefore w:val="0"/>
        <w:widowControl w:val="0"/>
        <w:kinsoku w:val="0"/>
        <w:wordWrap/>
        <w:overflowPunct/>
        <w:topLinePunct w:val="0"/>
        <w:autoSpaceDE w:val="0"/>
        <w:autoSpaceDN w:val="0"/>
        <w:bidi w:val="0"/>
        <w:adjustRightInd w:val="0"/>
        <w:snapToGrid w:val="0"/>
        <w:spacing w:before="117" w:line="219" w:lineRule="auto"/>
        <w:jc w:val="center"/>
        <w:textAlignment w:val="baseline"/>
        <w:rPr>
          <w:rFonts w:hint="default" w:ascii="宋体" w:hAnsi="宋体" w:eastAsia="宋体" w:cs="宋体"/>
          <w:spacing w:val="-1"/>
          <w:sz w:val="36"/>
          <w:szCs w:val="36"/>
          <w:lang w:val="en-US" w:eastAsia="zh-CN"/>
        </w:rPr>
      </w:pPr>
      <w:r>
        <w:rPr>
          <w:rFonts w:hint="eastAsia" w:ascii="宋体" w:hAnsi="宋体" w:eastAsia="宋体" w:cs="宋体"/>
          <w:spacing w:val="-1"/>
          <w:sz w:val="36"/>
          <w:szCs w:val="36"/>
          <w:lang w:val="en-US" w:eastAsia="zh-CN"/>
        </w:rPr>
        <w:t>2025年</w:t>
      </w:r>
      <w:r>
        <w:rPr>
          <w:rFonts w:hint="eastAsia" w:ascii="宋体" w:hAnsi="宋体" w:cs="宋体"/>
          <w:spacing w:val="-1"/>
          <w:sz w:val="36"/>
          <w:szCs w:val="36"/>
          <w:lang w:val="en-US" w:eastAsia="zh-CN"/>
        </w:rPr>
        <w:t>12</w:t>
      </w:r>
      <w:r>
        <w:rPr>
          <w:rFonts w:hint="eastAsia" w:ascii="宋体" w:hAnsi="宋体" w:eastAsia="宋体" w:cs="宋体"/>
          <w:spacing w:val="-1"/>
          <w:sz w:val="36"/>
          <w:szCs w:val="36"/>
          <w:lang w:val="en-US" w:eastAsia="zh-CN"/>
        </w:rPr>
        <w:t>月</w:t>
      </w:r>
      <w:r>
        <w:rPr>
          <w:rFonts w:hint="eastAsia" w:ascii="宋体" w:hAnsi="宋体" w:cs="宋体"/>
          <w:spacing w:val="-1"/>
          <w:sz w:val="36"/>
          <w:szCs w:val="36"/>
          <w:lang w:val="en-US" w:eastAsia="zh-CN"/>
        </w:rPr>
        <w:t>3</w:t>
      </w:r>
      <w:r>
        <w:rPr>
          <w:rFonts w:hint="eastAsia" w:ascii="宋体" w:hAnsi="宋体" w:eastAsia="宋体" w:cs="宋体"/>
          <w:spacing w:val="-1"/>
          <w:sz w:val="36"/>
          <w:szCs w:val="36"/>
          <w:lang w:val="en-US" w:eastAsia="zh-CN"/>
        </w:rPr>
        <w:t>0日</w:t>
      </w:r>
    </w:p>
    <w:p w14:paraId="4078E604">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eastAsia="宋体" w:cs="宋体"/>
          <w:b/>
          <w:bCs/>
          <w:spacing w:val="6"/>
          <w:sz w:val="31"/>
          <w:szCs w:val="31"/>
        </w:rPr>
      </w:pPr>
      <w:r>
        <w:rPr>
          <w:rFonts w:ascii="宋体" w:hAnsi="宋体" w:eastAsia="宋体" w:cs="宋体"/>
          <w:b/>
          <w:bCs/>
          <w:spacing w:val="6"/>
          <w:sz w:val="31"/>
          <w:szCs w:val="31"/>
        </w:rPr>
        <w:br w:type="page"/>
      </w:r>
    </w:p>
    <w:p w14:paraId="60ADE569">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811"/>
        <w:textAlignment w:val="baseline"/>
        <w:outlineLvl w:val="0"/>
        <w:rPr>
          <w:rFonts w:ascii="宋体" w:hAnsi="宋体" w:eastAsia="宋体" w:cs="宋体"/>
          <w:sz w:val="28"/>
          <w:szCs w:val="28"/>
        </w:rPr>
      </w:pPr>
      <w:bookmarkStart w:id="2" w:name="_Toc24056"/>
      <w:bookmarkStart w:id="3" w:name="_Toc28086"/>
      <w:r>
        <w:rPr>
          <w:rFonts w:ascii="宋体" w:hAnsi="宋体" w:eastAsia="宋体" w:cs="宋体"/>
          <w:spacing w:val="-3"/>
          <w:sz w:val="28"/>
          <w:szCs w:val="28"/>
        </w:rPr>
        <w:t>文档信息</w:t>
      </w:r>
      <w:bookmarkEnd w:id="2"/>
      <w:bookmarkEnd w:id="3"/>
    </w:p>
    <w:p w14:paraId="479B8806">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6"/>
        <w:tblW w:w="91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1"/>
        <w:gridCol w:w="1548"/>
        <w:gridCol w:w="2341"/>
        <w:gridCol w:w="1982"/>
        <w:gridCol w:w="1563"/>
      </w:tblGrid>
      <w:tr w14:paraId="37DAD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711" w:type="dxa"/>
          </w:tcPr>
          <w:p w14:paraId="18FB286B">
            <w:pPr>
              <w:pStyle w:val="27"/>
              <w:keepNext w:val="0"/>
              <w:keepLines w:val="0"/>
              <w:pageBreakBefore w:val="0"/>
              <w:widowControl w:val="0"/>
              <w:kinsoku w:val="0"/>
              <w:wordWrap/>
              <w:overflowPunct/>
              <w:topLinePunct w:val="0"/>
              <w:autoSpaceDE w:val="0"/>
              <w:autoSpaceDN w:val="0"/>
              <w:bidi w:val="0"/>
              <w:adjustRightInd w:val="0"/>
              <w:snapToGrid w:val="0"/>
              <w:spacing w:before="125" w:line="325" w:lineRule="auto"/>
              <w:ind w:right="250"/>
              <w:textAlignment w:val="baseline"/>
            </w:pPr>
            <w:r>
              <w:rPr>
                <w:spacing w:val="-3"/>
              </w:rPr>
              <w:t>文档名称编</w:t>
            </w:r>
            <w:r>
              <w:t>号</w:t>
            </w:r>
          </w:p>
        </w:tc>
        <w:tc>
          <w:tcPr>
            <w:tcW w:w="7434" w:type="dxa"/>
            <w:gridSpan w:val="4"/>
          </w:tcPr>
          <w:p w14:paraId="4097F68C">
            <w:pPr>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rPr>
                <w:rFonts w:ascii="Arial"/>
                <w:sz w:val="21"/>
              </w:rPr>
            </w:pPr>
          </w:p>
          <w:p w14:paraId="417CFC2B">
            <w:pPr>
              <w:pStyle w:val="27"/>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12"/>
              <w:textAlignment w:val="baseline"/>
            </w:pPr>
            <w:r>
              <w:rPr>
                <w:rFonts w:hint="eastAsia"/>
                <w:spacing w:val="-1"/>
                <w:lang w:val="en-US" w:eastAsia="zh-CN"/>
              </w:rPr>
              <w:t>应急工作总结报告</w:t>
            </w:r>
            <w:r>
              <w:rPr>
                <w:spacing w:val="-1"/>
              </w:rPr>
              <w:t>（JSYC-ITSS-</w:t>
            </w:r>
            <w:r>
              <w:rPr>
                <w:rFonts w:hint="eastAsia"/>
                <w:spacing w:val="-1"/>
                <w:lang w:val="en-US" w:eastAsia="zh-CN"/>
              </w:rPr>
              <w:t>YJGZZJBG</w:t>
            </w:r>
            <w:r>
              <w:rPr>
                <w:spacing w:val="-1"/>
              </w:rPr>
              <w:t>）</w:t>
            </w:r>
          </w:p>
        </w:tc>
      </w:tr>
      <w:tr w14:paraId="240AD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2C57A582">
            <w:pPr>
              <w:pStyle w:val="27"/>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3"/>
              </w:rPr>
              <w:t>编制单位</w:t>
            </w:r>
          </w:p>
        </w:tc>
        <w:tc>
          <w:tcPr>
            <w:tcW w:w="7434" w:type="dxa"/>
            <w:gridSpan w:val="4"/>
          </w:tcPr>
          <w:p w14:paraId="57A5A4F4">
            <w:pPr>
              <w:pStyle w:val="27"/>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pPr>
            <w:r>
              <w:rPr>
                <w:spacing w:val="-1"/>
              </w:rPr>
              <w:t>江苏云储智能科技有限公司</w:t>
            </w:r>
          </w:p>
        </w:tc>
      </w:tr>
      <w:tr w14:paraId="27411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25DF4121">
            <w:pPr>
              <w:pStyle w:val="27"/>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14"/>
              <w:textAlignment w:val="baseline"/>
            </w:pPr>
            <w:r>
              <w:rPr>
                <w:spacing w:val="-3"/>
              </w:rPr>
              <w:t>文档密级</w:t>
            </w:r>
          </w:p>
        </w:tc>
        <w:tc>
          <w:tcPr>
            <w:tcW w:w="7434" w:type="dxa"/>
            <w:gridSpan w:val="4"/>
          </w:tcPr>
          <w:p w14:paraId="348BE2C7">
            <w:pPr>
              <w:pStyle w:val="27"/>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108"/>
              <w:textAlignment w:val="baseline"/>
            </w:pPr>
            <w:r>
              <w:rPr>
                <w:spacing w:val="-3"/>
              </w:rPr>
              <w:t>秘密</w:t>
            </w:r>
          </w:p>
        </w:tc>
      </w:tr>
      <w:tr w14:paraId="7715F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11" w:type="dxa"/>
          </w:tcPr>
          <w:p w14:paraId="54CA8BC0">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textAlignment w:val="baseline"/>
            </w:pPr>
            <w:r>
              <w:rPr>
                <w:spacing w:val="-3"/>
              </w:rPr>
              <w:t>文档版本</w:t>
            </w:r>
          </w:p>
        </w:tc>
        <w:tc>
          <w:tcPr>
            <w:tcW w:w="1548" w:type="dxa"/>
          </w:tcPr>
          <w:p w14:paraId="03E9F8F1">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371"/>
              <w:textAlignment w:val="baseline"/>
            </w:pPr>
            <w:r>
              <w:rPr>
                <w:spacing w:val="-2"/>
              </w:rPr>
              <w:t>版本日期</w:t>
            </w:r>
          </w:p>
        </w:tc>
        <w:tc>
          <w:tcPr>
            <w:tcW w:w="2341" w:type="dxa"/>
          </w:tcPr>
          <w:p w14:paraId="513FCA51">
            <w:pPr>
              <w:pStyle w:val="27"/>
              <w:keepNext w:val="0"/>
              <w:keepLines w:val="0"/>
              <w:pageBreakBefore w:val="0"/>
              <w:widowControl w:val="0"/>
              <w:kinsoku w:val="0"/>
              <w:wordWrap/>
              <w:overflowPunct/>
              <w:topLinePunct w:val="0"/>
              <w:autoSpaceDE w:val="0"/>
              <w:autoSpaceDN w:val="0"/>
              <w:bidi w:val="0"/>
              <w:adjustRightInd w:val="0"/>
              <w:snapToGrid w:val="0"/>
              <w:spacing w:before="186" w:line="219" w:lineRule="auto"/>
              <w:ind w:left="695"/>
              <w:textAlignment w:val="baseline"/>
            </w:pPr>
            <w:r>
              <w:rPr>
                <w:spacing w:val="-2"/>
              </w:rPr>
              <w:t>版本说明</w:t>
            </w:r>
          </w:p>
        </w:tc>
        <w:tc>
          <w:tcPr>
            <w:tcW w:w="1982" w:type="dxa"/>
          </w:tcPr>
          <w:p w14:paraId="034D3F65">
            <w:pPr>
              <w:pStyle w:val="27"/>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758"/>
              <w:textAlignment w:val="baseline"/>
            </w:pPr>
            <w:r>
              <w:rPr>
                <w:spacing w:val="-3"/>
              </w:rPr>
              <w:t>作者</w:t>
            </w:r>
          </w:p>
        </w:tc>
        <w:tc>
          <w:tcPr>
            <w:tcW w:w="1563" w:type="dxa"/>
          </w:tcPr>
          <w:p w14:paraId="3DFE2587">
            <w:pPr>
              <w:pStyle w:val="27"/>
              <w:keepNext w:val="0"/>
              <w:keepLines w:val="0"/>
              <w:pageBreakBefore w:val="0"/>
              <w:widowControl w:val="0"/>
              <w:kinsoku w:val="0"/>
              <w:wordWrap/>
              <w:overflowPunct/>
              <w:topLinePunct w:val="0"/>
              <w:autoSpaceDE w:val="0"/>
              <w:autoSpaceDN w:val="0"/>
              <w:bidi w:val="0"/>
              <w:adjustRightInd w:val="0"/>
              <w:snapToGrid w:val="0"/>
              <w:spacing w:before="187" w:line="220" w:lineRule="auto"/>
              <w:ind w:left="559"/>
              <w:textAlignment w:val="baseline"/>
            </w:pPr>
            <w:r>
              <w:rPr>
                <w:spacing w:val="-6"/>
              </w:rPr>
              <w:t>审核</w:t>
            </w:r>
          </w:p>
        </w:tc>
      </w:tr>
      <w:tr w14:paraId="31D74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711" w:type="dxa"/>
          </w:tcPr>
          <w:p w14:paraId="43142C98">
            <w:pPr>
              <w:pStyle w:val="27"/>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38"/>
              <w:textAlignment w:val="baseline"/>
            </w:pPr>
            <w:r>
              <w:rPr>
                <w:spacing w:val="-1"/>
              </w:rPr>
              <w:t>V1.0</w:t>
            </w:r>
          </w:p>
        </w:tc>
        <w:tc>
          <w:tcPr>
            <w:tcW w:w="1548" w:type="dxa"/>
          </w:tcPr>
          <w:p w14:paraId="2426EF0B">
            <w:pPr>
              <w:pStyle w:val="27"/>
              <w:keepNext w:val="0"/>
              <w:keepLines w:val="0"/>
              <w:pageBreakBefore w:val="0"/>
              <w:widowControl w:val="0"/>
              <w:kinsoku w:val="0"/>
              <w:wordWrap/>
              <w:overflowPunct/>
              <w:topLinePunct w:val="0"/>
              <w:autoSpaceDE w:val="0"/>
              <w:autoSpaceDN w:val="0"/>
              <w:bidi w:val="0"/>
              <w:adjustRightInd w:val="0"/>
              <w:snapToGrid w:val="0"/>
              <w:spacing w:before="162"/>
              <w:ind w:left="313"/>
              <w:textAlignment w:val="baseline"/>
              <w:rPr>
                <w:rFonts w:hint="default" w:eastAsia="仿宋"/>
                <w:lang w:val="en-US" w:eastAsia="zh-CN"/>
              </w:rPr>
            </w:pPr>
            <w:r>
              <w:rPr>
                <w:spacing w:val="-2"/>
              </w:rPr>
              <w:t>2025-</w:t>
            </w:r>
            <w:r>
              <w:rPr>
                <w:rFonts w:hint="eastAsia"/>
                <w:spacing w:val="-2"/>
                <w:lang w:val="en-US" w:eastAsia="zh-CN"/>
              </w:rPr>
              <w:t>12</w:t>
            </w:r>
            <w:r>
              <w:rPr>
                <w:spacing w:val="-2"/>
              </w:rPr>
              <w:t>-</w:t>
            </w:r>
            <w:r>
              <w:rPr>
                <w:rFonts w:hint="eastAsia"/>
                <w:spacing w:val="-2"/>
                <w:lang w:val="en-US" w:eastAsia="zh-CN"/>
              </w:rPr>
              <w:t>30</w:t>
            </w:r>
          </w:p>
        </w:tc>
        <w:tc>
          <w:tcPr>
            <w:tcW w:w="2341" w:type="dxa"/>
          </w:tcPr>
          <w:p w14:paraId="0E2AC955">
            <w:pPr>
              <w:pStyle w:val="27"/>
              <w:keepNext w:val="0"/>
              <w:keepLines w:val="0"/>
              <w:pageBreakBefore w:val="0"/>
              <w:widowControl w:val="0"/>
              <w:kinsoku w:val="0"/>
              <w:wordWrap/>
              <w:overflowPunct/>
              <w:topLinePunct w:val="0"/>
              <w:autoSpaceDE w:val="0"/>
              <w:autoSpaceDN w:val="0"/>
              <w:bidi w:val="0"/>
              <w:adjustRightInd w:val="0"/>
              <w:snapToGrid w:val="0"/>
              <w:spacing w:before="128" w:line="219" w:lineRule="auto"/>
              <w:ind w:left="698"/>
              <w:textAlignment w:val="baseline"/>
            </w:pPr>
            <w:r>
              <w:rPr>
                <w:spacing w:val="-3"/>
              </w:rPr>
              <w:t>发布版本</w:t>
            </w:r>
          </w:p>
        </w:tc>
        <w:tc>
          <w:tcPr>
            <w:tcW w:w="1982" w:type="dxa"/>
          </w:tcPr>
          <w:p w14:paraId="42E5927C">
            <w:pPr>
              <w:pStyle w:val="27"/>
              <w:keepNext w:val="0"/>
              <w:keepLines w:val="0"/>
              <w:pageBreakBefore w:val="0"/>
              <w:widowControl w:val="0"/>
              <w:kinsoku w:val="0"/>
              <w:wordWrap/>
              <w:overflowPunct/>
              <w:topLinePunct w:val="0"/>
              <w:autoSpaceDE w:val="0"/>
              <w:autoSpaceDN w:val="0"/>
              <w:bidi w:val="0"/>
              <w:adjustRightInd w:val="0"/>
              <w:snapToGrid w:val="0"/>
              <w:spacing w:before="128" w:line="220" w:lineRule="auto"/>
              <w:ind w:left="639"/>
              <w:textAlignment w:val="baseline"/>
            </w:pPr>
            <w:r>
              <w:rPr>
                <w:rFonts w:hint="eastAsia"/>
                <w:spacing w:val="-3"/>
              </w:rPr>
              <w:t>郑云</w:t>
            </w:r>
          </w:p>
        </w:tc>
        <w:tc>
          <w:tcPr>
            <w:tcW w:w="1563" w:type="dxa"/>
          </w:tcPr>
          <w:p w14:paraId="2566A2C2">
            <w:pPr>
              <w:pStyle w:val="27"/>
              <w:keepNext w:val="0"/>
              <w:keepLines w:val="0"/>
              <w:pageBreakBefore w:val="0"/>
              <w:widowControl w:val="0"/>
              <w:kinsoku w:val="0"/>
              <w:wordWrap/>
              <w:overflowPunct/>
              <w:topLinePunct w:val="0"/>
              <w:autoSpaceDE w:val="0"/>
              <w:autoSpaceDN w:val="0"/>
              <w:bidi w:val="0"/>
              <w:adjustRightInd w:val="0"/>
              <w:snapToGrid w:val="0"/>
              <w:spacing w:before="129" w:line="220" w:lineRule="auto"/>
              <w:ind w:left="439"/>
              <w:textAlignment w:val="baseline"/>
              <w:rPr>
                <w:rFonts w:hint="default" w:eastAsia="宋体"/>
                <w:lang w:val="en-US" w:eastAsia="zh-CN"/>
              </w:rPr>
            </w:pPr>
            <w:r>
              <w:rPr>
                <w:rFonts w:hint="eastAsia"/>
                <w:spacing w:val="-5"/>
                <w:lang w:val="en-US" w:eastAsia="zh-CN"/>
              </w:rPr>
              <w:t>史晓玲</w:t>
            </w:r>
          </w:p>
        </w:tc>
      </w:tr>
      <w:tr w14:paraId="34923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711" w:type="dxa"/>
          </w:tcPr>
          <w:p w14:paraId="13EA8E3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48" w:type="dxa"/>
          </w:tcPr>
          <w:p w14:paraId="14F5B34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1" w:type="dxa"/>
          </w:tcPr>
          <w:p w14:paraId="65E23E4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2" w:type="dxa"/>
          </w:tcPr>
          <w:p w14:paraId="222B3AD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3" w:type="dxa"/>
          </w:tcPr>
          <w:p w14:paraId="4736BA7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3F0A0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711" w:type="dxa"/>
          </w:tcPr>
          <w:p w14:paraId="72F85D6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48" w:type="dxa"/>
          </w:tcPr>
          <w:p w14:paraId="4343137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41" w:type="dxa"/>
          </w:tcPr>
          <w:p w14:paraId="4BDE8D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82" w:type="dxa"/>
          </w:tcPr>
          <w:p w14:paraId="257F5C1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63" w:type="dxa"/>
          </w:tcPr>
          <w:p w14:paraId="015FBE1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17FD679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63530F7">
      <w:pPr>
        <w:keepNext w:val="0"/>
        <w:keepLines w:val="0"/>
        <w:pageBreakBefore w:val="0"/>
        <w:widowControl w:val="0"/>
        <w:kinsoku w:val="0"/>
        <w:wordWrap/>
        <w:overflowPunct/>
        <w:topLinePunct w:val="0"/>
        <w:autoSpaceDE w:val="0"/>
        <w:autoSpaceDN w:val="0"/>
        <w:bidi w:val="0"/>
        <w:adjustRightInd w:val="0"/>
        <w:snapToGrid w:val="0"/>
        <w:textAlignment w:val="baseline"/>
      </w:pPr>
    </w:p>
    <w:sdt>
      <w:sdtPr>
        <w:rPr>
          <w:rFonts w:ascii="宋体" w:hAnsi="宋体" w:eastAsia="宋体" w:cs="Arial"/>
          <w:snapToGrid w:val="0"/>
          <w:color w:val="000000"/>
          <w:kern w:val="0"/>
          <w:sz w:val="21"/>
          <w:szCs w:val="21"/>
          <w:lang w:val="en-US" w:eastAsia="en-US" w:bidi="ar-SA"/>
        </w:rPr>
        <w:id w:val="147451423"/>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244E8A5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A01445F">
          <w:pPr>
            <w:pStyle w:val="16"/>
            <w:tabs>
              <w:tab w:val="right" w:leader="dot" w:pos="8375"/>
            </w:tabs>
          </w:pPr>
          <w:bookmarkStart w:id="40" w:name="_GoBack"/>
          <w:bookmarkEnd w:id="40"/>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_Toc3366 </w:instrText>
          </w:r>
          <w:r>
            <w:rPr>
              <w:rFonts w:hint="eastAsia" w:ascii="Microsoft JhengHei" w:hAnsi="Microsoft JhengHei" w:eastAsia="Microsoft JhengHei" w:cs="Microsoft JhengHei"/>
              <w:szCs w:val="24"/>
            </w:rPr>
            <w:fldChar w:fldCharType="separate"/>
          </w:r>
          <w:r>
            <w:rPr>
              <w:rFonts w:hint="eastAsia"/>
              <w:lang w:val="en-US" w:eastAsia="zh-CN"/>
            </w:rPr>
            <w:t>2025年度</w:t>
          </w:r>
          <w:r>
            <w:t>应急</w:t>
          </w:r>
          <w:r>
            <w:rPr>
              <w:rFonts w:hint="eastAsia"/>
              <w:lang w:val="en-US" w:eastAsia="zh-CN"/>
            </w:rPr>
            <w:t>工作</w:t>
          </w:r>
          <w:r>
            <w:t>总结报告</w:t>
          </w:r>
          <w:r>
            <w:tab/>
          </w:r>
          <w:r>
            <w:fldChar w:fldCharType="begin"/>
          </w:r>
          <w:r>
            <w:instrText xml:space="preserve"> PAGEREF _Toc3366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0DEFB8F0">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_Toc14411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_Toc14411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FDDF135">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_Toc28086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_Toc28086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5AD66FF7">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_Toc14358 </w:instrText>
          </w:r>
          <w:r>
            <w:rPr>
              <w:rFonts w:hint="eastAsia" w:ascii="Microsoft JhengHei" w:hAnsi="Microsoft JhengHei" w:eastAsia="Microsoft JhengHei" w:cs="Microsoft JhengHei"/>
              <w:szCs w:val="24"/>
            </w:rPr>
            <w:fldChar w:fldCharType="separate"/>
          </w:r>
          <w:r>
            <w:rPr>
              <w:rFonts w:hint="default"/>
            </w:rPr>
            <w:t xml:space="preserve">1. </w:t>
          </w:r>
          <w:r>
            <w:t>工作概述</w:t>
          </w:r>
          <w:r>
            <w:tab/>
          </w:r>
          <w:r>
            <w:fldChar w:fldCharType="begin"/>
          </w:r>
          <w:r>
            <w:instrText xml:space="preserve"> PAGEREF _Toc14358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6CF4387">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_Toc11135 </w:instrText>
          </w:r>
          <w:r>
            <w:rPr>
              <w:rFonts w:hint="eastAsia" w:ascii="Microsoft JhengHei" w:hAnsi="Microsoft JhengHei" w:eastAsia="Microsoft JhengHei" w:cs="Microsoft JhengHei"/>
              <w:szCs w:val="24"/>
            </w:rPr>
            <w:fldChar w:fldCharType="separate"/>
          </w:r>
          <w:r>
            <w:rPr>
              <w:rFonts w:hint="default"/>
            </w:rPr>
            <w:t xml:space="preserve">2. </w:t>
          </w:r>
          <w:r>
            <w:t>应急体系建设情况</w:t>
          </w:r>
          <w:r>
            <w:tab/>
          </w:r>
          <w:r>
            <w:fldChar w:fldCharType="begin"/>
          </w:r>
          <w:r>
            <w:instrText xml:space="preserve"> PAGEREF _Toc11135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D608026">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_Toc25172 </w:instrText>
          </w:r>
          <w:r>
            <w:rPr>
              <w:rFonts w:hint="eastAsia" w:ascii="Microsoft JhengHei" w:hAnsi="Microsoft JhengHei" w:eastAsia="Microsoft JhengHei" w:cs="Microsoft JhengHei"/>
              <w:szCs w:val="24"/>
            </w:rPr>
            <w:fldChar w:fldCharType="separate"/>
          </w:r>
          <w:r>
            <w:rPr>
              <w:rFonts w:hint="default"/>
            </w:rPr>
            <w:t xml:space="preserve">2.1. </w:t>
          </w:r>
          <w:r>
            <w:t>组织架构建设</w:t>
          </w:r>
          <w:r>
            <w:tab/>
          </w:r>
          <w:r>
            <w:fldChar w:fldCharType="begin"/>
          </w:r>
          <w:r>
            <w:instrText xml:space="preserve"> PAGEREF _Toc25172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46AF6B2">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_Toc12435 </w:instrText>
          </w:r>
          <w:r>
            <w:rPr>
              <w:rFonts w:hint="eastAsia" w:ascii="Microsoft JhengHei" w:hAnsi="Microsoft JhengHei" w:eastAsia="Microsoft JhengHei" w:cs="Microsoft JhengHei"/>
              <w:szCs w:val="24"/>
            </w:rPr>
            <w:fldChar w:fldCharType="separate"/>
          </w:r>
          <w:r>
            <w:rPr>
              <w:rFonts w:hint="default"/>
            </w:rPr>
            <w:t xml:space="preserve">2.2. </w:t>
          </w:r>
          <w:r>
            <w:t>关键业务影响分析</w:t>
          </w:r>
          <w:r>
            <w:tab/>
          </w:r>
          <w:r>
            <w:fldChar w:fldCharType="begin"/>
          </w:r>
          <w:r>
            <w:instrText xml:space="preserve"> PAGEREF _Toc12435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08A7C26">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_Toc15310 </w:instrText>
          </w:r>
          <w:r>
            <w:rPr>
              <w:rFonts w:hint="eastAsia" w:ascii="Microsoft JhengHei" w:hAnsi="Microsoft JhengHei" w:eastAsia="Microsoft JhengHei" w:cs="Microsoft JhengHei"/>
              <w:szCs w:val="24"/>
            </w:rPr>
            <w:fldChar w:fldCharType="separate"/>
          </w:r>
          <w:r>
            <w:rPr>
              <w:rFonts w:hint="default"/>
            </w:rPr>
            <w:t xml:space="preserve">3. </w:t>
          </w:r>
          <w:r>
            <w:t>应急演练开展情况</w:t>
          </w:r>
          <w:r>
            <w:tab/>
          </w:r>
          <w:r>
            <w:fldChar w:fldCharType="begin"/>
          </w:r>
          <w:r>
            <w:instrText xml:space="preserve"> PAGEREF _Toc15310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00A4A21">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_Toc3497 </w:instrText>
          </w:r>
          <w:r>
            <w:rPr>
              <w:rFonts w:hint="eastAsia" w:ascii="Microsoft JhengHei" w:hAnsi="Microsoft JhengHei" w:eastAsia="Microsoft JhengHei" w:cs="Microsoft JhengHei"/>
              <w:szCs w:val="24"/>
            </w:rPr>
            <w:fldChar w:fldCharType="separate"/>
          </w:r>
          <w:r>
            <w:rPr>
              <w:rFonts w:hint="default"/>
            </w:rPr>
            <w:t xml:space="preserve">3.1. </w:t>
          </w:r>
          <w:r>
            <w:t>演练执行概况</w:t>
          </w:r>
          <w:r>
            <w:tab/>
          </w:r>
          <w:r>
            <w:fldChar w:fldCharType="begin"/>
          </w:r>
          <w:r>
            <w:instrText xml:space="preserve"> PAGEREF _Toc3497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0E449F8">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_Toc32037 </w:instrText>
          </w:r>
          <w:r>
            <w:rPr>
              <w:rFonts w:hint="eastAsia" w:ascii="Microsoft JhengHei" w:hAnsi="Microsoft JhengHei" w:eastAsia="Microsoft JhengHei" w:cs="Microsoft JhengHei"/>
              <w:szCs w:val="24"/>
            </w:rPr>
            <w:fldChar w:fldCharType="separate"/>
          </w:r>
          <w:r>
            <w:rPr>
              <w:rFonts w:hint="default"/>
            </w:rPr>
            <w:t xml:space="preserve">3.2. </w:t>
          </w:r>
          <w:r>
            <w:t>演练目标达成情况</w:t>
          </w:r>
          <w:r>
            <w:tab/>
          </w:r>
          <w:r>
            <w:fldChar w:fldCharType="begin"/>
          </w:r>
          <w:r>
            <w:instrText xml:space="preserve"> PAGEREF _Toc32037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2C88EAE">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_Toc126 </w:instrText>
          </w:r>
          <w:r>
            <w:rPr>
              <w:rFonts w:hint="eastAsia" w:ascii="Microsoft JhengHei" w:hAnsi="Microsoft JhengHei" w:eastAsia="Microsoft JhengHei" w:cs="Microsoft JhengHei"/>
              <w:szCs w:val="24"/>
            </w:rPr>
            <w:fldChar w:fldCharType="separate"/>
          </w:r>
          <w:r>
            <w:rPr>
              <w:rFonts w:hint="default"/>
            </w:rPr>
            <w:t xml:space="preserve">3.3. </w:t>
          </w:r>
          <w:r>
            <w:t>应急预案验证情况</w:t>
          </w:r>
          <w:r>
            <w:tab/>
          </w:r>
          <w:r>
            <w:fldChar w:fldCharType="begin"/>
          </w:r>
          <w:r>
            <w:instrText xml:space="preserve"> PAGEREF _Toc126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171C4A4">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_Toc15930 </w:instrText>
          </w:r>
          <w:r>
            <w:rPr>
              <w:rFonts w:hint="eastAsia" w:ascii="Microsoft JhengHei" w:hAnsi="Microsoft JhengHei" w:eastAsia="Microsoft JhengHei" w:cs="Microsoft JhengHei"/>
              <w:szCs w:val="24"/>
            </w:rPr>
            <w:fldChar w:fldCharType="separate"/>
          </w:r>
          <w:r>
            <w:rPr>
              <w:rFonts w:hint="default"/>
            </w:rPr>
            <w:t xml:space="preserve">3.4. </w:t>
          </w:r>
          <w:r>
            <w:t>演练发现的问题及改进措施</w:t>
          </w:r>
          <w:r>
            <w:tab/>
          </w:r>
          <w:r>
            <w:fldChar w:fldCharType="begin"/>
          </w:r>
          <w:r>
            <w:instrText xml:space="preserve"> PAGEREF _Toc15930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9ED212D">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_Toc13856 </w:instrText>
          </w:r>
          <w:r>
            <w:rPr>
              <w:rFonts w:hint="eastAsia" w:ascii="Microsoft JhengHei" w:hAnsi="Microsoft JhengHei" w:eastAsia="Microsoft JhengHei" w:cs="Microsoft JhengHei"/>
              <w:szCs w:val="24"/>
            </w:rPr>
            <w:fldChar w:fldCharType="separate"/>
          </w:r>
          <w:r>
            <w:rPr>
              <w:rFonts w:hint="default"/>
            </w:rPr>
            <w:t xml:space="preserve">4. </w:t>
          </w:r>
          <w:r>
            <w:t>应急工作成效</w:t>
          </w:r>
          <w:r>
            <w:tab/>
          </w:r>
          <w:r>
            <w:fldChar w:fldCharType="begin"/>
          </w:r>
          <w:r>
            <w:instrText xml:space="preserve"> PAGEREF _Toc13856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498A2B8">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_Toc25039 </w:instrText>
          </w:r>
          <w:r>
            <w:rPr>
              <w:rFonts w:hint="eastAsia" w:ascii="Microsoft JhengHei" w:hAnsi="Microsoft JhengHei" w:eastAsia="Microsoft JhengHei" w:cs="Microsoft JhengHei"/>
              <w:szCs w:val="24"/>
            </w:rPr>
            <w:fldChar w:fldCharType="separate"/>
          </w:r>
          <w:r>
            <w:rPr>
              <w:rFonts w:hint="default"/>
            </w:rPr>
            <w:t xml:space="preserve">4.1. </w:t>
          </w:r>
          <w:r>
            <w:t>管理体系初步建成</w:t>
          </w:r>
          <w:r>
            <w:tab/>
          </w:r>
          <w:r>
            <w:fldChar w:fldCharType="begin"/>
          </w:r>
          <w:r>
            <w:instrText xml:space="preserve"> PAGEREF _Toc25039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ECB7CE3">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_Toc28813 </w:instrText>
          </w:r>
          <w:r>
            <w:rPr>
              <w:rFonts w:hint="eastAsia" w:ascii="Microsoft JhengHei" w:hAnsi="Microsoft JhengHei" w:eastAsia="Microsoft JhengHei" w:cs="Microsoft JhengHei"/>
              <w:szCs w:val="24"/>
            </w:rPr>
            <w:fldChar w:fldCharType="separate"/>
          </w:r>
          <w:r>
            <w:rPr>
              <w:rFonts w:hint="default"/>
            </w:rPr>
            <w:t xml:space="preserve">4.2. </w:t>
          </w:r>
          <w:r>
            <w:t>应急响应能力得到验证</w:t>
          </w:r>
          <w:r>
            <w:tab/>
          </w:r>
          <w:r>
            <w:fldChar w:fldCharType="begin"/>
          </w:r>
          <w:r>
            <w:instrText xml:space="preserve"> PAGEREF _Toc28813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7512E76">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_Toc27431 </w:instrText>
          </w:r>
          <w:r>
            <w:rPr>
              <w:rFonts w:hint="eastAsia" w:ascii="Microsoft JhengHei" w:hAnsi="Microsoft JhengHei" w:eastAsia="Microsoft JhengHei" w:cs="Microsoft JhengHei"/>
              <w:szCs w:val="24"/>
            </w:rPr>
            <w:fldChar w:fldCharType="separate"/>
          </w:r>
          <w:r>
            <w:rPr>
              <w:rFonts w:hint="default"/>
            </w:rPr>
            <w:t xml:space="preserve">4.3. </w:t>
          </w:r>
          <w:r>
            <w:t>持续改进机制有效运行</w:t>
          </w:r>
          <w:r>
            <w:tab/>
          </w:r>
          <w:r>
            <w:fldChar w:fldCharType="begin"/>
          </w:r>
          <w:r>
            <w:instrText xml:space="preserve"> PAGEREF _Toc27431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1E13624">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_Toc12877 </w:instrText>
          </w:r>
          <w:r>
            <w:rPr>
              <w:rFonts w:hint="eastAsia" w:ascii="Microsoft JhengHei" w:hAnsi="Microsoft JhengHei" w:eastAsia="Microsoft JhengHei" w:cs="Microsoft JhengHei"/>
              <w:szCs w:val="24"/>
            </w:rPr>
            <w:fldChar w:fldCharType="separate"/>
          </w:r>
          <w:r>
            <w:rPr>
              <w:rFonts w:hint="default"/>
            </w:rPr>
            <w:t xml:space="preserve">4.4. </w:t>
          </w:r>
          <w:r>
            <w:t>备件保障能力得到检验</w:t>
          </w:r>
          <w:r>
            <w:tab/>
          </w:r>
          <w:r>
            <w:fldChar w:fldCharType="begin"/>
          </w:r>
          <w:r>
            <w:instrText xml:space="preserve"> PAGEREF _Toc12877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196A98B">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_Toc30128 </w:instrText>
          </w:r>
          <w:r>
            <w:rPr>
              <w:rFonts w:hint="eastAsia" w:ascii="Microsoft JhengHei" w:hAnsi="Microsoft JhengHei" w:eastAsia="Microsoft JhengHei" w:cs="Microsoft JhengHei"/>
              <w:szCs w:val="24"/>
            </w:rPr>
            <w:fldChar w:fldCharType="separate"/>
          </w:r>
          <w:r>
            <w:rPr>
              <w:rFonts w:hint="default"/>
            </w:rPr>
            <w:t xml:space="preserve">5. </w:t>
          </w:r>
          <w:r>
            <w:t>存在不足与改进方向</w:t>
          </w:r>
          <w:r>
            <w:tab/>
          </w:r>
          <w:r>
            <w:fldChar w:fldCharType="begin"/>
          </w:r>
          <w:r>
            <w:instrText xml:space="preserve"> PAGEREF _Toc30128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7BF28E1">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_Toc26615 </w:instrText>
          </w:r>
          <w:r>
            <w:rPr>
              <w:rFonts w:hint="eastAsia" w:ascii="Microsoft JhengHei" w:hAnsi="Microsoft JhengHei" w:eastAsia="Microsoft JhengHei" w:cs="Microsoft JhengHei"/>
              <w:szCs w:val="24"/>
            </w:rPr>
            <w:fldChar w:fldCharType="separate"/>
          </w:r>
          <w:r>
            <w:rPr>
              <w:rFonts w:hint="default"/>
            </w:rPr>
            <w:t xml:space="preserve">5.1. </w:t>
          </w:r>
          <w:r>
            <w:t>存在不足</w:t>
          </w:r>
          <w:r>
            <w:tab/>
          </w:r>
          <w:r>
            <w:fldChar w:fldCharType="begin"/>
          </w:r>
          <w:r>
            <w:instrText xml:space="preserve"> PAGEREF _Toc26615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57214B1">
          <w:pPr>
            <w:pStyle w:val="17"/>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_Toc1791 </w:instrText>
          </w:r>
          <w:r>
            <w:rPr>
              <w:rFonts w:hint="eastAsia" w:ascii="Microsoft JhengHei" w:hAnsi="Microsoft JhengHei" w:eastAsia="Microsoft JhengHei" w:cs="Microsoft JhengHei"/>
              <w:szCs w:val="24"/>
            </w:rPr>
            <w:fldChar w:fldCharType="separate"/>
          </w:r>
          <w:r>
            <w:rPr>
              <w:rFonts w:hint="default"/>
            </w:rPr>
            <w:t xml:space="preserve">5.2. </w:t>
          </w:r>
          <w:r>
            <w:t>改进方向</w:t>
          </w:r>
          <w:r>
            <w:tab/>
          </w:r>
          <w:r>
            <w:fldChar w:fldCharType="begin"/>
          </w:r>
          <w:r>
            <w:instrText xml:space="preserve"> PAGEREF _Toc1791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0294DAA">
          <w:pPr>
            <w:pStyle w:val="16"/>
            <w:tabs>
              <w:tab w:val="right" w:leader="dot" w:pos="8375"/>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_Toc1727 </w:instrText>
          </w:r>
          <w:r>
            <w:rPr>
              <w:rFonts w:hint="eastAsia" w:ascii="Microsoft JhengHei" w:hAnsi="Microsoft JhengHei" w:eastAsia="Microsoft JhengHei" w:cs="Microsoft JhengHei"/>
              <w:szCs w:val="24"/>
            </w:rPr>
            <w:fldChar w:fldCharType="separate"/>
          </w:r>
          <w:r>
            <w:rPr>
              <w:rFonts w:hint="default"/>
            </w:rPr>
            <w:t xml:space="preserve">6. </w:t>
          </w:r>
          <w:r>
            <w:t>总结</w:t>
          </w:r>
          <w:r>
            <w:tab/>
          </w:r>
          <w:r>
            <w:fldChar w:fldCharType="begin"/>
          </w:r>
          <w:r>
            <w:instrText xml:space="preserve"> PAGEREF _Toc1727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A0908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D2344B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43D4176D">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65D09A5F">
      <w:pPr>
        <w:pStyle w:val="12"/>
        <w:keepNext w:val="0"/>
        <w:keepLines w:val="0"/>
        <w:pageBreakBefore w:val="0"/>
        <w:widowControl w:val="0"/>
        <w:kinsoku w:val="0"/>
        <w:wordWrap/>
        <w:overflowPunct/>
        <w:topLinePunct w:val="0"/>
        <w:autoSpaceDE w:val="0"/>
        <w:autoSpaceDN w:val="0"/>
        <w:bidi w:val="0"/>
        <w:adjustRightInd w:val="0"/>
        <w:snapToGrid w:val="0"/>
        <w:spacing w:line="264" w:lineRule="auto"/>
        <w:textAlignment w:val="baseline"/>
      </w:pPr>
    </w:p>
    <w:p w14:paraId="5724489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黑体" w:hAnsi="黑体" w:eastAsia="黑体" w:cs="黑体"/>
          <w:spacing w:val="-8"/>
          <w:sz w:val="30"/>
          <w:szCs w:val="30"/>
        </w:rPr>
      </w:pPr>
      <w:r>
        <w:rPr>
          <w:rFonts w:ascii="黑体" w:hAnsi="黑体" w:eastAsia="黑体" w:cs="黑体"/>
          <w:spacing w:val="-8"/>
          <w:sz w:val="30"/>
          <w:szCs w:val="30"/>
        </w:rPr>
        <w:br w:type="page"/>
      </w:r>
    </w:p>
    <w:p w14:paraId="740270A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0"/>
      <w:bookmarkStart w:id="5" w:name="_Toc14358"/>
      <w:r>
        <w:t>工作概述</w:t>
      </w:r>
      <w:bookmarkEnd w:id="4"/>
      <w:bookmarkEnd w:id="5"/>
    </w:p>
    <w:p w14:paraId="75EF7F1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2025年度，淮安生态新城信息系统运维服务项目团队严格按照《运维服务合同书》及公司应急管理制度要求，系统开展应急管理体系建设和演练工作。本年度应急工作以“预防为主、快速响应、分级处置、保障业务”为原则，围绕应急预案编制、应急演练实施、问题整改落实等环节，全面检验和提升了项目团队的应急响应能力，为甲方（淮安生态文旅区财政局）机房硬件设备的稳定运行提供了有力保障。</w:t>
      </w:r>
    </w:p>
    <w:p w14:paraId="76F545C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全年共完成应急管理体系文件5份（应急预案、演练大纲、演练计划、演练报告、关键业务影响分析表），组织一级故障实战演练1次，各项评估指标均达到或优于合同约定的目标值。</w:t>
      </w:r>
    </w:p>
    <w:p w14:paraId="5BCC04E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1"/>
      <w:bookmarkStart w:id="7" w:name="_Toc11135"/>
      <w:r>
        <w:t>应急体系建设情况</w:t>
      </w:r>
      <w:bookmarkEnd w:id="6"/>
      <w:bookmarkEnd w:id="7"/>
    </w:p>
    <w:p w14:paraId="288D462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3"/>
      <w:bookmarkStart w:id="9" w:name="_Toc25172"/>
      <w:r>
        <w:t>组织架构建设</w:t>
      </w:r>
      <w:bookmarkEnd w:id="8"/>
      <w:bookmarkEnd w:id="9"/>
    </w:p>
    <w:p w14:paraId="37DA0D9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根据《应急预案》的规定，本项目建立了三级应急组织架构：</w:t>
      </w:r>
    </w:p>
    <w:p w14:paraId="415212E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应急领导小组：由项目负责人王朋担任组长，负责应急响应的统一指挥和决策，协调内外部资源，向甲方通报重大事件。</w:t>
      </w:r>
    </w:p>
    <w:p w14:paraId="1F930E9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应急执行小组：由运维工程师李伟、网络工程师张强、服务台徐丽组成，负责执行具体的故障排查、诊断和恢复操作。</w:t>
      </w:r>
    </w:p>
    <w:p w14:paraId="5E83476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技术支持小组：由公司研发部和质量部人员组成，负责为复杂故障提供技术支持和方案咨询。</w:t>
      </w:r>
    </w:p>
    <w:p w14:paraId="2BD9451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后勤保障小组：由备件库管理人员李强负责，负责备件调拨、物资保障和后勤协调。</w:t>
      </w:r>
    </w:p>
    <w:p w14:paraId="7798EF8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关键岗位设有AB角备份，确保人员缺席时应急工作不受影响。全体应急小组成员保持通讯7×24小时畅通。</w:t>
      </w:r>
    </w:p>
    <w:p w14:paraId="5928E4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p w14:paraId="58EEB05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4"/>
      <w:bookmarkStart w:id="11" w:name="_Toc12435"/>
      <w:r>
        <w:t>关键业务影响分析</w:t>
      </w:r>
      <w:bookmarkEnd w:id="10"/>
      <w:bookmarkEnd w:id="11"/>
    </w:p>
    <w:p w14:paraId="6BC37DA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年度完成了《关键业务影响及应变方式分析表》的编制工作，系统识别了项目服务范围内可能发生的各类风险，包括停电、网络服务商中断、服务器故障、网络设备故障、火灾、高温、重大自然灾害等7类风险。针对每类风险，明确了发生几率、造成影响、控制措施、恢复方案、恢复时间范围及责任人，为应急预案的制定和应急资源的配置提供了依据。</w:t>
      </w:r>
    </w:p>
    <w:p w14:paraId="6FC2B45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5"/>
      <w:bookmarkStart w:id="13" w:name="_Toc15310"/>
      <w:r>
        <w:t>应急演练开展情况</w:t>
      </w:r>
      <w:bookmarkEnd w:id="12"/>
      <w:bookmarkEnd w:id="13"/>
    </w:p>
    <w:p w14:paraId="1E0C358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3497"/>
      <w:r>
        <w:t>演练执行概况</w:t>
      </w:r>
      <w:bookmarkEnd w:id="14"/>
      <w:bookmarkEnd w:id="15"/>
    </w:p>
    <w:p w14:paraId="2C4B3C3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根据《应急演练计划》的安排，项目团队于2025年12月15日在淮安生态文旅区财政局机房组织了一次一级故障实战演练。本次演练采用模拟故障演练形式，在不影响甲方实际业务的前提下，模拟服务器硬盘故障场景，检验项目团队的应急响应能力和系统恢复能力。</w:t>
      </w:r>
    </w:p>
    <w:p w14:paraId="06D96C8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参演人员：项目负责人王朋（总指挥）、运维工程师李伟（现场指挥）、网络工程师张强、服务台徐丽、备件库李强、质量部郑云（评估），并邀请了甲方接口人作为观察员全程参与。</w:t>
      </w:r>
    </w:p>
    <w:p w14:paraId="655A44F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演练场景：模拟用友财务服务器的一块硬盘出现故障告警，系统仍可运行但存在数据丢失风险。该设备承载财政财务系统，为核心业务系统，重要性为高。</w:t>
      </w:r>
    </w:p>
    <w:p w14:paraId="4535B4A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7"/>
      <w:bookmarkStart w:id="17" w:name="_Toc32037"/>
      <w:r>
        <w:t>演练目标达成情况</w:t>
      </w:r>
      <w:bookmarkEnd w:id="16"/>
      <w:bookmarkEnd w:id="17"/>
    </w:p>
    <w:p w14:paraId="275E654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本次演练设定了6项目标，全部达成。具体来看：</w:t>
      </w:r>
    </w:p>
    <w:p w14:paraId="6FFC9DC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服务台响应方面：从故障发生到服务台确认接收，实际用时12分钟，优于15分钟的目标要求。</w:t>
      </w:r>
    </w:p>
    <w:p w14:paraId="51D80E3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工程师到场方面：运维工程师从接到派单到到达现场，实际用时2小时，优于4小时的目标要求。</w:t>
      </w:r>
    </w:p>
    <w:p w14:paraId="7E283A5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业务恢复方面：从到场到业务恢复，实际用时3小时20分钟，优于8小时的目标要求。</w:t>
      </w:r>
    </w:p>
    <w:p w14:paraId="46FDAD9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备件调拨方面：备用硬盘在40分钟内调拨到位，流程顺畅高效。</w:t>
      </w:r>
    </w:p>
    <w:p w14:paraId="74EC0E7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操作规范性方面：各环节均按应急预案流程执行，操作记录完整准确，与甲方沟通及时规范。</w:t>
      </w:r>
    </w:p>
    <w:p w14:paraId="3FB0E93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恢复效果方面：业务功能完全恢复，数据完整一致，甲方确认恢复成功。</w:t>
      </w:r>
    </w:p>
    <w:p w14:paraId="135060C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8"/>
      <w:bookmarkStart w:id="19" w:name="_Toc126"/>
      <w:r>
        <w:t>应急预案验证情况</w:t>
      </w:r>
      <w:bookmarkEnd w:id="18"/>
      <w:bookmarkEnd w:id="19"/>
    </w:p>
    <w:p w14:paraId="4997712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本次演练对应急预案的各关键条款进行了系统性验证，验证结果如下：</w:t>
      </w:r>
    </w:p>
    <w:tbl>
      <w:tblPr>
        <w:tblStyle w:val="20"/>
        <w:tblW w:w="859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5907"/>
        <w:gridCol w:w="2684"/>
      </w:tblGrid>
      <w:tr w14:paraId="025C49C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590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077D09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验证项</w:t>
            </w:r>
          </w:p>
        </w:tc>
        <w:tc>
          <w:tcPr>
            <w:tcW w:w="268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64F38A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验证结果</w:t>
            </w:r>
          </w:p>
        </w:tc>
      </w:tr>
      <w:tr w14:paraId="10A13F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ED705C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应急组织架构运转情况</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C25DD6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完成</w:t>
            </w:r>
          </w:p>
        </w:tc>
      </w:tr>
      <w:tr w14:paraId="7DA861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6E25A2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事件分级标准适用性</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40FB14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3BE8FA8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A4826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服务台报告与受理流程</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08F99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50DE3DE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788D0B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II级事件处置流程</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1BF608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5CCD6E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E40F36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业务验证与关闭流程</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8754D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487B959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A7D556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备件调拨流程</w:t>
            </w:r>
          </w:p>
        </w:tc>
        <w:tc>
          <w:tcPr>
            <w:tcW w:w="268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BF4EA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010C2DC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90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B4B635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应急通讯渠道有效性</w:t>
            </w:r>
          </w:p>
        </w:tc>
        <w:tc>
          <w:tcPr>
            <w:tcW w:w="268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94BCAA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rPr>
            </w:pPr>
            <w:r>
              <w:rPr>
                <w:rFonts w:hint="eastAsia"/>
                <w:lang w:val="en-US" w:eastAsia="zh-CN"/>
              </w:rPr>
              <w:t>完成</w:t>
            </w:r>
          </w:p>
        </w:tc>
      </w:tr>
    </w:tbl>
    <w:p w14:paraId="43D12C4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综合来看，应急预案中各条款与实际操作基本一致，应急组织架构合理，事件分级标准适用，响应流程清晰，保障措施有效，能够指导项目团队在突发事件下开展应急响应和处置工作。</w:t>
      </w:r>
    </w:p>
    <w:p w14:paraId="37E988E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15930"/>
      <w:r>
        <w:t>演练发现的问题及改进措施</w:t>
      </w:r>
      <w:bookmarkEnd w:id="20"/>
      <w:bookmarkEnd w:id="21"/>
    </w:p>
    <w:p w14:paraId="4107797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本次演练中发现以下问题，已制定并落实相应改进措施：</w:t>
      </w:r>
    </w:p>
    <w:p w14:paraId="06838B9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问题一：服务台确认接收时间有波动</w:t>
      </w:r>
    </w:p>
    <w:p w14:paraId="6FF0378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中服务台确认接收时间为12分钟，虽然达标但接近目标值上限，日常工作中可能存在响应不及时的风险。针对此问题，将加强服务台人员培训，优化告警接收流程，建立告警分级提醒机制，由服务台徐丽负责，于2026年1月完成。</w:t>
      </w:r>
    </w:p>
    <w:p w14:paraId="5547007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问题二：备件调拨沟通环节可优化</w:t>
      </w:r>
    </w:p>
    <w:p w14:paraId="354B144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备件调拨流程中沟通环节涉及多人多次确认，存在信息传递效率提升空间。针对此问题，将简化备件调拨沟通流程，建立备件紧急调拨绿色通道，由备件库李强负责，于2026年1月完成。</w:t>
      </w:r>
    </w:p>
    <w:p w14:paraId="5005D75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问题三：演练记录表格需完善</w:t>
      </w:r>
    </w:p>
    <w:p w14:paraId="7F8B6E7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演练过程中使用的记录表格部分字段不够清晰，影响了记录效率。针对此问题，将优化演练记录表格设计，增加填写说明，对记录人员进行专项培训，由质量部郑云负责，于2025年12月完成。</w:t>
      </w:r>
    </w:p>
    <w:p w14:paraId="4B34BF3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13856"/>
      <w:r>
        <w:t>应急工作成效</w:t>
      </w:r>
      <w:bookmarkEnd w:id="22"/>
      <w:bookmarkEnd w:id="23"/>
    </w:p>
    <w:p w14:paraId="03BAB3D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25039"/>
      <w:r>
        <w:t>管理体系初步建成</w:t>
      </w:r>
      <w:bookmarkEnd w:id="24"/>
      <w:bookmarkEnd w:id="25"/>
    </w:p>
    <w:p w14:paraId="0602A2F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年度完成了从风险识别、应急预案编制、演练大纲制定到演练计划执行、演练报告总结的完整管理闭环。关键业务影响分析表系统识别了7类风险，应急预案明确了三级事件分级标准和响应流程，为应急工作的规范化开展奠定了基础。</w:t>
      </w:r>
    </w:p>
    <w:p w14:paraId="64E29BE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2"/>
      <w:bookmarkStart w:id="27" w:name="_Toc28813"/>
      <w:r>
        <w:t>应急响应能力得到验证</w:t>
      </w:r>
      <w:bookmarkEnd w:id="26"/>
      <w:bookmarkEnd w:id="27"/>
    </w:p>
    <w:p w14:paraId="5E051FE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通过本次实战演练，验证了项目团队在突发事件下的快速响应能力。服务台12分钟完成确认、工程师2小时到场、3小时20分钟完成业务恢复，各项指标均优于合同约定目标值，充分证明了应急响应机制的有效性。</w:t>
      </w:r>
    </w:p>
    <w:p w14:paraId="4F773DB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3"/>
      <w:bookmarkStart w:id="29" w:name="_Toc27431"/>
      <w:r>
        <w:t>持续改进机制有效运行</w:t>
      </w:r>
      <w:bookmarkEnd w:id="28"/>
      <w:bookmarkEnd w:id="29"/>
    </w:p>
    <w:p w14:paraId="2F339CB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演练结束后，项目组及时组织总结会议，识别了3项待改进问题，制定了具体的改进措施，明确了责任人和完成时限，形成了问题发现、分析、改进、验证的闭环管理机制。</w:t>
      </w:r>
    </w:p>
    <w:p w14:paraId="2853D5B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12877"/>
      <w:r>
        <w:t>备件保障能力得到检验</w:t>
      </w:r>
      <w:bookmarkEnd w:id="30"/>
      <w:bookmarkEnd w:id="31"/>
    </w:p>
    <w:p w14:paraId="36F0F4F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演练中备件调拨流程顺畅，备用硬盘在40分钟内到位，验证了备件储备和紧急调拨机制的有效性，为硬件故障恢复提供了可靠保障。</w:t>
      </w:r>
    </w:p>
    <w:p w14:paraId="351F89A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p w14:paraId="5EBF172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30128"/>
      <w:r>
        <w:t>存在不足与改进方向</w:t>
      </w:r>
      <w:bookmarkEnd w:id="32"/>
      <w:bookmarkEnd w:id="33"/>
    </w:p>
    <w:p w14:paraId="485C474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heading_16"/>
      <w:bookmarkStart w:id="35" w:name="_Toc26615"/>
      <w:r>
        <w:t>存在不足</w:t>
      </w:r>
      <w:bookmarkEnd w:id="34"/>
      <w:bookmarkEnd w:id="35"/>
    </w:p>
    <w:p w14:paraId="1EC3DDE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一是服务台响应时间存在波动，虽在目标范围内但稳定性有待提升；二是备件调拨沟通流程仍有优化空间；三是演练记录表格设计不够完善，影响了记录效率。</w:t>
      </w:r>
    </w:p>
    <w:p w14:paraId="6E92C64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7"/>
      <w:bookmarkStart w:id="37" w:name="_Toc1791"/>
      <w:r>
        <w:t>改进方向</w:t>
      </w:r>
      <w:bookmarkEnd w:id="36"/>
      <w:bookmarkEnd w:id="37"/>
    </w:p>
    <w:p w14:paraId="49CD5B8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2026年将持续优化应急管理工作，重点做好以下方面：</w:t>
      </w:r>
    </w:p>
    <w:p w14:paraId="3E036A7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提升服务台响应效率：加强人员培训，优化告警接收和分级提醒机制，确保响应时间稳定在10分钟以内。</w:t>
      </w:r>
    </w:p>
    <w:p w14:paraId="4B06944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优化备件调拨流程：简化沟通环节，建立紧急调拨绿色通道，缩短备件到位时间。</w:t>
      </w:r>
    </w:p>
    <w:p w14:paraId="09D7EB1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完善演练记录工具：优化记录表格设计，增加填写说明，提升记录效率和准确性。</w:t>
      </w:r>
    </w:p>
    <w:p w14:paraId="7D9AA0B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加强应急演练频次：计划2026年至少组织2次应急演练，覆盖不同故障场景（如网络设备故障、链路中断等）。</w:t>
      </w:r>
    </w:p>
    <w:p w14:paraId="727CD21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推动知识沉淀：将演练中发现的问题和总结的经验纳入公司知识库，形成典型案例供团队学习参考。</w:t>
      </w:r>
    </w:p>
    <w:p w14:paraId="4A14EE3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8"/>
      <w:bookmarkStart w:id="39" w:name="_Toc1727"/>
      <w:r>
        <w:t>总结</w:t>
      </w:r>
      <w:bookmarkEnd w:id="38"/>
      <w:bookmarkEnd w:id="39"/>
    </w:p>
    <w:p w14:paraId="027F977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2025年度，淮安生态新城信息系统运维服务项目应急管理工作从风险识别到制度建设，从预案编制到实战演练，从问题发现到整改落实，形成了完整的管理闭环。</w:t>
      </w:r>
    </w:p>
    <w:p w14:paraId="69EB05D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主要成果：完成了5份应急管理体系文件的编制与发布；成功组织了一次一级故障实战演练；服务台响应、工程师到场、业务恢复等各项指标均优于目标值；应急预案的有效性和可操作性得到了充分验证；识别并改进了3项问题，持续改进机制运行良好。</w:t>
      </w:r>
    </w:p>
    <w:p w14:paraId="7B4C2E6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下一步计划：运维团队将持续完善应急管理体系，加强日常巡检和备件管理，优化应急响应流程，定期组织应急演练，不断提升应急响应水平，确保甲方信息系统在任何突发情况下都能快速恢复、稳定运行。</w:t>
      </w:r>
    </w:p>
    <w:p w14:paraId="2E274F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31" w:right="1746" w:bottom="1417"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027CD"/>
    <w:rsid w:val="0127542D"/>
    <w:rsid w:val="037E2237"/>
    <w:rsid w:val="0394722B"/>
    <w:rsid w:val="05900FD6"/>
    <w:rsid w:val="0F27645B"/>
    <w:rsid w:val="1334645D"/>
    <w:rsid w:val="14221993"/>
    <w:rsid w:val="160C28FB"/>
    <w:rsid w:val="16526560"/>
    <w:rsid w:val="17A50911"/>
    <w:rsid w:val="1D512C40"/>
    <w:rsid w:val="1F897FFB"/>
    <w:rsid w:val="20EB6352"/>
    <w:rsid w:val="25F16828"/>
    <w:rsid w:val="26DD3326"/>
    <w:rsid w:val="2CA156F3"/>
    <w:rsid w:val="2F326AD7"/>
    <w:rsid w:val="33D44600"/>
    <w:rsid w:val="34264730"/>
    <w:rsid w:val="37476E97"/>
    <w:rsid w:val="3801798E"/>
    <w:rsid w:val="3A9E3272"/>
    <w:rsid w:val="3D163594"/>
    <w:rsid w:val="3DE22EEA"/>
    <w:rsid w:val="41AA0C03"/>
    <w:rsid w:val="42903DE8"/>
    <w:rsid w:val="4373037D"/>
    <w:rsid w:val="438D20D6"/>
    <w:rsid w:val="46244F73"/>
    <w:rsid w:val="492D5972"/>
    <w:rsid w:val="4B6B71A0"/>
    <w:rsid w:val="4D9F1383"/>
    <w:rsid w:val="4E5C7274"/>
    <w:rsid w:val="50AF7B2F"/>
    <w:rsid w:val="517B21F2"/>
    <w:rsid w:val="5621502B"/>
    <w:rsid w:val="57154464"/>
    <w:rsid w:val="573C40E7"/>
    <w:rsid w:val="58AE2DC2"/>
    <w:rsid w:val="593A6F82"/>
    <w:rsid w:val="5B13515F"/>
    <w:rsid w:val="5BDF58EF"/>
    <w:rsid w:val="5D0E3E30"/>
    <w:rsid w:val="5E5B12F6"/>
    <w:rsid w:val="69286279"/>
    <w:rsid w:val="6A3749EE"/>
    <w:rsid w:val="6AC65D4A"/>
    <w:rsid w:val="6BB81B36"/>
    <w:rsid w:val="6BE07043"/>
    <w:rsid w:val="6BF6265F"/>
    <w:rsid w:val="6D2A67DF"/>
    <w:rsid w:val="6DE36C13"/>
    <w:rsid w:val="6FDE316A"/>
    <w:rsid w:val="72206225"/>
    <w:rsid w:val="7258197D"/>
    <w:rsid w:val="75826D11"/>
    <w:rsid w:val="75AA6994"/>
    <w:rsid w:val="7611190E"/>
    <w:rsid w:val="77F201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mphasis"/>
    <w:basedOn w:val="22"/>
    <w:qFormat/>
    <w:uiPriority w:val="0"/>
    <w:rPr>
      <w:i/>
    </w:rPr>
  </w:style>
  <w:style w:type="paragraph" w:customStyle="1" w:styleId="25">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40"/>
    <w:qFormat/>
    <w:uiPriority w:val="0"/>
    <w:pPr>
      <w:spacing w:before="100" w:after="90" w:line="360" w:lineRule="auto"/>
    </w:pPr>
    <w:rPr>
      <w:rFonts w:ascii="Arial" w:hAnsi="Arial" w:eastAsia="宋体"/>
      <w:sz w:val="32"/>
    </w:rPr>
  </w:style>
  <w:style w:type="paragraph" w:customStyle="1" w:styleId="29">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7"/>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8"/>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29"/>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3172</Words>
  <Characters>3322</Characters>
  <Lines>0</Lines>
  <Paragraphs>0</Paragraphs>
  <TotalTime>0</TotalTime>
  <ScaleCrop>false</ScaleCrop>
  <LinksUpToDate>false</LinksUpToDate>
  <CharactersWithSpaces>3440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2025-08-21T18:44:00Z</dcterms:created>
  <dc:creator>18442</dc:creator>
  <cp:lastModifiedBy>郝宇</cp:lastModifiedBy>
  <dcterms:modified xsi:type="dcterms:W3CDTF">2026-05-06T21:33:20Z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2025-08-21T16:43:53Z</vt:filetime>
  </property>
  <property fmtid="{D5CDD505-2E9C-101B-9397-08002B2CF9AE}" pid="3" name="CRO">
    <vt:lpwstr>wqlLaW5nc29mdCBQREYgdG8gV1BTIDExNQ</vt:lpwstr>
  </property>
  <property fmtid="{D5CDD505-2E9C-101B-9397-08002B2CF9AE}" pid="4" name="ICV">
    <vt:lpwstr>0C903783E5F34BE1B567F9BC6DC182FD_12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