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06777">
      <w:pPr>
        <w:pStyle w:val="32"/>
        <w:widowControl w:val="0"/>
        <w:spacing w:after="1440"/>
        <w:rPr>
          <w:rFonts w:hint="default"/>
        </w:rPr>
      </w:pPr>
    </w:p>
    <w:p w14:paraId="2A7DB7EF">
      <w:pPr>
        <w:pStyle w:val="32"/>
        <w:widowControl w:val="0"/>
        <w:spacing w:after="1440"/>
        <w:rPr>
          <w:rFonts w:hint="default" w:eastAsia="宋体"/>
          <w:lang w:val="en-US" w:eastAsia="zh-CN"/>
        </w:rPr>
      </w:pPr>
      <w:bookmarkStart w:id="0" w:name="_Toc2969"/>
      <w:r>
        <w:rPr>
          <w:rFonts w:hint="eastAsia"/>
          <w:lang w:val="en-US" w:eastAsia="zh-CN"/>
        </w:rPr>
        <w:t>2026年</w:t>
      </w:r>
      <w:r>
        <w:t>运维服务能力管理总结报告</w:t>
      </w:r>
      <w:r>
        <w:br w:type="textWrapping"/>
      </w:r>
      <w:r>
        <w:rPr>
          <w:rFonts w:hint="eastAsia"/>
          <w:lang w:val="en-US" w:eastAsia="zh-CN"/>
        </w:rPr>
        <w:t>(第一季度)</w:t>
      </w:r>
      <w:bookmarkEnd w:id="0"/>
    </w:p>
    <w:p w14:paraId="35971DBF">
      <w:pPr>
        <w:pStyle w:val="33"/>
        <w:widowControl w:val="0"/>
        <w:spacing w:after="2160"/>
      </w:pPr>
      <w:bookmarkStart w:id="1" w:name="_Toc9918"/>
      <w:r>
        <w:t>江苏云储智能科技有限公司</w:t>
      </w:r>
      <w:bookmarkEnd w:id="1"/>
    </w:p>
    <w:p w14:paraId="7C019797">
      <w:pPr>
        <w:widowControl w:val="0"/>
        <w:spacing w:before="224" w:line="220" w:lineRule="auto"/>
        <w:ind w:left="2880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pacing w:val="-11"/>
          <w:sz w:val="36"/>
          <w:szCs w:val="36"/>
        </w:rPr>
        <w:t>202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6</w:t>
      </w:r>
      <w:r>
        <w:rPr>
          <w:rFonts w:ascii="宋体" w:hAnsi="宋体" w:cs="宋体"/>
          <w:spacing w:val="-11"/>
          <w:sz w:val="36"/>
          <w:szCs w:val="36"/>
        </w:rPr>
        <w:t>年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4</w:t>
      </w:r>
      <w:r>
        <w:rPr>
          <w:rFonts w:ascii="宋体" w:hAnsi="宋体" w:cs="宋体"/>
          <w:spacing w:val="-11"/>
          <w:sz w:val="36"/>
          <w:szCs w:val="36"/>
        </w:rPr>
        <w:t>月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10</w:t>
      </w:r>
      <w:r>
        <w:rPr>
          <w:rFonts w:ascii="宋体" w:hAnsi="宋体" w:cs="宋体"/>
          <w:spacing w:val="-11"/>
          <w:sz w:val="36"/>
          <w:szCs w:val="36"/>
        </w:rPr>
        <w:t>日</w:t>
      </w:r>
    </w:p>
    <w:p w14:paraId="0D7BBF5C">
      <w:pPr>
        <w:widowControl w:val="0"/>
        <w:spacing w:line="220" w:lineRule="auto"/>
        <w:rPr>
          <w:rFonts w:ascii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84F3AD1">
      <w:pPr>
        <w:widowControl w:val="0"/>
        <w:spacing w:before="55" w:line="220" w:lineRule="auto"/>
        <w:ind w:left="24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pacing w:val="-3"/>
          <w:sz w:val="28"/>
          <w:szCs w:val="28"/>
        </w:rPr>
        <w:t>文档信息</w:t>
      </w:r>
    </w:p>
    <w:p w14:paraId="0207248A">
      <w:pPr>
        <w:widowControl w:val="0"/>
        <w:spacing w:line="131" w:lineRule="exact"/>
      </w:pPr>
    </w:p>
    <w:tbl>
      <w:tblPr>
        <w:tblStyle w:val="25"/>
        <w:tblW w:w="8646" w:type="dxa"/>
        <w:tblInd w:w="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38ACF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0E83C328">
            <w:pPr>
              <w:pStyle w:val="26"/>
              <w:widowControl w:val="0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74FDAE0C">
            <w:pPr>
              <w:pStyle w:val="26"/>
              <w:widowControl w:val="0"/>
              <w:spacing w:before="140" w:line="218" w:lineRule="auto"/>
              <w:ind w:left="110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年运维服务能力管理总结报告</w:t>
            </w:r>
          </w:p>
        </w:tc>
      </w:tr>
      <w:tr w14:paraId="228FF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52D325A1">
            <w:pPr>
              <w:pStyle w:val="26"/>
              <w:widowControl w:val="0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71CC2439">
            <w:pPr>
              <w:pStyle w:val="26"/>
              <w:widowControl w:val="0"/>
              <w:spacing w:before="13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083AF1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3DB38EAD">
            <w:pPr>
              <w:pStyle w:val="26"/>
              <w:widowControl w:val="0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07D55643">
            <w:pPr>
              <w:pStyle w:val="26"/>
              <w:widowControl w:val="0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 w14:paraId="1683C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322F3F07">
            <w:pPr>
              <w:pStyle w:val="26"/>
              <w:widowControl w:val="0"/>
              <w:spacing w:before="140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71FC0CA5">
            <w:pPr>
              <w:pStyle w:val="26"/>
              <w:widowControl w:val="0"/>
              <w:spacing w:before="140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6EC31460">
            <w:pPr>
              <w:pStyle w:val="26"/>
              <w:widowControl w:val="0"/>
              <w:spacing w:before="140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0E3F3294">
            <w:pPr>
              <w:pStyle w:val="26"/>
              <w:widowControl w:val="0"/>
              <w:spacing w:before="140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14:paraId="56E2BA4A">
            <w:pPr>
              <w:pStyle w:val="26"/>
              <w:widowControl w:val="0"/>
              <w:spacing w:before="140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14:paraId="0D215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26C4AF1">
            <w:pPr>
              <w:pStyle w:val="26"/>
              <w:widowControl w:val="0"/>
              <w:spacing w:before="90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03F17B12">
            <w:pPr>
              <w:pStyle w:val="26"/>
              <w:widowControl w:val="0"/>
              <w:spacing w:before="89"/>
              <w:ind w:left="362"/>
              <w:rPr>
                <w:rFonts w:hint="default"/>
                <w:lang w:val="en-US"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613855E4">
            <w:pPr>
              <w:pStyle w:val="26"/>
              <w:widowControl w:val="0"/>
              <w:spacing w:before="60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70F00D25">
            <w:pPr>
              <w:pStyle w:val="26"/>
              <w:widowControl w:val="0"/>
              <w:spacing w:before="60" w:line="220" w:lineRule="auto"/>
              <w:ind w:left="551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  <w:tc>
          <w:tcPr>
            <w:tcW w:w="1562" w:type="dxa"/>
          </w:tcPr>
          <w:p w14:paraId="6A9F3EE2">
            <w:pPr>
              <w:pStyle w:val="26"/>
              <w:widowControl w:val="0"/>
              <w:spacing w:before="74" w:line="220" w:lineRule="auto"/>
              <w:ind w:left="476"/>
            </w:pPr>
            <w:r>
              <w:rPr>
                <w:spacing w:val="-3"/>
              </w:rPr>
              <w:t>史晓玲</w:t>
            </w:r>
          </w:p>
        </w:tc>
      </w:tr>
      <w:tr w14:paraId="7F255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EC12CEB">
            <w:pPr>
              <w:widowControl w:val="0"/>
            </w:pPr>
          </w:p>
        </w:tc>
        <w:tc>
          <w:tcPr>
            <w:tcW w:w="1558" w:type="dxa"/>
          </w:tcPr>
          <w:p w14:paraId="5034C823">
            <w:pPr>
              <w:widowControl w:val="0"/>
            </w:pPr>
          </w:p>
        </w:tc>
        <w:tc>
          <w:tcPr>
            <w:tcW w:w="2123" w:type="dxa"/>
          </w:tcPr>
          <w:p w14:paraId="706EB3CF">
            <w:pPr>
              <w:widowControl w:val="0"/>
            </w:pPr>
          </w:p>
        </w:tc>
        <w:tc>
          <w:tcPr>
            <w:tcW w:w="1699" w:type="dxa"/>
          </w:tcPr>
          <w:p w14:paraId="33426C3A">
            <w:pPr>
              <w:widowControl w:val="0"/>
            </w:pPr>
          </w:p>
        </w:tc>
        <w:tc>
          <w:tcPr>
            <w:tcW w:w="1562" w:type="dxa"/>
          </w:tcPr>
          <w:p w14:paraId="137BB66A">
            <w:pPr>
              <w:widowControl w:val="0"/>
            </w:pPr>
          </w:p>
        </w:tc>
      </w:tr>
      <w:tr w14:paraId="20DA6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4" w:type="dxa"/>
          </w:tcPr>
          <w:p w14:paraId="69310FE2">
            <w:pPr>
              <w:widowControl w:val="0"/>
            </w:pPr>
          </w:p>
        </w:tc>
        <w:tc>
          <w:tcPr>
            <w:tcW w:w="1558" w:type="dxa"/>
          </w:tcPr>
          <w:p w14:paraId="242591B6">
            <w:pPr>
              <w:widowControl w:val="0"/>
            </w:pPr>
          </w:p>
        </w:tc>
        <w:tc>
          <w:tcPr>
            <w:tcW w:w="2123" w:type="dxa"/>
          </w:tcPr>
          <w:p w14:paraId="1B6ACA22">
            <w:pPr>
              <w:widowControl w:val="0"/>
            </w:pPr>
          </w:p>
        </w:tc>
        <w:tc>
          <w:tcPr>
            <w:tcW w:w="1699" w:type="dxa"/>
          </w:tcPr>
          <w:p w14:paraId="086721AD">
            <w:pPr>
              <w:widowControl w:val="0"/>
            </w:pPr>
          </w:p>
        </w:tc>
        <w:tc>
          <w:tcPr>
            <w:tcW w:w="1562" w:type="dxa"/>
          </w:tcPr>
          <w:p w14:paraId="0276FA7D">
            <w:pPr>
              <w:widowControl w:val="0"/>
            </w:pPr>
          </w:p>
        </w:tc>
      </w:tr>
      <w:tr w14:paraId="3957E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1ABFDF74">
            <w:pPr>
              <w:widowControl w:val="0"/>
            </w:pPr>
          </w:p>
        </w:tc>
        <w:tc>
          <w:tcPr>
            <w:tcW w:w="1558" w:type="dxa"/>
          </w:tcPr>
          <w:p w14:paraId="15A93869">
            <w:pPr>
              <w:widowControl w:val="0"/>
            </w:pPr>
          </w:p>
        </w:tc>
        <w:tc>
          <w:tcPr>
            <w:tcW w:w="2123" w:type="dxa"/>
          </w:tcPr>
          <w:p w14:paraId="0AE4BE7C">
            <w:pPr>
              <w:widowControl w:val="0"/>
            </w:pPr>
          </w:p>
        </w:tc>
        <w:tc>
          <w:tcPr>
            <w:tcW w:w="1699" w:type="dxa"/>
          </w:tcPr>
          <w:p w14:paraId="666E1297">
            <w:pPr>
              <w:widowControl w:val="0"/>
            </w:pPr>
          </w:p>
        </w:tc>
        <w:tc>
          <w:tcPr>
            <w:tcW w:w="1562" w:type="dxa"/>
          </w:tcPr>
          <w:p w14:paraId="4B25F663">
            <w:pPr>
              <w:widowControl w:val="0"/>
            </w:pPr>
          </w:p>
        </w:tc>
      </w:tr>
    </w:tbl>
    <w:p w14:paraId="06AEFF6F">
      <w:pPr>
        <w:pStyle w:val="12"/>
        <w:widowControl w:val="0"/>
      </w:pPr>
    </w:p>
    <w:p w14:paraId="2BF52B09">
      <w:pPr>
        <w:widowControl w:val="0"/>
        <w:sectPr>
          <w:pgSz w:w="11906" w:h="16839"/>
          <w:pgMar w:top="1093" w:right="1457" w:bottom="0" w:left="1785" w:header="0" w:footer="0" w:gutter="0"/>
          <w:cols w:space="720" w:num="1"/>
        </w:sectPr>
      </w:pPr>
    </w:p>
    <w:p w14:paraId="4F84867B">
      <w:pPr>
        <w:pStyle w:val="12"/>
        <w:widowControl w:val="0"/>
        <w:spacing w:line="348" w:lineRule="auto"/>
      </w:pPr>
    </w:p>
    <w:sdt>
      <w:sdtPr>
        <w:rPr>
          <w:rFonts w:ascii="宋体" w:hAnsi="宋体"/>
        </w:rPr>
        <w:id w:val="147456730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Cs w:val="20"/>
        </w:rPr>
      </w:sdtEndPr>
      <w:sdtContent>
        <w:p w14:paraId="75039425">
          <w:pPr>
            <w:widowControl w:val="0"/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1D8FD4B1">
          <w:pPr>
            <w:pStyle w:val="17"/>
            <w:tabs>
              <w:tab w:val="right" w:leader="dot" w:pos="8893"/>
            </w:tabs>
          </w:pPr>
          <w:bookmarkStart w:id="98" w:name="_GoBack"/>
          <w:bookmarkEnd w:id="98"/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_Toc2969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2026年</w:t>
          </w:r>
          <w:r>
            <w:t>运维服务能力管理总结报告</w:t>
          </w:r>
          <w:r>
            <w:t xml:space="preserve"> </w:t>
          </w:r>
          <w:r>
            <w:rPr>
              <w:rFonts w:hint="eastAsia"/>
              <w:lang w:val="en-US" w:eastAsia="zh-CN"/>
            </w:rPr>
            <w:t>(第一季度)</w:t>
          </w:r>
          <w:r>
            <w:tab/>
          </w:r>
          <w:r>
            <w:fldChar w:fldCharType="begin"/>
          </w:r>
          <w:r>
            <w:instrText xml:space="preserve"> PAGEREF _Toc2969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B076E20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_Toc9918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_Toc9918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4B60F78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_Toc721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7219494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_Toc32195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年度目标完成情况</w:t>
          </w:r>
          <w:r>
            <w:tab/>
          </w:r>
          <w:r>
            <w:fldChar w:fldCharType="begin"/>
          </w:r>
          <w:r>
            <w:instrText xml:space="preserve"> PAGEREF _Toc32195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947C97C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_Toc22624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经营目标</w:t>
          </w:r>
          <w:r>
            <w:tab/>
          </w:r>
          <w:r>
            <w:fldChar w:fldCharType="begin"/>
          </w:r>
          <w:r>
            <w:instrText xml:space="preserve"> PAGEREF _Toc22624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84D9167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_Toc15199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体系建设目标</w:t>
          </w:r>
          <w:r>
            <w:tab/>
          </w:r>
          <w:r>
            <w:fldChar w:fldCharType="begin"/>
          </w:r>
          <w:r>
            <w:instrText xml:space="preserve"> PAGEREF _Toc15199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06FAB2F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_Toc31312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人员管理总结</w:t>
          </w:r>
          <w:r>
            <w:tab/>
          </w:r>
          <w:r>
            <w:fldChar w:fldCharType="begin"/>
          </w:r>
          <w:r>
            <w:instrText xml:space="preserve"> PAGEREF _Toc31312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1710520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_Toc1117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人员招聘情况</w:t>
          </w:r>
          <w:r>
            <w:tab/>
          </w:r>
          <w:r>
            <w:fldChar w:fldCharType="begin"/>
          </w:r>
          <w:r>
            <w:instrText xml:space="preserve"> PAGEREF _Toc1117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CBA0548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_Toc21896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招聘计划与完成情况</w:t>
          </w:r>
          <w:r>
            <w:tab/>
          </w:r>
          <w:r>
            <w:fldChar w:fldCharType="begin"/>
          </w:r>
          <w:r>
            <w:instrText xml:space="preserve"> PAGEREF _Toc21896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67F693F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_Toc2121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招聘渠道与效果</w:t>
          </w:r>
          <w:r>
            <w:tab/>
          </w:r>
          <w:r>
            <w:fldChar w:fldCharType="begin"/>
          </w:r>
          <w:r>
            <w:instrText xml:space="preserve"> PAGEREF _Toc2121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141025A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_Toc24751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人员储备情况</w:t>
          </w:r>
          <w:r>
            <w:tab/>
          </w:r>
          <w:r>
            <w:fldChar w:fldCharType="begin"/>
          </w:r>
          <w:r>
            <w:instrText xml:space="preserve"> PAGEREF _Toc24751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F9FBD51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_Toc6958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储备计划与完成情况</w:t>
          </w:r>
          <w:r>
            <w:tab/>
          </w:r>
          <w:r>
            <w:fldChar w:fldCharType="begin"/>
          </w:r>
          <w:r>
            <w:instrText xml:space="preserve"> PAGEREF _Toc6958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0C0669B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_Toc8074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人员培训情况</w:t>
          </w:r>
          <w:r>
            <w:tab/>
          </w:r>
          <w:r>
            <w:fldChar w:fldCharType="begin"/>
          </w:r>
          <w:r>
            <w:instrText xml:space="preserve"> PAGEREF _Toc8074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4986958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_Toc14879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3.3.1. </w:t>
          </w:r>
          <w:r>
            <w:t>培训计划执行情况</w:t>
          </w:r>
          <w:r>
            <w:tab/>
          </w:r>
          <w:r>
            <w:fldChar w:fldCharType="begin"/>
          </w:r>
          <w:r>
            <w:instrText xml:space="preserve"> PAGEREF _Toc14879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2D0C6F2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_Toc27089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3.3.2.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_Toc27089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3A65D56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_Toc14620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人员备份情况</w:t>
          </w:r>
          <w:r>
            <w:tab/>
          </w:r>
          <w:r>
            <w:fldChar w:fldCharType="begin"/>
          </w:r>
          <w:r>
            <w:instrText xml:space="preserve"> PAGEREF _Toc14620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62E5E72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_Toc23046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3.4.1. </w:t>
          </w:r>
          <w:r>
            <w:t>备份计划执行情况</w:t>
          </w:r>
          <w:r>
            <w:tab/>
          </w:r>
          <w:r>
            <w:fldChar w:fldCharType="begin"/>
          </w:r>
          <w:r>
            <w:instrText xml:space="preserve"> PAGEREF _Toc23046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2B0CE30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_Toc3350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3.4.2. </w:t>
          </w:r>
          <w:r>
            <w:t>备份完成情况</w:t>
          </w:r>
          <w:r>
            <w:tab/>
          </w:r>
          <w:r>
            <w:fldChar w:fldCharType="begin"/>
          </w:r>
          <w:r>
            <w:instrText xml:space="preserve"> PAGEREF _Toc3350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1402C53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_Toc11240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绩效考核情况</w:t>
          </w:r>
          <w:r>
            <w:tab/>
          </w:r>
          <w:r>
            <w:fldChar w:fldCharType="begin"/>
          </w:r>
          <w:r>
            <w:instrText xml:space="preserve"> PAGEREF _Toc11240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B339525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_Toc31519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3.5.1. </w:t>
          </w:r>
          <w:r>
            <w:t>绩效考核执行情况</w:t>
          </w:r>
          <w:r>
            <w:tab/>
          </w:r>
          <w:r>
            <w:fldChar w:fldCharType="begin"/>
          </w:r>
          <w:r>
            <w:instrText xml:space="preserve"> PAGEREF _Toc31519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DC96B7D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_Toc20323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3.5.2. </w:t>
          </w:r>
          <w:r>
            <w:t>考核结果应用</w:t>
          </w:r>
          <w:r>
            <w:tab/>
          </w:r>
          <w:r>
            <w:fldChar w:fldCharType="begin"/>
          </w:r>
          <w:r>
            <w:instrText xml:space="preserve"> PAGEREF _Toc20323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CFDD4EC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_Toc32264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3.6. </w:t>
          </w:r>
          <w:r>
            <w:rPr>
              <w:rFonts w:hint="eastAsia"/>
              <w:lang w:val="en-US" w:eastAsia="zh-CN"/>
            </w:rPr>
            <w:t>技能评价情况</w:t>
          </w:r>
          <w:r>
            <w:tab/>
          </w:r>
          <w:r>
            <w:fldChar w:fldCharType="begin"/>
          </w:r>
          <w:r>
            <w:instrText xml:space="preserve"> PAGEREF _Toc32264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E93ACA3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_Toc23610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资源管理总结</w:t>
          </w:r>
          <w:r>
            <w:tab/>
          </w:r>
          <w:r>
            <w:fldChar w:fldCharType="begin"/>
          </w:r>
          <w:r>
            <w:instrText xml:space="preserve"> PAGEREF _Toc23610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BDD2774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_Toc32247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运维工具</w:t>
          </w:r>
          <w:r>
            <w:tab/>
          </w:r>
          <w:r>
            <w:fldChar w:fldCharType="begin"/>
          </w:r>
          <w:r>
            <w:instrText xml:space="preserve"> PAGEREF _Toc32247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E3A1E1F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_Toc13239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服务台建设</w:t>
          </w:r>
          <w:r>
            <w:tab/>
          </w:r>
          <w:r>
            <w:fldChar w:fldCharType="begin"/>
          </w:r>
          <w:r>
            <w:instrText xml:space="preserve"> PAGEREF _Toc13239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EDFA16F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_Toc4548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备品备件</w:t>
          </w:r>
          <w:r>
            <w:tab/>
          </w:r>
          <w:r>
            <w:fldChar w:fldCharType="begin"/>
          </w:r>
          <w:r>
            <w:instrText xml:space="preserve"> PAGEREF _Toc4548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0AA716A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_Toc18724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  <w:lang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_Toc18724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137ECFD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eastAsia="zh-CN"/>
            </w:rPr>
            <w:t xml:space="preserve">4.5. </w:t>
          </w:r>
          <w:r>
            <w:rPr>
              <w:rFonts w:hint="eastAsia"/>
              <w:lang w:eastAsia="zh-CN"/>
            </w:rPr>
            <w:t>最终软件库</w:t>
          </w:r>
          <w:r>
            <w:tab/>
          </w:r>
          <w:r>
            <w:fldChar w:fldCharType="begin"/>
          </w:r>
          <w:r>
            <w:instrText xml:space="preserve"> PAGEREF _Toc26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9CE03FB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_Toc3814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eastAsia="zh-CN"/>
            </w:rPr>
            <w:t xml:space="preserve">4.6. </w:t>
          </w:r>
          <w:r>
            <w:rPr>
              <w:rFonts w:hint="eastAsia"/>
              <w:lang w:eastAsia="zh-CN"/>
            </w:rPr>
            <w:t>服务数据</w:t>
          </w:r>
          <w:r>
            <w:tab/>
          </w:r>
          <w:r>
            <w:fldChar w:fldCharType="begin"/>
          </w:r>
          <w:r>
            <w:instrText xml:space="preserve"> PAGEREF _Toc3814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8A76E40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_Toc9897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技术研发成果总结</w:t>
          </w:r>
          <w:r>
            <w:tab/>
          </w:r>
          <w:r>
            <w:fldChar w:fldCharType="begin"/>
          </w:r>
          <w:r>
            <w:instrText xml:space="preserve"> PAGEREF _Toc9897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23C2B6A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_Toc13663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运维管理平台功能优化</w:t>
          </w:r>
          <w:r>
            <w:tab/>
          </w:r>
          <w:r>
            <w:fldChar w:fldCharType="begin"/>
          </w:r>
          <w:r>
            <w:instrText xml:space="preserve"> PAGEREF _Toc13663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AAF6481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_Toc24561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第一季度完成工作</w:t>
          </w:r>
          <w:r>
            <w:tab/>
          </w:r>
          <w:r>
            <w:fldChar w:fldCharType="begin"/>
          </w:r>
          <w:r>
            <w:instrText xml:space="preserve"> PAGEREF _Toc24561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69F67D6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_Toc4621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进度符合性</w:t>
          </w:r>
          <w:r>
            <w:tab/>
          </w:r>
          <w:r>
            <w:fldChar w:fldCharType="begin"/>
          </w:r>
          <w:r>
            <w:instrText xml:space="preserve"> PAGEREF _Toc4621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84AD7E2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_Toc1139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监控告警平台升级</w:t>
          </w:r>
          <w:r>
            <w:tab/>
          </w:r>
          <w:r>
            <w:fldChar w:fldCharType="begin"/>
          </w:r>
          <w:r>
            <w:instrText xml:space="preserve"> PAGEREF _Toc1139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9F1AD4A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_Toc30850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第一季度完成工作</w:t>
          </w:r>
          <w:r>
            <w:tab/>
          </w:r>
          <w:r>
            <w:fldChar w:fldCharType="begin"/>
          </w:r>
          <w:r>
            <w:instrText xml:space="preserve"> PAGEREF _Toc30850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57BDC98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_Toc19011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进度符合性</w:t>
          </w:r>
          <w:r>
            <w:tab/>
          </w:r>
          <w:r>
            <w:fldChar w:fldCharType="begin"/>
          </w:r>
          <w:r>
            <w:instrText xml:space="preserve"> PAGEREF _Toc19011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143346A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_Toc23585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技术手册研发进度</w:t>
          </w:r>
          <w:r>
            <w:tab/>
          </w:r>
          <w:r>
            <w:fldChar w:fldCharType="begin"/>
          </w:r>
          <w:r>
            <w:instrText xml:space="preserve"> PAGEREF _Toc23585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FEA06BE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_Toc7764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新技术储备</w:t>
          </w:r>
          <w:r>
            <w:tab/>
          </w:r>
          <w:r>
            <w:fldChar w:fldCharType="begin"/>
          </w:r>
          <w:r>
            <w:instrText xml:space="preserve"> PAGEREF _Toc7764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58335ED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_Toc2248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自动化运维技术</w:t>
          </w:r>
          <w:r>
            <w:tab/>
          </w:r>
          <w:r>
            <w:fldChar w:fldCharType="begin"/>
          </w:r>
          <w:r>
            <w:instrText xml:space="preserve"> PAGEREF _Toc2248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6F006DA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_Toc11506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容器化与云原生技术</w:t>
          </w:r>
          <w:r>
            <w:tab/>
          </w:r>
          <w:r>
            <w:fldChar w:fldCharType="begin"/>
          </w:r>
          <w:r>
            <w:instrText xml:space="preserve"> PAGEREF _Toc11506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E9076E8">
          <w:pPr>
            <w:pStyle w:val="13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_Toc29139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AIOps智能运维</w:t>
          </w:r>
          <w:r>
            <w:tab/>
          </w:r>
          <w:r>
            <w:fldChar w:fldCharType="begin"/>
          </w:r>
          <w:r>
            <w:instrText xml:space="preserve"> PAGEREF _Toc29139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4D19BA4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_Toc15175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研发经费执行情况</w:t>
          </w:r>
          <w:r>
            <w:tab/>
          </w:r>
          <w:r>
            <w:fldChar w:fldCharType="begin"/>
          </w:r>
          <w:r>
            <w:instrText xml:space="preserve"> PAGEREF _Toc15175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8778CA3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_Toc21012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过程管理报告</w:t>
          </w:r>
          <w:r>
            <w:tab/>
          </w:r>
          <w:r>
            <w:fldChar w:fldCharType="begin"/>
          </w:r>
          <w:r>
            <w:instrText xml:space="preserve"> PAGEREF _Toc21012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B38136F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_Toc16869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eastAsia="zh-CN"/>
            </w:rPr>
            <w:t xml:space="preserve">7.1. </w:t>
          </w:r>
          <w:r>
            <w:rPr>
              <w:rFonts w:hint="eastAsia"/>
              <w:lang w:eastAsia="zh-CN"/>
            </w:rPr>
            <w:t>过程框架设计</w:t>
          </w:r>
          <w:r>
            <w:tab/>
          </w:r>
          <w:r>
            <w:fldChar w:fldCharType="begin"/>
          </w:r>
          <w:r>
            <w:instrText xml:space="preserve"> PAGEREF _Toc16869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75522BA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_Toc27831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服务级别管理</w:t>
          </w:r>
          <w:r>
            <w:tab/>
          </w:r>
          <w:r>
            <w:fldChar w:fldCharType="begin"/>
          </w:r>
          <w:r>
            <w:instrText xml:space="preserve"> PAGEREF _Toc27831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6D5B79D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_Toc30881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t>服务报告管理</w:t>
          </w:r>
          <w:r>
            <w:tab/>
          </w:r>
          <w:r>
            <w:fldChar w:fldCharType="begin"/>
          </w:r>
          <w:r>
            <w:instrText xml:space="preserve"> PAGEREF _Toc30881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23A9FF2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_Toc32306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7.4. </w:t>
          </w:r>
          <w:r>
            <w:t>事件管理</w:t>
          </w:r>
          <w:r>
            <w:tab/>
          </w:r>
          <w:r>
            <w:fldChar w:fldCharType="begin"/>
          </w:r>
          <w:r>
            <w:instrText xml:space="preserve"> PAGEREF _Toc32306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1037C2E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_Toc17989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7.5. </w:t>
          </w:r>
          <w:r>
            <w:t>问题管理</w:t>
          </w:r>
          <w:r>
            <w:tab/>
          </w:r>
          <w:r>
            <w:fldChar w:fldCharType="begin"/>
          </w:r>
          <w:r>
            <w:instrText xml:space="preserve"> PAGEREF _Toc17989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2559E25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_Toc9638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7.6. </w:t>
          </w:r>
          <w:r>
            <w:t>变更管理</w:t>
          </w:r>
          <w:r>
            <w:tab/>
          </w:r>
          <w:r>
            <w:fldChar w:fldCharType="begin"/>
          </w:r>
          <w:r>
            <w:instrText xml:space="preserve"> PAGEREF _Toc9638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43261F6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_Toc23272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7.7. </w:t>
          </w:r>
          <w:r>
            <w:t>发布</w:t>
          </w:r>
          <w:r>
            <w:rPr>
              <w:rFonts w:hint="eastAsia"/>
              <w:lang w:eastAsia="zh-CN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_Toc23272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322AEC0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_Toc4704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7.8. </w:t>
          </w:r>
          <w:r>
            <w:t>配置管理</w:t>
          </w:r>
          <w:r>
            <w:tab/>
          </w:r>
          <w:r>
            <w:fldChar w:fldCharType="begin"/>
          </w:r>
          <w:r>
            <w:instrText xml:space="preserve"> PAGEREF _Toc4704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67E5C83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_Toc12780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eastAsia="zh-CN"/>
            </w:rPr>
            <w:t xml:space="preserve">7.9. </w:t>
          </w:r>
          <w:r>
            <w:rPr>
              <w:rFonts w:hint="eastAsia"/>
              <w:lang w:eastAsia="zh-CN"/>
            </w:rPr>
            <w:t>服务可用性和连续性</w:t>
          </w:r>
          <w:r>
            <w:tab/>
          </w:r>
          <w:r>
            <w:fldChar w:fldCharType="begin"/>
          </w:r>
          <w:r>
            <w:instrText xml:space="preserve"> PAGEREF _Toc12780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BF3186A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_Toc24161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  <w:lang w:eastAsia="zh-CN"/>
            </w:rPr>
            <w:t xml:space="preserve">7.10. </w:t>
          </w:r>
          <w:r>
            <w:rPr>
              <w:rFonts w:hint="eastAsia"/>
              <w:lang w:eastAsia="zh-CN"/>
            </w:rPr>
            <w:t>容量管理</w:t>
          </w:r>
          <w:r>
            <w:tab/>
          </w:r>
          <w:r>
            <w:fldChar w:fldCharType="begin"/>
          </w:r>
          <w:r>
            <w:instrText xml:space="preserve"> PAGEREF _Toc24161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C53FBE3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_Toc24809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7.11. </w:t>
          </w:r>
          <w:r>
            <w:t>信息安全管理</w:t>
          </w:r>
          <w:r>
            <w:tab/>
          </w:r>
          <w:r>
            <w:fldChar w:fldCharType="begin"/>
          </w:r>
          <w:r>
            <w:instrText xml:space="preserve"> PAGEREF _Toc24809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F4E87F2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_Toc1549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7.12. </w:t>
          </w:r>
          <w:r>
            <w:t>过程管理 KPI 统计</w:t>
          </w:r>
          <w:r>
            <w:tab/>
          </w:r>
          <w:r>
            <w:fldChar w:fldCharType="begin"/>
          </w:r>
          <w:r>
            <w:instrText xml:space="preserve"> PAGEREF _Toc1549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E657A50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_Toc794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交付管理</w:t>
          </w:r>
          <w:r>
            <w:tab/>
          </w:r>
          <w:r>
            <w:fldChar w:fldCharType="begin"/>
          </w:r>
          <w:r>
            <w:instrText xml:space="preserve"> PAGEREF _Toc794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A160C88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_Toc11894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应急响应</w:t>
          </w:r>
          <w:r>
            <w:tab/>
          </w:r>
          <w:r>
            <w:fldChar w:fldCharType="begin"/>
          </w:r>
          <w:r>
            <w:instrText xml:space="preserve"> PAGEREF _Toc11894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3D3C6AC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_Toc19717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质量管理</w:t>
          </w:r>
          <w:r>
            <w:tab/>
          </w:r>
          <w:r>
            <w:fldChar w:fldCharType="begin"/>
          </w:r>
          <w:r>
            <w:instrText xml:space="preserve"> PAGEREF _Toc19717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85DBDE2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_Toc14048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10.1. </w:t>
          </w:r>
          <w:r>
            <w:t>内审</w:t>
          </w:r>
          <w:r>
            <w:tab/>
          </w:r>
          <w:r>
            <w:fldChar w:fldCharType="begin"/>
          </w:r>
          <w:r>
            <w:instrText xml:space="preserve"> PAGEREF _Toc14048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C06129D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_Toc29290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10.2. </w:t>
          </w:r>
          <w:r>
            <w:t>管理评审</w:t>
          </w:r>
          <w:r>
            <w:tab/>
          </w:r>
          <w:r>
            <w:fldChar w:fldCharType="begin"/>
          </w:r>
          <w:r>
            <w:instrText xml:space="preserve"> PAGEREF _Toc29290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F4F8608">
          <w:pPr>
            <w:pStyle w:val="18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_Toc14184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10.3. </w:t>
          </w:r>
          <w:r>
            <w:t>客户满意度调查</w:t>
          </w:r>
          <w:r>
            <w:tab/>
          </w:r>
          <w:r>
            <w:fldChar w:fldCharType="begin"/>
          </w:r>
          <w:r>
            <w:instrText xml:space="preserve"> PAGEREF _Toc14184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CAFC977">
          <w:pPr>
            <w:pStyle w:val="17"/>
            <w:tabs>
              <w:tab w:val="right" w:leader="dot" w:pos="8893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_Toc6348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11. </w:t>
          </w:r>
          <w:r>
            <w:t>总结与改进</w:t>
          </w:r>
          <w:r>
            <w:tab/>
          </w:r>
          <w:r>
            <w:fldChar w:fldCharType="begin"/>
          </w:r>
          <w:r>
            <w:instrText xml:space="preserve"> PAGEREF _Toc6348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AB3158A">
          <w:pPr>
            <w:widowControl w:val="0"/>
            <w:spacing w:line="220" w:lineRule="auto"/>
            <w:rPr>
              <w:rFonts w:ascii="Calibri" w:hAnsi="Calibri" w:eastAsia="Calibri" w:cs="Calibri"/>
              <w:szCs w:val="20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061CDAC7">
      <w:pPr>
        <w:widowControl w:val="0"/>
        <w:spacing w:line="220" w:lineRule="auto"/>
        <w:rPr>
          <w:rFonts w:ascii="Calibri" w:hAnsi="Calibri" w:eastAsia="Calibri" w:cs="Calibri"/>
          <w:szCs w:val="20"/>
        </w:rPr>
        <w:sectPr>
          <w:footerReference r:id="rId5" w:type="default"/>
          <w:pgSz w:w="11906" w:h="16839"/>
          <w:pgMar w:top="1431" w:right="1245" w:bottom="1465" w:left="1768" w:header="0" w:footer="1233" w:gutter="0"/>
          <w:cols w:space="720" w:num="1"/>
        </w:sectPr>
      </w:pPr>
    </w:p>
    <w:p w14:paraId="59A30820">
      <w:pPr>
        <w:pStyle w:val="12"/>
        <w:widowControl w:val="0"/>
        <w:spacing w:line="297" w:lineRule="auto"/>
      </w:pPr>
    </w:p>
    <w:p w14:paraId="5062BDC3">
      <w:pPr>
        <w:pStyle w:val="27"/>
        <w:keepNext w:val="0"/>
        <w:keepLines w:val="0"/>
        <w:widowControl w:val="0"/>
      </w:pPr>
      <w:bookmarkStart w:id="2" w:name="_Toc721"/>
      <w:r>
        <w:t>概述</w:t>
      </w:r>
      <w:bookmarkEnd w:id="2"/>
    </w:p>
    <w:p w14:paraId="56E67014">
      <w:pPr>
        <w:pStyle w:val="28"/>
        <w:rPr>
          <w:rFonts w:hint="eastAsia"/>
        </w:rPr>
      </w:pPr>
      <w:r>
        <w:rPr>
          <w:rFonts w:hint="eastAsia"/>
        </w:rPr>
        <w:t>本报告对2026年第一季度运维服务能力管理计划的执行情况进行总结。第一季度为能力管理工作的启动阶段，主要完成了年度各项计划的制定、发布和宣贯，各项管理活动按计划有序推进。</w:t>
      </w:r>
    </w:p>
    <w:p w14:paraId="6BCE75E3">
      <w:pPr>
        <w:pStyle w:val="28"/>
        <w:rPr>
          <w:rFonts w:hint="eastAsia"/>
        </w:rPr>
      </w:pPr>
      <w:r>
        <w:rPr>
          <w:rFonts w:hint="eastAsia"/>
        </w:rPr>
        <w:t>2026年度能力管理工作整体按照《2026年度运维服务能力管理计划》推进，重点围绕人员、资源、技术、过程、交付、应急、质量七大板块开展能力建设工作。第一季度各项工作进展顺利，各项KPI指标均达到目标要求。</w:t>
      </w:r>
    </w:p>
    <w:p w14:paraId="530F85B2">
      <w:pPr>
        <w:pStyle w:val="28"/>
      </w:pPr>
      <w:r>
        <w:rPr>
          <w:rFonts w:hint="eastAsia"/>
        </w:rPr>
        <w:t>截止2026年3月31日，对能力管理的指标均已达标，详见《2026年运维服务能力管理指标达成情况（第一季度）》</w:t>
      </w:r>
    </w:p>
    <w:p w14:paraId="681483DC">
      <w:pPr>
        <w:pStyle w:val="27"/>
        <w:keepNext w:val="0"/>
        <w:keepLines w:val="0"/>
        <w:widowControl w:val="0"/>
      </w:pPr>
      <w:bookmarkStart w:id="3" w:name="_Toc32195"/>
      <w:r>
        <w:rPr>
          <w:rFonts w:hint="eastAsia"/>
          <w:lang w:val="en-US" w:eastAsia="zh-CN"/>
        </w:rPr>
        <w:t>年度目标完成情况</w:t>
      </w:r>
      <w:bookmarkEnd w:id="3"/>
    </w:p>
    <w:p w14:paraId="0E45689F">
      <w:pPr>
        <w:pStyle w:val="29"/>
        <w:bidi w:val="0"/>
        <w:rPr>
          <w:rFonts w:hint="default"/>
          <w:lang w:val="en-US" w:eastAsia="zh-CN"/>
        </w:rPr>
      </w:pPr>
      <w:bookmarkStart w:id="4" w:name="_Toc22624"/>
      <w:r>
        <w:rPr>
          <w:rFonts w:hint="eastAsia"/>
          <w:lang w:val="en-US" w:eastAsia="zh-CN"/>
        </w:rPr>
        <w:t>经营目标</w:t>
      </w:r>
      <w:bookmarkEnd w:id="4"/>
    </w:p>
    <w:p w14:paraId="7F917755">
      <w:pPr>
        <w:pStyle w:val="28"/>
        <w:bidi w:val="0"/>
      </w:pPr>
      <w:r>
        <w:t>2026年度运维业务收入目标为1500万元。第一季度为业务启动阶段，各项业务按计划推进，为全年目标达成奠定基础。</w:t>
      </w:r>
    </w:p>
    <w:p w14:paraId="4E16C4A0">
      <w:pPr>
        <w:pStyle w:val="29"/>
        <w:bidi w:val="0"/>
        <w:rPr>
          <w:rFonts w:hint="default"/>
          <w:lang w:val="en-US" w:eastAsia="zh-CN"/>
        </w:rPr>
      </w:pPr>
      <w:bookmarkStart w:id="5" w:name="_Toc15199"/>
      <w:r>
        <w:rPr>
          <w:rFonts w:hint="eastAsia"/>
          <w:lang w:val="en-US" w:eastAsia="zh-CN"/>
        </w:rPr>
        <w:t>体系建设目标</w:t>
      </w:r>
      <w:bookmarkEnd w:id="5"/>
    </w:p>
    <w:tbl>
      <w:tblPr>
        <w:tblStyle w:val="21"/>
        <w:tblW w:w="90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5"/>
        <w:gridCol w:w="4725"/>
        <w:gridCol w:w="1141"/>
      </w:tblGrid>
      <w:tr w14:paraId="4CA54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C752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目标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722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第一季度进展</w:t>
            </w:r>
          </w:p>
        </w:tc>
        <w:tc>
          <w:tcPr>
            <w:tcW w:w="11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7E78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6C5C7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B10C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完成ITSS体系的深化落地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A852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完成年度计划制定和发布，启动体系宣贯培训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910B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✅ 按计划</w:t>
            </w:r>
          </w:p>
        </w:tc>
      </w:tr>
      <w:tr w14:paraId="234DB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1F92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持续优化运维服务能力管理体系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CE4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完成体系文件修订3份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4AFD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✅ 按计划</w:t>
            </w:r>
          </w:p>
        </w:tc>
      </w:tr>
      <w:tr w14:paraId="65C24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2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A045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确保各项KPI指标全面达成</w:t>
            </w:r>
          </w:p>
        </w:tc>
        <w:tc>
          <w:tcPr>
            <w:tcW w:w="47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23F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第一季度指标全部达标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57D4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✅ 达成</w:t>
            </w:r>
          </w:p>
        </w:tc>
      </w:tr>
    </w:tbl>
    <w:p w14:paraId="5DE36F41">
      <w:pPr>
        <w:pStyle w:val="27"/>
        <w:keepNext w:val="0"/>
        <w:keepLines w:val="0"/>
        <w:widowControl w:val="0"/>
      </w:pPr>
      <w:bookmarkStart w:id="6" w:name="_Toc31312"/>
      <w:r>
        <w:t>人员管理总结</w:t>
      </w:r>
      <w:bookmarkEnd w:id="6"/>
    </w:p>
    <w:p w14:paraId="423CBD55">
      <w:pPr>
        <w:pStyle w:val="29"/>
        <w:bidi w:val="0"/>
        <w:rPr>
          <w:rFonts w:hint="default"/>
          <w:lang w:val="en-US" w:eastAsia="zh-CN"/>
        </w:rPr>
      </w:pPr>
      <w:bookmarkStart w:id="7" w:name="_Toc1117"/>
      <w:r>
        <w:rPr>
          <w:rFonts w:hint="eastAsia"/>
          <w:lang w:val="en-US" w:eastAsia="zh-CN"/>
        </w:rPr>
        <w:t>人员招聘情况</w:t>
      </w:r>
      <w:bookmarkEnd w:id="7"/>
    </w:p>
    <w:p w14:paraId="05DDA098">
      <w:pPr>
        <w:widowControl w:val="0"/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结合202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6</w:t>
      </w:r>
      <w:r>
        <w:rPr>
          <w:rFonts w:ascii="宋体" w:hAnsi="宋体" w:cs="宋体"/>
          <w:sz w:val="24"/>
          <w:szCs w:val="24"/>
        </w:rPr>
        <w:t>年公司人力资源工作计划，根据202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6</w:t>
      </w:r>
      <w:r>
        <w:rPr>
          <w:rFonts w:ascii="宋体" w:hAnsi="宋体" w:cs="宋体"/>
          <w:sz w:val="24"/>
          <w:szCs w:val="24"/>
        </w:rPr>
        <w:t>年度工作实际开展情况，</w:t>
      </w:r>
      <w:r>
        <w:rPr>
          <w:rFonts w:hint="eastAsia" w:ascii="宋体" w:hAnsi="宋体" w:cs="宋体"/>
          <w:sz w:val="24"/>
          <w:szCs w:val="24"/>
          <w:lang w:eastAsia="zh-CN"/>
        </w:rPr>
        <w:t>截至202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cs="宋体"/>
          <w:sz w:val="24"/>
          <w:szCs w:val="24"/>
          <w:lang w:eastAsia="zh-CN"/>
        </w:rPr>
        <w:t>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cs="宋体"/>
          <w:sz w:val="24"/>
          <w:szCs w:val="24"/>
          <w:lang w:eastAsia="zh-CN"/>
        </w:rPr>
        <w:t>月底</w:t>
      </w:r>
      <w:r>
        <w:rPr>
          <w:rFonts w:ascii="宋体" w:hAnsi="宋体" w:cs="宋体"/>
          <w:sz w:val="24"/>
          <w:szCs w:val="24"/>
        </w:rPr>
        <w:t>公司人力资源工作做以下总结。</w:t>
      </w:r>
    </w:p>
    <w:p w14:paraId="2BEC8843">
      <w:pPr>
        <w:pStyle w:val="30"/>
        <w:bidi w:val="0"/>
      </w:pPr>
      <w:bookmarkStart w:id="8" w:name="_Toc14501"/>
      <w:bookmarkStart w:id="9" w:name="heading_4"/>
      <w:bookmarkStart w:id="10" w:name="_Toc21896"/>
      <w:r>
        <w:t>招聘计划与完成情况</w:t>
      </w:r>
      <w:bookmarkEnd w:id="8"/>
      <w:bookmarkEnd w:id="9"/>
      <w:bookmarkEnd w:id="10"/>
    </w:p>
    <w:p w14:paraId="78FFDC08">
      <w:pPr>
        <w:pStyle w:val="28"/>
        <w:bidi w:val="0"/>
      </w:pPr>
      <w:r>
        <w:t>根据《2026年度运维相关人员管理计划》，第一季度计划招聘运维实施工程师2人，预计到岗日期为2026年3月。</w:t>
      </w:r>
    </w:p>
    <w:p w14:paraId="6CD56A51">
      <w:pPr>
        <w:pStyle w:val="28"/>
        <w:bidi w:val="0"/>
      </w:pPr>
      <w:r>
        <w:t>截止2026年3月31日，已完成2名运维实施工程师的招聘工作，人员招聘到岗率为100%，达到考核指标要求（≥90%）。具体招聘完成情况如下：</w:t>
      </w:r>
    </w:p>
    <w:p w14:paraId="0AE224A7">
      <w:pPr>
        <w:pStyle w:val="28"/>
        <w:bidi w:val="0"/>
      </w:pPr>
    </w:p>
    <w:tbl>
      <w:tblPr>
        <w:tblStyle w:val="21"/>
        <w:tblW w:w="910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3"/>
        <w:gridCol w:w="1519"/>
        <w:gridCol w:w="1519"/>
        <w:gridCol w:w="2128"/>
        <w:gridCol w:w="1520"/>
      </w:tblGrid>
      <w:tr w14:paraId="282D59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B5CA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5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E99E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招聘人数</w:t>
            </w:r>
          </w:p>
        </w:tc>
        <w:tc>
          <w:tcPr>
            <w:tcW w:w="15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8B73F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21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F2B24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预计到岗日期</w:t>
            </w:r>
          </w:p>
        </w:tc>
        <w:tc>
          <w:tcPr>
            <w:tcW w:w="15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6FDB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51F9AC8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989EF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运维实施工程师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D17A4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62CF2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综合部</w:t>
            </w:r>
          </w:p>
        </w:tc>
        <w:tc>
          <w:tcPr>
            <w:tcW w:w="2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3B20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A3A9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37523E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E416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运维实施工程师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AF95E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73E2E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综合部</w:t>
            </w:r>
          </w:p>
        </w:tc>
        <w:tc>
          <w:tcPr>
            <w:tcW w:w="21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5D6CF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0CB9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</w:tbl>
    <w:p w14:paraId="1BCC049B">
      <w:pPr>
        <w:pStyle w:val="30"/>
        <w:bidi w:val="0"/>
      </w:pPr>
      <w:bookmarkStart w:id="11" w:name="_Toc17704"/>
      <w:bookmarkStart w:id="12" w:name="heading_5"/>
      <w:bookmarkStart w:id="13" w:name="_Toc2121"/>
      <w:r>
        <w:t>招聘渠道与效果</w:t>
      </w:r>
      <w:bookmarkEnd w:id="11"/>
      <w:bookmarkEnd w:id="12"/>
      <w:bookmarkEnd w:id="13"/>
    </w:p>
    <w:p w14:paraId="553A2603">
      <w:pPr>
        <w:pStyle w:val="28"/>
        <w:bidi w:val="0"/>
      </w:pPr>
      <w:r>
        <w:t>本季度招聘主要通过智联招聘、前程无忧等网络招聘平台进行，同时启动了校园招聘的准备工作，为后续季度的人才引进奠定基础。</w:t>
      </w:r>
    </w:p>
    <w:p w14:paraId="68CBF7FA">
      <w:pPr>
        <w:pStyle w:val="29"/>
        <w:bidi w:val="0"/>
        <w:rPr>
          <w:rFonts w:hint="default"/>
          <w:lang w:val="en-US" w:eastAsia="zh-CN"/>
        </w:rPr>
      </w:pPr>
      <w:bookmarkStart w:id="14" w:name="_Toc24751"/>
      <w:r>
        <w:rPr>
          <w:rFonts w:hint="eastAsia"/>
          <w:lang w:val="en-US" w:eastAsia="zh-CN"/>
        </w:rPr>
        <w:t>人员储备情况</w:t>
      </w:r>
      <w:bookmarkEnd w:id="14"/>
    </w:p>
    <w:p w14:paraId="74323AA2">
      <w:pPr>
        <w:pStyle w:val="30"/>
        <w:bidi w:val="0"/>
      </w:pPr>
      <w:bookmarkStart w:id="15" w:name="_Toc26873"/>
      <w:bookmarkStart w:id="16" w:name="heading_7"/>
      <w:bookmarkStart w:id="17" w:name="_Toc6958"/>
      <w:r>
        <w:t>储备计划与完成情况</w:t>
      </w:r>
      <w:bookmarkEnd w:id="15"/>
      <w:bookmarkEnd w:id="16"/>
      <w:bookmarkEnd w:id="17"/>
    </w:p>
    <w:p w14:paraId="7C5DC56A">
      <w:pPr>
        <w:pStyle w:val="28"/>
        <w:rPr>
          <w:rFonts w:hint="eastAsia"/>
        </w:rPr>
      </w:pPr>
      <w:r>
        <w:rPr>
          <w:rFonts w:hint="eastAsia"/>
        </w:rPr>
        <w:t>根据《2026年度运维相关人员管理计划》，第一季度无计划内的储备任务。储备计划中的运维项目经理储备（预计到岗日期2026年4月）属于第二季度工作安排。</w:t>
      </w:r>
    </w:p>
    <w:p w14:paraId="2612B9BC">
      <w:pPr>
        <w:pStyle w:val="28"/>
        <w:rPr>
          <w:rFonts w:hint="eastAsia"/>
        </w:rPr>
      </w:pPr>
      <w:r>
        <w:rPr>
          <w:rFonts w:hint="eastAsia"/>
        </w:rPr>
        <w:t>本季度主要完成了储备工作的前期准备，包括：梳理关键岗位储备标准、更新储备人员培养方案、评估现有后备人才梯队状况。为第二季度启动运维项目经理储备工作奠定基础。</w:t>
      </w:r>
    </w:p>
    <w:p w14:paraId="50867713">
      <w:pPr>
        <w:pStyle w:val="29"/>
        <w:bidi w:val="0"/>
        <w:rPr>
          <w:rFonts w:hint="default"/>
          <w:lang w:val="en-US" w:eastAsia="zh-CN"/>
        </w:rPr>
      </w:pPr>
      <w:bookmarkStart w:id="18" w:name="_Toc8074"/>
      <w:r>
        <w:rPr>
          <w:rFonts w:hint="eastAsia"/>
          <w:lang w:val="en-US" w:eastAsia="zh-CN"/>
        </w:rPr>
        <w:t>人员培训情况</w:t>
      </w:r>
      <w:bookmarkEnd w:id="18"/>
    </w:p>
    <w:p w14:paraId="01EAFF30">
      <w:pPr>
        <w:pStyle w:val="30"/>
        <w:bidi w:val="0"/>
      </w:pPr>
      <w:bookmarkStart w:id="19" w:name="heading_10"/>
      <w:bookmarkStart w:id="20" w:name="_Toc10549"/>
      <w:bookmarkStart w:id="21" w:name="_Toc14879"/>
      <w:r>
        <w:t>培训计划执行情况</w:t>
      </w:r>
      <w:bookmarkEnd w:id="19"/>
      <w:bookmarkEnd w:id="20"/>
      <w:bookmarkEnd w:id="21"/>
    </w:p>
    <w:p w14:paraId="343136A8">
      <w:pPr>
        <w:pStyle w:val="28"/>
        <w:bidi w:val="0"/>
      </w:pPr>
      <w:r>
        <w:t>根据《2026年度运维相关人员管理计划》，第一季度计划完成</w:t>
      </w:r>
      <w:r>
        <w:rPr>
          <w:rFonts w:hint="eastAsia"/>
          <w:lang w:val="en-US" w:eastAsia="zh-CN"/>
        </w:rPr>
        <w:t>6</w:t>
      </w:r>
      <w:r>
        <w:t>项培训：</w:t>
      </w:r>
    </w:p>
    <w:tbl>
      <w:tblPr>
        <w:tblStyle w:val="21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2776"/>
        <w:gridCol w:w="1537"/>
        <w:gridCol w:w="1272"/>
        <w:gridCol w:w="864"/>
        <w:gridCol w:w="1351"/>
      </w:tblGrid>
      <w:tr w14:paraId="79A5AE8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5DC21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27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AC03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267BD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2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7996D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培训人员</w:t>
            </w:r>
          </w:p>
        </w:tc>
        <w:tc>
          <w:tcPr>
            <w:tcW w:w="8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3E90E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135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8573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0E8004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2307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FF7D1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ITSS标准深化培训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AC372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运维服务相关人员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45F6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外聘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D6BDE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D27E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43D6806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CD7E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A40A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运维服务工具使用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CD35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运维部全员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7487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王朋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85E28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4701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592EEC8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A466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C70C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入职培训（包括制度与企业文化）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47E4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新入职员工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4C474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各模块负责人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B5B61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3月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00702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52F194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5A14E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BD88A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公司产品培训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D1584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E43D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王朋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51FF4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3月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E019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010C59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9EBC8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FD7B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自动化运维技术培训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6ACC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运维工程师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EE38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外聘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901F6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3月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4793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165D69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F70C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AA98F2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运维服务知识管理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3017D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全体运维人员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B900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王朋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20DB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3月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8546F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</w:tbl>
    <w:p w14:paraId="6C62DBE5">
      <w:pPr>
        <w:pStyle w:val="28"/>
        <w:bidi w:val="0"/>
      </w:pPr>
      <w:r>
        <w:t>截止2026年3月31日，计划内的</w:t>
      </w:r>
      <w:r>
        <w:rPr>
          <w:rFonts w:hint="eastAsia"/>
          <w:lang w:val="en-US" w:eastAsia="zh-CN"/>
        </w:rPr>
        <w:t>6</w:t>
      </w:r>
      <w:r>
        <w:t>项培训已全部完成，培训课程达成率为100%。</w:t>
      </w:r>
    </w:p>
    <w:p w14:paraId="2F2AAC89">
      <w:pPr>
        <w:pStyle w:val="30"/>
        <w:bidi w:val="0"/>
      </w:pPr>
      <w:bookmarkStart w:id="22" w:name="heading_11"/>
      <w:bookmarkStart w:id="23" w:name="_Toc8055"/>
      <w:bookmarkStart w:id="24" w:name="_Toc27089"/>
      <w:r>
        <w:t>培训效果评估</w:t>
      </w:r>
      <w:bookmarkEnd w:id="22"/>
      <w:bookmarkEnd w:id="23"/>
      <w:bookmarkEnd w:id="24"/>
    </w:p>
    <w:p w14:paraId="6785931A">
      <w:pPr>
        <w:pStyle w:val="28"/>
        <w:bidi w:val="0"/>
      </w:pPr>
      <w:r>
        <w:t>ITSS标准深化培训由外聘讲师授课，</w:t>
      </w:r>
      <w:r>
        <w:rPr>
          <w:rFonts w:hint="eastAsia"/>
          <w:lang w:val="en-US" w:eastAsia="zh-CN"/>
        </w:rPr>
        <w:t>所有运维人员全部参会</w:t>
      </w:r>
      <w:r>
        <w:t>，培训后</w:t>
      </w:r>
      <w:r>
        <w:rPr>
          <w:rFonts w:hint="eastAsia"/>
          <w:lang w:val="en-US" w:eastAsia="zh-CN"/>
        </w:rPr>
        <w:t>所有培训人员全部考核合格</w:t>
      </w:r>
      <w:r>
        <w:t>。运维服务工具使用培训由运维部经理王朋主讲，</w:t>
      </w:r>
      <w:r>
        <w:rPr>
          <w:rFonts w:hint="eastAsia"/>
          <w:lang w:val="en-US" w:eastAsia="zh-CN"/>
        </w:rPr>
        <w:t>运维部人员全部参与培训</w:t>
      </w:r>
      <w:r>
        <w:t>，重点讲解了工单详情、问题列表、发布申请等新增功能的使用方法，参训人员</w:t>
      </w:r>
      <w:r>
        <w:rPr>
          <w:rFonts w:hint="eastAsia"/>
          <w:lang w:val="en-US" w:eastAsia="zh-CN"/>
        </w:rPr>
        <w:t>全部通过考试</w:t>
      </w:r>
      <w:r>
        <w:t>。</w:t>
      </w:r>
    </w:p>
    <w:p w14:paraId="04C459F5">
      <w:pPr>
        <w:pStyle w:val="29"/>
        <w:bidi w:val="0"/>
        <w:rPr>
          <w:rFonts w:hint="default"/>
          <w:lang w:val="en-US" w:eastAsia="zh-CN"/>
        </w:rPr>
      </w:pPr>
      <w:bookmarkStart w:id="25" w:name="_Toc14620"/>
      <w:r>
        <w:rPr>
          <w:rFonts w:hint="eastAsia"/>
          <w:lang w:val="en-US" w:eastAsia="zh-CN"/>
        </w:rPr>
        <w:t>人员备份情况</w:t>
      </w:r>
      <w:bookmarkEnd w:id="25"/>
    </w:p>
    <w:p w14:paraId="085B55F3">
      <w:pPr>
        <w:pStyle w:val="30"/>
        <w:bidi w:val="0"/>
      </w:pPr>
      <w:bookmarkStart w:id="26" w:name="_Toc1246"/>
      <w:bookmarkStart w:id="27" w:name="heading_14"/>
      <w:bookmarkStart w:id="28" w:name="_Toc23046"/>
      <w:r>
        <w:t>备份计划执行情况</w:t>
      </w:r>
      <w:bookmarkEnd w:id="26"/>
      <w:bookmarkEnd w:id="27"/>
      <w:bookmarkEnd w:id="28"/>
    </w:p>
    <w:p w14:paraId="2043C29D">
      <w:pPr>
        <w:pStyle w:val="28"/>
        <w:bidi w:val="0"/>
      </w:pPr>
      <w:r>
        <w:t>根据《2026年度运维相关人员管理计划》，第一季度计划完成运维部经理的AB岗备份工作，备份人数2人，计划完成时间为2026年3月。</w:t>
      </w:r>
    </w:p>
    <w:p w14:paraId="5E5E0217">
      <w:pPr>
        <w:pStyle w:val="28"/>
        <w:bidi w:val="0"/>
      </w:pPr>
      <w:r>
        <w:t>截止2026年3月31日，已完成运维部经理的备份配置，B岗人员已通过系统的知识传递与流程培训，掌握了A岗的核心职责与应急处置流程。第一季度备份成功率达到100%。</w:t>
      </w:r>
    </w:p>
    <w:p w14:paraId="7049855D">
      <w:pPr>
        <w:pStyle w:val="30"/>
        <w:bidi w:val="0"/>
      </w:pPr>
      <w:bookmarkStart w:id="29" w:name="heading_15"/>
      <w:bookmarkStart w:id="30" w:name="_Toc802"/>
      <w:bookmarkStart w:id="31" w:name="_Toc3350"/>
      <w:r>
        <w:t>备份完成情况</w:t>
      </w:r>
      <w:bookmarkEnd w:id="29"/>
      <w:bookmarkEnd w:id="30"/>
      <w:bookmarkEnd w:id="31"/>
    </w:p>
    <w:tbl>
      <w:tblPr>
        <w:tblStyle w:val="21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9"/>
        <w:gridCol w:w="1461"/>
        <w:gridCol w:w="1705"/>
        <w:gridCol w:w="1705"/>
        <w:gridCol w:w="1705"/>
        <w:gridCol w:w="1217"/>
      </w:tblGrid>
      <w:tr w14:paraId="6821FF7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B270D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146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B445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A岗位</w:t>
            </w:r>
          </w:p>
        </w:tc>
        <w:tc>
          <w:tcPr>
            <w:tcW w:w="17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3AAF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B岗</w:t>
            </w:r>
          </w:p>
        </w:tc>
        <w:tc>
          <w:tcPr>
            <w:tcW w:w="17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45654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计划备份人数</w:t>
            </w:r>
          </w:p>
        </w:tc>
        <w:tc>
          <w:tcPr>
            <w:tcW w:w="17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327A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2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E75C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3D653DB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00C2F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1.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2D56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CE5DF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E37F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B48B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3395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</w:tbl>
    <w:p w14:paraId="6BF66173">
      <w:pPr>
        <w:pStyle w:val="29"/>
        <w:bidi w:val="0"/>
        <w:rPr>
          <w:rFonts w:hint="default"/>
          <w:lang w:val="en-US" w:eastAsia="zh-CN"/>
        </w:rPr>
      </w:pPr>
      <w:bookmarkStart w:id="32" w:name="_Toc11240"/>
      <w:r>
        <w:rPr>
          <w:rFonts w:hint="eastAsia"/>
          <w:lang w:val="en-US" w:eastAsia="zh-CN"/>
        </w:rPr>
        <w:t>绩效考核情况</w:t>
      </w:r>
      <w:bookmarkEnd w:id="32"/>
    </w:p>
    <w:p w14:paraId="5E34B04E">
      <w:pPr>
        <w:pStyle w:val="30"/>
        <w:bidi w:val="0"/>
      </w:pPr>
      <w:bookmarkStart w:id="33" w:name="heading_17"/>
      <w:bookmarkStart w:id="34" w:name="_Toc26076"/>
      <w:bookmarkStart w:id="35" w:name="_Toc31519"/>
      <w:r>
        <w:t>绩效考核执行情况</w:t>
      </w:r>
      <w:bookmarkEnd w:id="33"/>
      <w:bookmarkEnd w:id="34"/>
      <w:bookmarkEnd w:id="35"/>
    </w:p>
    <w:p w14:paraId="59B3E02F">
      <w:pPr>
        <w:pStyle w:val="28"/>
        <w:bidi w:val="0"/>
      </w:pPr>
      <w:r>
        <w:t>根据《绩效考评管理办法》规定，综合部按照绩效考核制度的要求，每月对公司各岗位人员进行了考核。</w:t>
      </w:r>
    </w:p>
    <w:p w14:paraId="6F89A287">
      <w:pPr>
        <w:pStyle w:val="28"/>
        <w:bidi w:val="0"/>
      </w:pPr>
      <w:r>
        <w:t>第一季度绩效考核覆盖运维部全体人员，考核内容包括工作计划完成情况、工作质量、服务态度等维度。考核结果如下：</w:t>
      </w:r>
    </w:p>
    <w:tbl>
      <w:tblPr>
        <w:tblStyle w:val="21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9"/>
        <w:gridCol w:w="2024"/>
        <w:gridCol w:w="2024"/>
        <w:gridCol w:w="2025"/>
      </w:tblGrid>
      <w:tr w14:paraId="3BE941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98D9BE">
            <w:pPr>
              <w:pStyle w:val="28"/>
              <w:bidi w:val="0"/>
              <w:snapToGrid w:val="0"/>
            </w:pPr>
            <w:r>
              <w:t>时间</w:t>
            </w:r>
          </w:p>
        </w:tc>
        <w:tc>
          <w:tcPr>
            <w:tcW w:w="20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B5D7BF">
            <w:pPr>
              <w:pStyle w:val="28"/>
              <w:bidi w:val="0"/>
              <w:snapToGrid w:val="0"/>
            </w:pPr>
            <w:r>
              <w:t>1月</w:t>
            </w:r>
          </w:p>
        </w:tc>
        <w:tc>
          <w:tcPr>
            <w:tcW w:w="20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050A27">
            <w:pPr>
              <w:pStyle w:val="28"/>
              <w:bidi w:val="0"/>
              <w:snapToGrid w:val="0"/>
            </w:pPr>
            <w:r>
              <w:t>2月</w:t>
            </w:r>
          </w:p>
        </w:tc>
        <w:tc>
          <w:tcPr>
            <w:tcW w:w="20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9DEDB8">
            <w:pPr>
              <w:pStyle w:val="28"/>
              <w:bidi w:val="0"/>
              <w:snapToGrid w:val="0"/>
            </w:pPr>
            <w:r>
              <w:t>3月</w:t>
            </w:r>
          </w:p>
        </w:tc>
      </w:tr>
      <w:tr w14:paraId="79BCCA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F82D8A">
            <w:pPr>
              <w:pStyle w:val="28"/>
              <w:bidi w:val="0"/>
              <w:snapToGrid w:val="0"/>
            </w:pPr>
            <w:r>
              <w:t>合格率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E1800A">
            <w:pPr>
              <w:pStyle w:val="28"/>
              <w:bidi w:val="0"/>
              <w:snapToGrid w:val="0"/>
            </w:pPr>
            <w:r>
              <w:t>98%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88D018">
            <w:pPr>
              <w:pStyle w:val="28"/>
              <w:bidi w:val="0"/>
              <w:snapToGrid w:val="0"/>
            </w:pPr>
            <w:r>
              <w:t>98%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90FF9D">
            <w:pPr>
              <w:pStyle w:val="28"/>
              <w:bidi w:val="0"/>
              <w:snapToGrid w:val="0"/>
            </w:pPr>
            <w:r>
              <w:t>96%</w:t>
            </w:r>
          </w:p>
        </w:tc>
      </w:tr>
    </w:tbl>
    <w:p w14:paraId="4AEC949F">
      <w:pPr>
        <w:pStyle w:val="28"/>
        <w:bidi w:val="0"/>
      </w:pPr>
      <w:r>
        <w:t>根据统计，第一季度运维服务各部门月度考核合格率均超过95%，达到考核指标要求。针对绩效不及格员工，已进行有效的绩效沟通与绩效改进计划，并监督实施。</w:t>
      </w:r>
    </w:p>
    <w:p w14:paraId="5366861D">
      <w:pPr>
        <w:pStyle w:val="30"/>
        <w:bidi w:val="0"/>
      </w:pPr>
      <w:bookmarkStart w:id="36" w:name="_Toc17276"/>
      <w:bookmarkStart w:id="37" w:name="heading_18"/>
      <w:bookmarkStart w:id="38" w:name="_Toc20323"/>
      <w:r>
        <w:t>考核结果应用</w:t>
      </w:r>
      <w:bookmarkEnd w:id="36"/>
      <w:bookmarkEnd w:id="37"/>
      <w:bookmarkEnd w:id="38"/>
    </w:p>
    <w:p w14:paraId="5342C063">
      <w:pPr>
        <w:pStyle w:val="28"/>
        <w:bidi w:val="0"/>
      </w:pPr>
      <w:r>
        <w:t>考核结果已作为员工绩效工资发放的依据，同时对考核中发现的共性问题（如服务报告规范性）进行了总结，将在后续培训中重点强化。</w:t>
      </w:r>
    </w:p>
    <w:p w14:paraId="4C032996">
      <w:pPr>
        <w:pStyle w:val="29"/>
        <w:bidi w:val="0"/>
        <w:rPr>
          <w:rFonts w:hint="default"/>
          <w:lang w:val="en-US" w:eastAsia="zh-CN"/>
        </w:rPr>
      </w:pPr>
      <w:bookmarkStart w:id="39" w:name="_Toc32264"/>
      <w:r>
        <w:rPr>
          <w:rFonts w:hint="eastAsia"/>
          <w:lang w:val="en-US" w:eastAsia="zh-CN"/>
        </w:rPr>
        <w:t>技能评价情况</w:t>
      </w:r>
      <w:bookmarkEnd w:id="39"/>
    </w:p>
    <w:p w14:paraId="3EA12F53">
      <w:pPr>
        <w:pStyle w:val="28"/>
        <w:bidi w:val="0"/>
      </w:pPr>
      <w:r>
        <w:t>根据《技能评价管理制度》和《2026年度运维相关人员管理计划》，技能评价计划于2026年12月第一周进行。第一季度为技能评价的准备阶段，主要工作包括：</w:t>
      </w:r>
    </w:p>
    <w:p w14:paraId="489D6021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确定2026年度技能评价的岗位范围和评价标准</w:t>
      </w:r>
    </w:p>
    <w:p w14:paraId="55C65BD4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更新技能评价题库和实操考核项目</w:t>
      </w:r>
    </w:p>
    <w:p w14:paraId="55687DDD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制定技能评价实施计划</w:t>
      </w:r>
    </w:p>
    <w:p w14:paraId="04F0B109">
      <w:pPr>
        <w:pStyle w:val="28"/>
        <w:rPr>
          <w:rFonts w:hint="default"/>
          <w:lang w:val="en-US" w:eastAsia="zh-CN"/>
        </w:rPr>
      </w:pPr>
      <w:r>
        <w:t>本季度尚未开展技能评价工作，计划在第四季度按计划执行</w:t>
      </w:r>
    </w:p>
    <w:p w14:paraId="75518690">
      <w:pPr>
        <w:pStyle w:val="27"/>
        <w:keepNext w:val="0"/>
        <w:keepLines w:val="0"/>
        <w:widowControl w:val="0"/>
      </w:pPr>
      <w:bookmarkStart w:id="40" w:name="_Toc23610"/>
      <w:r>
        <w:t>资源管理总结</w:t>
      </w:r>
      <w:bookmarkEnd w:id="40"/>
    </w:p>
    <w:p w14:paraId="445D6174">
      <w:pPr>
        <w:pStyle w:val="29"/>
        <w:keepNext w:val="0"/>
        <w:keepLines w:val="0"/>
        <w:widowControl w:val="0"/>
      </w:pPr>
      <w:bookmarkStart w:id="41" w:name="_Toc32247"/>
      <w:r>
        <w:t>运维工具</w:t>
      </w:r>
      <w:bookmarkEnd w:id="41"/>
    </w:p>
    <w:p w14:paraId="7911E762">
      <w:pPr>
        <w:pStyle w:val="28"/>
        <w:bidi w:val="0"/>
      </w:pPr>
      <w:r>
        <w:t>第一季度完成了运维管理平台优化的需求调研工作，收集了运维人员对平台优化的具体需求，形成了《运维管理平台优化需求规格说明书》，并通过内部评审。同时完成了监控告警平台升级的前期调研工作。</w:t>
      </w:r>
    </w:p>
    <w:p w14:paraId="7FD4FFDB">
      <w:pPr>
        <w:pStyle w:val="29"/>
        <w:keepNext w:val="0"/>
        <w:keepLines w:val="0"/>
        <w:widowControl w:val="0"/>
      </w:pPr>
      <w:bookmarkStart w:id="42" w:name="_Toc13239"/>
      <w:r>
        <w:t>服务台建设</w:t>
      </w:r>
      <w:bookmarkEnd w:id="42"/>
    </w:p>
    <w:p w14:paraId="54CEE364">
      <w:pPr>
        <w:pStyle w:val="28"/>
        <w:bidi w:val="0"/>
      </w:pPr>
      <w:r>
        <w:t>第一季度完成了服务台管理制度的优化，更新了服务台人员绩效考核指标。服务台录入事件的完整性第一季度达到100%，满足考核指标要求（≥95%）。</w:t>
      </w:r>
    </w:p>
    <w:p w14:paraId="290843A9">
      <w:pPr>
        <w:pStyle w:val="29"/>
        <w:keepNext w:val="0"/>
        <w:keepLines w:val="0"/>
        <w:widowControl w:val="0"/>
      </w:pPr>
      <w:bookmarkStart w:id="43" w:name="_Toc4548"/>
      <w:r>
        <w:t>备品备件</w:t>
      </w:r>
      <w:bookmarkEnd w:id="43"/>
    </w:p>
    <w:p w14:paraId="73E4DDD4">
      <w:pPr>
        <w:pStyle w:val="28"/>
        <w:bidi w:val="0"/>
      </w:pPr>
      <w:r>
        <w:t>第一季度完成了备件库管理表单优化，进行了第一季度备件库盘点，库存备件数据准确率为99%，备件可用率为96%，均满足考核指标要求。</w:t>
      </w:r>
    </w:p>
    <w:p w14:paraId="1C2D163B">
      <w:pPr>
        <w:pStyle w:val="29"/>
        <w:keepNext w:val="0"/>
        <w:keepLines w:val="0"/>
        <w:widowControl w:val="0"/>
      </w:pPr>
      <w:bookmarkStart w:id="44" w:name="_Toc18724"/>
      <w:r>
        <w:rPr>
          <w:rFonts w:hint="eastAsia"/>
          <w:lang w:eastAsia="zh-CN"/>
        </w:rPr>
        <w:t>服务知识</w:t>
      </w:r>
      <w:bookmarkEnd w:id="44"/>
    </w:p>
    <w:p w14:paraId="2E1E2E54">
      <w:pPr>
        <w:pStyle w:val="28"/>
        <w:bidi w:val="0"/>
      </w:pPr>
      <w:r>
        <w:t>第一季度新增知识条目42条，满足季度新增知识条目≥40条的考核要求。同时完成了服务知识评审机制的优化，建立了评审记录归档制度。</w:t>
      </w:r>
    </w:p>
    <w:p w14:paraId="56889D7B">
      <w:pPr>
        <w:pStyle w:val="29"/>
        <w:keepNext w:val="0"/>
        <w:keepLines w:val="0"/>
        <w:widowControl w:val="0"/>
        <w:rPr>
          <w:lang w:eastAsia="zh-CN"/>
        </w:rPr>
      </w:pPr>
      <w:bookmarkStart w:id="45" w:name="_Toc26"/>
      <w:r>
        <w:rPr>
          <w:rFonts w:hint="eastAsia"/>
          <w:lang w:eastAsia="zh-CN"/>
        </w:rPr>
        <w:t>最终软件库</w:t>
      </w:r>
      <w:bookmarkEnd w:id="45"/>
    </w:p>
    <w:p w14:paraId="5253652F">
      <w:pPr>
        <w:pStyle w:val="28"/>
        <w:bidi w:val="0"/>
        <w:rPr>
          <w:lang w:eastAsia="zh-CN"/>
        </w:rPr>
      </w:pPr>
      <w:r>
        <w:t>第一季度软件版本正确率达到100%，满足考核指标要求（≥95%）。</w:t>
      </w:r>
    </w:p>
    <w:p w14:paraId="07A4BBE0">
      <w:pPr>
        <w:pStyle w:val="29"/>
        <w:keepNext w:val="0"/>
        <w:keepLines w:val="0"/>
        <w:widowControl w:val="0"/>
        <w:rPr>
          <w:lang w:eastAsia="zh-CN"/>
        </w:rPr>
      </w:pPr>
      <w:bookmarkStart w:id="46" w:name="_Toc3814"/>
      <w:r>
        <w:rPr>
          <w:rFonts w:hint="eastAsia"/>
          <w:lang w:eastAsia="zh-CN"/>
        </w:rPr>
        <w:t>服务数据</w:t>
      </w:r>
      <w:bookmarkEnd w:id="46"/>
    </w:p>
    <w:p w14:paraId="38D16B5D">
      <w:pPr>
        <w:pStyle w:val="28"/>
        <w:bidi w:val="0"/>
        <w:rPr>
          <w:lang w:eastAsia="zh-CN"/>
        </w:rPr>
      </w:pPr>
      <w:r>
        <w:t>第一季度对服务数据分析利用2次，满足每季度至少1次的考核要求。</w:t>
      </w:r>
    </w:p>
    <w:p w14:paraId="73C337F2">
      <w:pPr>
        <w:pStyle w:val="27"/>
        <w:keepNext w:val="0"/>
        <w:keepLines w:val="0"/>
        <w:widowControl w:val="0"/>
      </w:pPr>
      <w:bookmarkStart w:id="47" w:name="_Toc9897"/>
      <w:r>
        <w:t>技术研发成果总结</w:t>
      </w:r>
      <w:bookmarkEnd w:id="47"/>
    </w:p>
    <w:p w14:paraId="4A7677C5">
      <w:pPr>
        <w:pStyle w:val="29"/>
        <w:bidi w:val="0"/>
      </w:pPr>
      <w:bookmarkStart w:id="48" w:name="_Toc5515"/>
      <w:bookmarkStart w:id="49" w:name="_Toc13663"/>
      <w:r>
        <w:t>运维管理平台功能优化</w:t>
      </w:r>
      <w:bookmarkEnd w:id="48"/>
      <w:bookmarkEnd w:id="49"/>
    </w:p>
    <w:p w14:paraId="4E7E69B3">
      <w:pPr>
        <w:pStyle w:val="30"/>
        <w:bidi w:val="0"/>
      </w:pPr>
      <w:bookmarkStart w:id="50" w:name="_Toc15766"/>
      <w:bookmarkStart w:id="51" w:name="heading_8"/>
      <w:bookmarkStart w:id="52" w:name="_Toc24561"/>
      <w:r>
        <w:t>第一季度完成工作</w:t>
      </w:r>
      <w:bookmarkEnd w:id="50"/>
      <w:bookmarkEnd w:id="51"/>
      <w:bookmarkEnd w:id="52"/>
    </w:p>
    <w:p w14:paraId="594F5023">
      <w:pPr>
        <w:pStyle w:val="28"/>
        <w:bidi w:val="0"/>
      </w:pPr>
      <w:r>
        <w:t>根据《2026年度运维服务技术研发规划》的进度安排，第一季度应完成需求分析和总体设计阶段的工作。实际完成情况如下：</w:t>
      </w:r>
    </w:p>
    <w:p w14:paraId="106DBF4A">
      <w:pPr>
        <w:pStyle w:val="41"/>
        <w:numPr>
          <w:ilvl w:val="0"/>
          <w:numId w:val="3"/>
        </w:numPr>
        <w:bidi w:val="0"/>
      </w:pPr>
      <w:r>
        <w:t>需求分析阶段（1月-2月）</w:t>
      </w:r>
    </w:p>
    <w:p w14:paraId="07D3C5D6">
      <w:pPr>
        <w:pStyle w:val="28"/>
        <w:bidi w:val="0"/>
      </w:pPr>
      <w:r>
        <w:t>已完成运维部门的需求调研工作，通过问卷调查和专题访谈的方式，收集了运维人员对平台优化的具体需求。主要收集到的需求包括：</w:t>
      </w:r>
    </w:p>
    <w:p w14:paraId="5C568C12">
      <w:pPr>
        <w:pStyle w:val="41"/>
        <w:numPr>
          <w:ilvl w:val="0"/>
          <w:numId w:val="4"/>
        </w:numPr>
        <w:bidi w:val="0"/>
      </w:pPr>
      <w:r>
        <w:rPr>
          <w:rFonts w:hint="eastAsia"/>
          <w:lang w:val="en-US" w:eastAsia="zh-CN"/>
        </w:rPr>
        <w:t>服务知识</w:t>
      </w:r>
      <w:r>
        <w:t>与工单联动方面：运维人员希望在处理工单时能自动匹配相关知识，减少检索时间</w:t>
      </w:r>
    </w:p>
    <w:p w14:paraId="76AF00C9">
      <w:pPr>
        <w:pStyle w:val="41"/>
        <w:numPr>
          <w:ilvl w:val="0"/>
          <w:numId w:val="4"/>
        </w:numPr>
        <w:bidi w:val="0"/>
      </w:pPr>
      <w:r>
        <w:t>报表统计方面：需要支持按客户、设备类型、故障级别等多维度统计SLA达成情况</w:t>
      </w:r>
    </w:p>
    <w:p w14:paraId="68906E5D">
      <w:pPr>
        <w:pStyle w:val="41"/>
        <w:numPr>
          <w:ilvl w:val="0"/>
          <w:numId w:val="4"/>
        </w:numPr>
        <w:bidi w:val="0"/>
      </w:pPr>
      <w:r>
        <w:t>移动端方面：现场运维人员反馈需要支持手机端工单处理和拍照上传功能</w:t>
      </w:r>
    </w:p>
    <w:p w14:paraId="615FA58D">
      <w:pPr>
        <w:pStyle w:val="28"/>
        <w:bidi w:val="0"/>
      </w:pPr>
      <w:r>
        <w:t>已形成《运维管理平台优化需求规格说明书》，并通过内部评审。</w:t>
      </w:r>
    </w:p>
    <w:p w14:paraId="3C0AD298">
      <w:pPr>
        <w:pStyle w:val="41"/>
        <w:numPr>
          <w:ilvl w:val="0"/>
          <w:numId w:val="3"/>
        </w:numPr>
        <w:bidi w:val="0"/>
      </w:pPr>
      <w:r>
        <w:t>总体设计阶段（3月）</w:t>
      </w:r>
    </w:p>
    <w:p w14:paraId="6A63CEA8">
      <w:pPr>
        <w:pStyle w:val="28"/>
        <w:bidi w:val="0"/>
      </w:pPr>
      <w:r>
        <w:t>已完成系统总体设计方案编制，包括技术架构设计、数据库设计、接口设计等内容。设计方案明确了各功能模块的划分和接口关系，确定了采用前后端分离架构，移动端采用跨平台开发方案。</w:t>
      </w:r>
    </w:p>
    <w:p w14:paraId="69A61F06">
      <w:pPr>
        <w:pStyle w:val="28"/>
        <w:bidi w:val="0"/>
      </w:pPr>
      <w:r>
        <w:t>已完成《运维管理平台优化系统设计方案》，并通过技术评审。</w:t>
      </w:r>
    </w:p>
    <w:p w14:paraId="52D74BFB">
      <w:pPr>
        <w:pStyle w:val="30"/>
        <w:bidi w:val="0"/>
      </w:pPr>
      <w:bookmarkStart w:id="53" w:name="heading_9"/>
      <w:bookmarkStart w:id="54" w:name="_Toc11231"/>
      <w:bookmarkStart w:id="55" w:name="_Toc4621"/>
      <w:r>
        <w:t>进度符合性</w:t>
      </w:r>
      <w:bookmarkEnd w:id="53"/>
      <w:bookmarkEnd w:id="54"/>
      <w:bookmarkEnd w:id="55"/>
    </w:p>
    <w:tbl>
      <w:tblPr>
        <w:tblStyle w:val="21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7"/>
        <w:gridCol w:w="3918"/>
        <w:gridCol w:w="2386"/>
      </w:tblGrid>
      <w:tr w14:paraId="00911CD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6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7060D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任务阶段</w:t>
            </w:r>
          </w:p>
        </w:tc>
        <w:tc>
          <w:tcPr>
            <w:tcW w:w="39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BCCAD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计划时间节点</w:t>
            </w:r>
          </w:p>
        </w:tc>
        <w:tc>
          <w:tcPr>
            <w:tcW w:w="23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C32B2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实际进展</w:t>
            </w:r>
          </w:p>
        </w:tc>
      </w:tr>
      <w:tr w14:paraId="28852A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7E49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需求分析</w:t>
            </w: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CB802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2026年1月-2月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2407A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</w:tr>
      <w:tr w14:paraId="18BCC63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0A46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总体设计</w:t>
            </w: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9039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2026年3月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9F95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</w:tr>
      <w:tr w14:paraId="10A8A4B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8EBAA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研发&amp;测试</w:t>
            </w: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BE8E1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2026年4月-8月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AAF1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尚未开始</w:t>
            </w:r>
          </w:p>
        </w:tc>
      </w:tr>
      <w:tr w14:paraId="31F780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EB07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试运行</w:t>
            </w: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98F9E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2026年9月-10月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ACB68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尚未开始</w:t>
            </w:r>
          </w:p>
        </w:tc>
      </w:tr>
      <w:tr w14:paraId="4F029F5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82E8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正式上线</w:t>
            </w: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17CD1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2026年12月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B2A5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尚未开始</w:t>
            </w:r>
          </w:p>
        </w:tc>
      </w:tr>
    </w:tbl>
    <w:p w14:paraId="20104893">
      <w:pPr>
        <w:pStyle w:val="29"/>
        <w:bidi w:val="0"/>
      </w:pPr>
      <w:bookmarkStart w:id="56" w:name="_Toc5882"/>
      <w:bookmarkStart w:id="57" w:name="_Toc1139"/>
      <w:r>
        <w:t>监控告警平台升级</w:t>
      </w:r>
      <w:bookmarkEnd w:id="56"/>
      <w:bookmarkEnd w:id="57"/>
    </w:p>
    <w:p w14:paraId="654502AD">
      <w:pPr>
        <w:pStyle w:val="30"/>
        <w:bidi w:val="0"/>
      </w:pPr>
      <w:bookmarkStart w:id="58" w:name="_Toc14389"/>
      <w:bookmarkStart w:id="59" w:name="_Toc30850"/>
      <w:r>
        <w:t>第一季度完成工作</w:t>
      </w:r>
      <w:bookmarkEnd w:id="58"/>
      <w:bookmarkEnd w:id="59"/>
    </w:p>
    <w:p w14:paraId="5F303431">
      <w:pPr>
        <w:pStyle w:val="28"/>
        <w:bidi w:val="0"/>
      </w:pPr>
      <w:r>
        <w:t>第一季度主要完成了监控告警平台升级的前期调研工作，包括：</w:t>
      </w:r>
    </w:p>
    <w:p w14:paraId="19C61EB1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收集了运维团队对现有H3C智能管理中心的使用反馈</w:t>
      </w:r>
    </w:p>
    <w:p w14:paraId="0097C698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调研了告警收敛、智能分析、可视化大屏等功能的实现方案</w:t>
      </w:r>
    </w:p>
    <w:p w14:paraId="2C9605D4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初步确定了升级技术路线</w:t>
      </w:r>
    </w:p>
    <w:p w14:paraId="0CAD214B">
      <w:pPr>
        <w:pStyle w:val="28"/>
        <w:bidi w:val="0"/>
      </w:pPr>
      <w:r>
        <w:t>《监控告警平台升级方案》正在编制中，预计第二季度完成方案评审。</w:t>
      </w:r>
    </w:p>
    <w:p w14:paraId="449923FF">
      <w:pPr>
        <w:pStyle w:val="30"/>
        <w:bidi w:val="0"/>
      </w:pPr>
      <w:bookmarkStart w:id="60" w:name="heading_12"/>
      <w:bookmarkStart w:id="61" w:name="_Toc24463"/>
      <w:bookmarkStart w:id="62" w:name="_Toc19011"/>
      <w:r>
        <w:t>进度符合性</w:t>
      </w:r>
      <w:bookmarkEnd w:id="60"/>
      <w:bookmarkEnd w:id="61"/>
      <w:bookmarkEnd w:id="62"/>
    </w:p>
    <w:p w14:paraId="6AEE2656">
      <w:pPr>
        <w:pStyle w:val="28"/>
        <w:bidi w:val="0"/>
      </w:pPr>
      <w:r>
        <w:t>监控告警平台升级工作与运维管理平台优化同步推进，第一季度完成了前期调研，符合整体进度安排。</w:t>
      </w:r>
    </w:p>
    <w:p w14:paraId="70896B75">
      <w:pPr>
        <w:pStyle w:val="29"/>
        <w:bidi w:val="0"/>
      </w:pPr>
      <w:bookmarkStart w:id="63" w:name="heading_13"/>
      <w:bookmarkStart w:id="64" w:name="_Toc28757"/>
      <w:bookmarkStart w:id="65" w:name="_Toc23585"/>
      <w:r>
        <w:t>技术手册研发进度</w:t>
      </w:r>
      <w:bookmarkEnd w:id="63"/>
      <w:bookmarkEnd w:id="64"/>
      <w:bookmarkEnd w:id="65"/>
    </w:p>
    <w:p w14:paraId="212FDD1F">
      <w:pPr>
        <w:pStyle w:val="28"/>
        <w:bidi w:val="0"/>
      </w:pPr>
      <w:r>
        <w:t>根据《2026年度运维服务技术研发规划》，2026年计划新增4本技术手册。第一季度主要完成了技术手册的规划工作，包括：</w:t>
      </w:r>
    </w:p>
    <w:p w14:paraId="27DA0A3B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确定了各手册的编写大纲和内容框架</w:t>
      </w:r>
    </w:p>
    <w:p w14:paraId="222A58ED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明确了编写责任人和时间节点</w:t>
      </w:r>
    </w:p>
    <w:p w14:paraId="18DED9BA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收集了编写所需的参考资料和案例素材</w:t>
      </w:r>
    </w:p>
    <w:p w14:paraId="3FEAB865">
      <w:pPr>
        <w:pStyle w:val="28"/>
        <w:bidi w:val="0"/>
      </w:pPr>
      <w:r>
        <w:t>具体进度如下：</w:t>
      </w:r>
    </w:p>
    <w:tbl>
      <w:tblPr>
        <w:tblStyle w:val="21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7"/>
        <w:gridCol w:w="4202"/>
        <w:gridCol w:w="2101"/>
        <w:gridCol w:w="1801"/>
      </w:tblGrid>
      <w:tr w14:paraId="2258DA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E886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2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A11ED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技术手册名称</w:t>
            </w:r>
          </w:p>
        </w:tc>
        <w:tc>
          <w:tcPr>
            <w:tcW w:w="21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19FE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3C42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当前进度</w:t>
            </w:r>
          </w:p>
        </w:tc>
      </w:tr>
      <w:tr w14:paraId="5B91E66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4C03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2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AC67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网络设备故障排查手册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975E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2026年6月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8AF2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大纲编制中</w:t>
            </w:r>
          </w:p>
        </w:tc>
      </w:tr>
      <w:tr w14:paraId="1B20930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BF50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2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5F96E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服务器硬件维护手册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D1C4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2026年6月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6100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大纲编制中</w:t>
            </w:r>
          </w:p>
        </w:tc>
      </w:tr>
      <w:tr w14:paraId="638E66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6BD4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2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E847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安全事件应急处置手册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91B25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2026年9月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7272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尚未启动</w:t>
            </w:r>
          </w:p>
        </w:tc>
      </w:tr>
      <w:tr w14:paraId="4947E5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CD13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2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D201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运维工具操作手册（进阶版）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087C5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2026年12月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7347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尚未启动</w:t>
            </w:r>
          </w:p>
        </w:tc>
      </w:tr>
    </w:tbl>
    <w:p w14:paraId="52C49E98">
      <w:pPr>
        <w:pStyle w:val="28"/>
        <w:bidi w:val="0"/>
      </w:pPr>
      <w:r>
        <w:t>第一季度暂未完成任何技术手册的正式编写工作，预计第二季度启动前两本手册的编写。</w:t>
      </w:r>
    </w:p>
    <w:p w14:paraId="6CF65C2A">
      <w:pPr>
        <w:pStyle w:val="29"/>
        <w:bidi w:val="0"/>
      </w:pPr>
      <w:bookmarkStart w:id="66" w:name="_Toc29110"/>
      <w:bookmarkStart w:id="67" w:name="_Toc7764"/>
      <w:r>
        <w:t>新技术储备</w:t>
      </w:r>
      <w:bookmarkEnd w:id="66"/>
      <w:bookmarkEnd w:id="67"/>
    </w:p>
    <w:p w14:paraId="63B1CAEA">
      <w:pPr>
        <w:pStyle w:val="28"/>
        <w:bidi w:val="0"/>
      </w:pPr>
      <w:r>
        <w:t>根据《2026年度运维服务技术研发规划》，2026年计划在自动化运维、容器化与云原生、AIOps智能运维三个方向进行新技术储备。</w:t>
      </w:r>
    </w:p>
    <w:p w14:paraId="2D0A3BBF">
      <w:pPr>
        <w:pStyle w:val="28"/>
        <w:bidi w:val="0"/>
      </w:pPr>
      <w:r>
        <w:t>第一季度主要完成了以下工作：</w:t>
      </w:r>
    </w:p>
    <w:p w14:paraId="63AE5584">
      <w:pPr>
        <w:pStyle w:val="30"/>
        <w:bidi w:val="0"/>
      </w:pPr>
      <w:bookmarkStart w:id="68" w:name="_Toc14823"/>
      <w:bookmarkStart w:id="69" w:name="_Toc2248"/>
      <w:r>
        <w:t>自动化运维技术</w:t>
      </w:r>
      <w:bookmarkEnd w:id="68"/>
      <w:bookmarkEnd w:id="69"/>
    </w:p>
    <w:p w14:paraId="2F3F0588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组织研发人员学习了Ansible基础知识</w:t>
      </w:r>
    </w:p>
    <w:p w14:paraId="7D58AB9C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搭建了Ansible实验环境，完成了基础功能验证</w:t>
      </w:r>
    </w:p>
    <w:p w14:paraId="0958F29F">
      <w:pPr>
        <w:pStyle w:val="30"/>
        <w:bidi w:val="0"/>
      </w:pPr>
      <w:bookmarkStart w:id="70" w:name="_Toc1537"/>
      <w:bookmarkStart w:id="71" w:name="_Toc11506"/>
      <w:r>
        <w:t>容器化与云原生技术</w:t>
      </w:r>
      <w:bookmarkEnd w:id="70"/>
      <w:bookmarkEnd w:id="71"/>
    </w:p>
    <w:p w14:paraId="7E9299BB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组织了Docker基础培训，参训人员8人</w:t>
      </w:r>
    </w:p>
    <w:p w14:paraId="4AE233CD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完成了Docker常用命令和容器编排的基础学习</w:t>
      </w:r>
    </w:p>
    <w:p w14:paraId="459E6480">
      <w:pPr>
        <w:pStyle w:val="30"/>
        <w:bidi w:val="0"/>
      </w:pPr>
      <w:bookmarkStart w:id="72" w:name="_Toc22177"/>
      <w:bookmarkStart w:id="73" w:name="_Toc29139"/>
      <w:r>
        <w:t>AIOps智能运维</w:t>
      </w:r>
      <w:bookmarkEnd w:id="72"/>
      <w:bookmarkEnd w:id="73"/>
    </w:p>
    <w:p w14:paraId="3012479C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进行了行业调研，了解了AIOps在运维领域的应用现状</w:t>
      </w:r>
    </w:p>
    <w:p w14:paraId="64F668A6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收集了相关技术资料和学习资源</w:t>
      </w:r>
    </w:p>
    <w:p w14:paraId="439E8591">
      <w:pPr>
        <w:pStyle w:val="28"/>
        <w:bidi w:val="0"/>
      </w:pPr>
      <w:r>
        <w:t>第一季度新技术储备工作按计划推进，暂未形成具体应用成果。</w:t>
      </w:r>
    </w:p>
    <w:p w14:paraId="5AFF7905">
      <w:pPr>
        <w:pStyle w:val="27"/>
        <w:bidi w:val="0"/>
      </w:pPr>
      <w:bookmarkStart w:id="74" w:name="_Toc7468"/>
      <w:bookmarkStart w:id="75" w:name="_Toc15175"/>
      <w:r>
        <w:t>研发经费执行情况</w:t>
      </w:r>
      <w:bookmarkEnd w:id="74"/>
      <w:bookmarkEnd w:id="75"/>
    </w:p>
    <w:p w14:paraId="2A58C591">
      <w:pPr>
        <w:pStyle w:val="28"/>
        <w:bidi w:val="0"/>
      </w:pPr>
      <w:r>
        <w:t>2026年度运维技术研发预算经费为68万元。第一季度经费执行情况如下：</w:t>
      </w:r>
    </w:p>
    <w:tbl>
      <w:tblPr>
        <w:tblStyle w:val="21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5"/>
        <w:gridCol w:w="2046"/>
        <w:gridCol w:w="2864"/>
        <w:gridCol w:w="1636"/>
      </w:tblGrid>
      <w:tr w14:paraId="36ECC7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FDED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20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6A765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预算金额</w:t>
            </w:r>
          </w:p>
        </w:tc>
        <w:tc>
          <w:tcPr>
            <w:tcW w:w="28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6D60E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第一季度支出</w:t>
            </w:r>
          </w:p>
        </w:tc>
        <w:tc>
          <w:tcPr>
            <w:tcW w:w="16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64BA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 w14:paraId="76B2D9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BFD65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日常经费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CD63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60万元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9BC5F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12万元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9A68A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20%</w:t>
            </w:r>
          </w:p>
        </w:tc>
      </w:tr>
      <w:tr w14:paraId="486A190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8E92D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设备经费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7040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5万元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1B845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0万元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381BD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0%</w:t>
            </w:r>
          </w:p>
        </w:tc>
      </w:tr>
      <w:tr w14:paraId="7358947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18E1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外部服务费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27F32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3万元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4551A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0万元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08A7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0%</w:t>
            </w:r>
          </w:p>
        </w:tc>
      </w:tr>
      <w:tr w14:paraId="5EBF1AE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C35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9A2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68万元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E75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12万元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ABC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17.6%</w:t>
            </w:r>
          </w:p>
        </w:tc>
      </w:tr>
    </w:tbl>
    <w:p w14:paraId="246ABE04">
      <w:pPr>
        <w:pStyle w:val="28"/>
        <w:bidi w:val="0"/>
      </w:pPr>
      <w:r>
        <w:t>第一季度经费支出主要为研发人员工资薪金，设备采购和外部服务尚未发生。经费使用符合预算计划，未出现超支情况。</w:t>
      </w:r>
    </w:p>
    <w:p w14:paraId="7430648F">
      <w:pPr>
        <w:pStyle w:val="27"/>
        <w:keepNext w:val="0"/>
        <w:keepLines w:val="0"/>
        <w:widowControl w:val="0"/>
      </w:pPr>
      <w:bookmarkStart w:id="76" w:name="bookmark34"/>
      <w:bookmarkEnd w:id="76"/>
      <w:bookmarkStart w:id="77" w:name="_Toc21012"/>
      <w:r>
        <w:t>过程管理报告</w:t>
      </w:r>
      <w:bookmarkEnd w:id="77"/>
    </w:p>
    <w:p w14:paraId="00F5FEBF">
      <w:pPr>
        <w:pStyle w:val="29"/>
        <w:keepNext w:val="0"/>
        <w:keepLines w:val="0"/>
        <w:widowControl w:val="0"/>
        <w:rPr>
          <w:lang w:eastAsia="zh-CN"/>
        </w:rPr>
      </w:pPr>
      <w:bookmarkStart w:id="78" w:name="_Toc16869"/>
      <w:r>
        <w:rPr>
          <w:rFonts w:hint="eastAsia"/>
          <w:lang w:eastAsia="zh-CN"/>
        </w:rPr>
        <w:t>过程框架设计</w:t>
      </w:r>
      <w:bookmarkEnd w:id="78"/>
    </w:p>
    <w:p w14:paraId="663326BB">
      <w:pPr>
        <w:pStyle w:val="28"/>
        <w:bidi w:val="0"/>
        <w:rPr>
          <w:lang w:eastAsia="zh-CN"/>
        </w:rPr>
      </w:pPr>
      <w:r>
        <w:t>第一季度过程框架运行正常，各过程按计划执行。过程框架评价计划于下半年开展。</w:t>
      </w:r>
    </w:p>
    <w:p w14:paraId="114BA4B4">
      <w:pPr>
        <w:pStyle w:val="29"/>
        <w:keepNext w:val="0"/>
        <w:keepLines w:val="0"/>
        <w:widowControl w:val="0"/>
      </w:pPr>
      <w:bookmarkStart w:id="79" w:name="_Toc27831"/>
      <w:r>
        <w:t>服务级别管理</w:t>
      </w:r>
      <w:bookmarkEnd w:id="79"/>
    </w:p>
    <w:p w14:paraId="75DC598E">
      <w:pPr>
        <w:pStyle w:val="28"/>
        <w:bidi w:val="0"/>
        <w:rPr>
          <w:lang w:eastAsia="zh-CN"/>
        </w:rPr>
      </w:pPr>
      <w:r>
        <w:t>第一季度SLA达成率为100%，满足≥90%的目标要求。服务级别管理程序持续优化执行。</w:t>
      </w:r>
    </w:p>
    <w:p w14:paraId="33B320FC">
      <w:pPr>
        <w:pStyle w:val="29"/>
        <w:keepNext w:val="0"/>
        <w:keepLines w:val="0"/>
        <w:widowControl w:val="0"/>
      </w:pPr>
      <w:bookmarkStart w:id="80" w:name="_Toc30881"/>
      <w:r>
        <w:t>服务报告管理</w:t>
      </w:r>
      <w:bookmarkEnd w:id="80"/>
    </w:p>
    <w:p w14:paraId="04970934">
      <w:pPr>
        <w:pStyle w:val="28"/>
        <w:bidi w:val="0"/>
      </w:pPr>
      <w:r>
        <w:t>第一季度服务报告交付及时率为100%（1-3月均为100%），满足≥90%的目标要求。</w:t>
      </w:r>
    </w:p>
    <w:p w14:paraId="22994C62">
      <w:pPr>
        <w:pStyle w:val="29"/>
        <w:keepNext w:val="0"/>
        <w:keepLines w:val="0"/>
        <w:widowControl w:val="0"/>
      </w:pPr>
      <w:bookmarkStart w:id="81" w:name="_Toc32306"/>
      <w:r>
        <w:t>事件管理</w:t>
      </w:r>
      <w:bookmarkEnd w:id="81"/>
    </w:p>
    <w:p w14:paraId="26DAC91E">
      <w:pPr>
        <w:pStyle w:val="28"/>
        <w:bidi w:val="0"/>
      </w:pPr>
      <w:r>
        <w:t>第一季度事件解决率和事件按时解决率均为100%，事件回访及时率为100%，均满足≥95%的目标要求。</w:t>
      </w:r>
    </w:p>
    <w:p w14:paraId="1256D793">
      <w:pPr>
        <w:pStyle w:val="29"/>
        <w:keepNext w:val="0"/>
        <w:keepLines w:val="0"/>
        <w:widowControl w:val="0"/>
      </w:pPr>
      <w:bookmarkStart w:id="82" w:name="_Toc17989"/>
      <w:r>
        <w:t>问题管理</w:t>
      </w:r>
      <w:bookmarkEnd w:id="82"/>
    </w:p>
    <w:p w14:paraId="54DA6AE8">
      <w:pPr>
        <w:pStyle w:val="28"/>
        <w:bidi w:val="0"/>
        <w:rPr>
          <w:lang w:eastAsia="zh-CN"/>
        </w:rPr>
      </w:pPr>
      <w:r>
        <w:t>第一季度问题解决率为100%，满足≥85%的目标要求。</w:t>
      </w:r>
    </w:p>
    <w:p w14:paraId="73AAD106">
      <w:pPr>
        <w:pStyle w:val="29"/>
        <w:keepNext w:val="0"/>
        <w:keepLines w:val="0"/>
        <w:widowControl w:val="0"/>
      </w:pPr>
      <w:bookmarkStart w:id="83" w:name="_Toc9638"/>
      <w:r>
        <w:t>变更管理</w:t>
      </w:r>
      <w:bookmarkEnd w:id="83"/>
    </w:p>
    <w:p w14:paraId="7646B6C8">
      <w:pPr>
        <w:pStyle w:val="28"/>
        <w:bidi w:val="0"/>
        <w:rPr>
          <w:rFonts w:ascii="宋体" w:hAnsi="宋体" w:eastAsia="宋体" w:cs="宋体"/>
          <w:szCs w:val="24"/>
          <w:lang w:eastAsia="zh-CN"/>
        </w:rPr>
      </w:pPr>
      <w:r>
        <w:t>第一季度变更成功率为100%，满足≥98%的目标要求。</w:t>
      </w:r>
    </w:p>
    <w:p w14:paraId="5EF3B39A">
      <w:pPr>
        <w:pStyle w:val="29"/>
        <w:keepNext w:val="0"/>
        <w:keepLines w:val="0"/>
        <w:widowControl w:val="0"/>
      </w:pPr>
      <w:bookmarkStart w:id="84" w:name="_Toc23272"/>
      <w:r>
        <w:t>发布</w:t>
      </w:r>
      <w:r>
        <w:rPr>
          <w:rFonts w:hint="eastAsia"/>
          <w:lang w:eastAsia="zh-CN"/>
        </w:rPr>
        <w:t>管理</w:t>
      </w:r>
      <w:bookmarkEnd w:id="84"/>
    </w:p>
    <w:p w14:paraId="51B6AF20">
      <w:pPr>
        <w:pStyle w:val="28"/>
        <w:bidi w:val="0"/>
        <w:rPr>
          <w:rFonts w:ascii="宋体" w:hAnsi="宋体" w:eastAsia="宋体" w:cs="宋体"/>
          <w:szCs w:val="24"/>
          <w:lang w:eastAsia="zh-CN"/>
        </w:rPr>
      </w:pPr>
      <w:r>
        <w:t>第一季度发布成功率为100%，满足≥98%的目标要求。</w:t>
      </w:r>
    </w:p>
    <w:p w14:paraId="3F673CB2">
      <w:pPr>
        <w:pStyle w:val="29"/>
        <w:keepNext w:val="0"/>
        <w:keepLines w:val="0"/>
        <w:widowControl w:val="0"/>
      </w:pPr>
      <w:bookmarkStart w:id="85" w:name="_Toc4704"/>
      <w:r>
        <w:t>配置管理</w:t>
      </w:r>
      <w:bookmarkEnd w:id="85"/>
    </w:p>
    <w:p w14:paraId="1D337FD8">
      <w:pPr>
        <w:pStyle w:val="28"/>
        <w:bidi w:val="0"/>
        <w:rPr>
          <w:rFonts w:ascii="宋体" w:hAnsi="宋体" w:eastAsia="宋体" w:cs="宋体"/>
          <w:szCs w:val="24"/>
          <w:lang w:eastAsia="zh-CN"/>
        </w:rPr>
      </w:pPr>
      <w:r>
        <w:t>第一季度配置准确率为100%，满足≥95%的目标要求。</w:t>
      </w:r>
    </w:p>
    <w:p w14:paraId="0BDE5922">
      <w:pPr>
        <w:pStyle w:val="29"/>
        <w:keepNext w:val="0"/>
        <w:keepLines w:val="0"/>
        <w:widowControl w:val="0"/>
        <w:rPr>
          <w:lang w:eastAsia="zh-CN"/>
        </w:rPr>
      </w:pPr>
      <w:bookmarkStart w:id="86" w:name="_Toc12780"/>
      <w:r>
        <w:rPr>
          <w:rFonts w:hint="eastAsia"/>
          <w:lang w:eastAsia="zh-CN"/>
        </w:rPr>
        <w:t>服务可用性和连续性</w:t>
      </w:r>
      <w:bookmarkEnd w:id="86"/>
    </w:p>
    <w:p w14:paraId="33ABDC98">
      <w:pPr>
        <w:pStyle w:val="28"/>
        <w:bidi w:val="0"/>
        <w:rPr>
          <w:rFonts w:ascii="宋体" w:hAnsi="宋体" w:eastAsia="宋体" w:cs="宋体"/>
          <w:szCs w:val="24"/>
          <w:lang w:eastAsia="zh-CN"/>
        </w:rPr>
      </w:pPr>
      <w:r>
        <w:t>第一季度服务可用性为100%，服务连续性为0次，满足≥99%和≤2次的目标要求。</w:t>
      </w:r>
    </w:p>
    <w:p w14:paraId="7493EE17">
      <w:pPr>
        <w:pStyle w:val="29"/>
        <w:keepNext w:val="0"/>
        <w:keepLines w:val="0"/>
        <w:widowControl w:val="0"/>
        <w:rPr>
          <w:lang w:eastAsia="zh-CN"/>
        </w:rPr>
      </w:pPr>
      <w:bookmarkStart w:id="87" w:name="_Toc24161"/>
      <w:r>
        <w:rPr>
          <w:rFonts w:hint="eastAsia"/>
          <w:lang w:eastAsia="zh-CN"/>
        </w:rPr>
        <w:t>容量管理</w:t>
      </w:r>
      <w:bookmarkEnd w:id="87"/>
    </w:p>
    <w:p w14:paraId="30E49527">
      <w:pPr>
        <w:pStyle w:val="28"/>
        <w:bidi w:val="0"/>
        <w:rPr>
          <w:rFonts w:ascii="宋体" w:hAnsi="宋体" w:eastAsia="宋体" w:cs="宋体"/>
          <w:szCs w:val="24"/>
          <w:lang w:eastAsia="zh-CN"/>
        </w:rPr>
      </w:pPr>
      <w:r>
        <w:t>第一季度容量事件次数为0次，满足≤2次的目标要求。</w:t>
      </w:r>
    </w:p>
    <w:p w14:paraId="209A89D0">
      <w:pPr>
        <w:pStyle w:val="29"/>
        <w:keepNext w:val="0"/>
        <w:keepLines w:val="0"/>
        <w:widowControl w:val="0"/>
      </w:pPr>
      <w:bookmarkStart w:id="88" w:name="_Toc24809"/>
      <w:r>
        <w:t>信息安全管理</w:t>
      </w:r>
      <w:bookmarkEnd w:id="88"/>
    </w:p>
    <w:p w14:paraId="77CF86BE">
      <w:pPr>
        <w:pStyle w:val="28"/>
        <w:bidi w:val="0"/>
        <w:rPr>
          <w:rFonts w:ascii="宋体" w:hAnsi="宋体" w:eastAsia="宋体" w:cs="宋体"/>
          <w:szCs w:val="24"/>
          <w:lang w:eastAsia="zh-CN"/>
        </w:rPr>
      </w:pPr>
      <w:r>
        <w:t>第一季度未发生信息安全事件，满足≤1次/年的目标要求。</w:t>
      </w:r>
    </w:p>
    <w:p w14:paraId="1CE19A2B">
      <w:pPr>
        <w:pStyle w:val="29"/>
        <w:keepNext w:val="0"/>
        <w:keepLines w:val="0"/>
        <w:widowControl w:val="0"/>
      </w:pPr>
      <w:bookmarkStart w:id="89" w:name="_Toc1549"/>
      <w:r>
        <w:t>过程管理 KPI 统计</w:t>
      </w:r>
      <w:bookmarkEnd w:id="89"/>
    </w:p>
    <w:p w14:paraId="2D738593">
      <w:pPr>
        <w:pStyle w:val="28"/>
        <w:bidi w:val="0"/>
        <w:rPr>
          <w:lang w:eastAsia="zh-CN"/>
        </w:rPr>
      </w:pPr>
      <w:r>
        <w:rPr>
          <w:rFonts w:hint="eastAsia"/>
          <w:lang w:eastAsia="zh-CN"/>
        </w:rPr>
        <w:t>详见《运维服务能力管理指标达成情况》</w:t>
      </w:r>
    </w:p>
    <w:p w14:paraId="00BED9DF">
      <w:pPr>
        <w:pStyle w:val="27"/>
        <w:keepNext w:val="0"/>
        <w:keepLines w:val="0"/>
        <w:widowControl w:val="0"/>
      </w:pPr>
      <w:bookmarkStart w:id="90" w:name="_Toc794"/>
      <w:r>
        <w:t>交付管理</w:t>
      </w:r>
      <w:bookmarkEnd w:id="90"/>
    </w:p>
    <w:p w14:paraId="6BE73E2F">
      <w:pPr>
        <w:pStyle w:val="28"/>
        <w:bidi w:val="0"/>
        <w:rPr>
          <w:rFonts w:hint="default" w:ascii="宋体" w:hAnsi="宋体" w:eastAsia="宋体" w:cs="宋体"/>
          <w:szCs w:val="24"/>
          <w:lang w:val="en-US" w:eastAsia="zh-CN"/>
        </w:rPr>
      </w:pPr>
      <w:r>
        <w:t>第一季度严格执行交付管理规范，持续优化运维交付相关的管理过程。针对在运行项目，按照规定编制了项目交付服务计划，并对交付物进行规范化管理。</w:t>
      </w:r>
      <w:r>
        <w:rPr>
          <w:rFonts w:hint="eastAsia"/>
          <w:lang w:val="en-US" w:eastAsia="zh-CN"/>
        </w:rPr>
        <w:t>第一季度交付文档合规性达到100%</w:t>
      </w:r>
    </w:p>
    <w:p w14:paraId="7C933026">
      <w:pPr>
        <w:pStyle w:val="27"/>
        <w:keepNext w:val="0"/>
        <w:keepLines w:val="0"/>
        <w:widowControl w:val="0"/>
      </w:pPr>
      <w:bookmarkStart w:id="91" w:name="_Toc11894"/>
      <w:r>
        <w:t>应急响应</w:t>
      </w:r>
      <w:bookmarkEnd w:id="91"/>
    </w:p>
    <w:p w14:paraId="7573C944">
      <w:pPr>
        <w:pStyle w:val="28"/>
        <w:bidi w:val="0"/>
        <w:rPr>
          <w:rFonts w:ascii="宋体" w:hAnsi="宋体" w:eastAsia="宋体" w:cs="宋体"/>
          <w:spacing w:val="-1"/>
          <w:szCs w:val="24"/>
          <w:lang w:eastAsia="zh-CN"/>
        </w:rPr>
      </w:pPr>
      <w:r>
        <w:t>第一季度完成了应急响应管理制度的宣贯，所有运维工程师熟悉应急响应规范。应急响应规范与应急预案培训计划于4月组织。</w:t>
      </w:r>
    </w:p>
    <w:p w14:paraId="0591068F">
      <w:pPr>
        <w:pStyle w:val="27"/>
        <w:keepNext w:val="0"/>
        <w:keepLines w:val="0"/>
        <w:widowControl w:val="0"/>
      </w:pPr>
      <w:bookmarkStart w:id="92" w:name="_Toc19717"/>
      <w:r>
        <w:t>质量管理</w:t>
      </w:r>
      <w:bookmarkEnd w:id="92"/>
    </w:p>
    <w:p w14:paraId="026783CA">
      <w:pPr>
        <w:pStyle w:val="29"/>
        <w:keepNext w:val="0"/>
        <w:keepLines w:val="0"/>
        <w:widowControl w:val="0"/>
      </w:pPr>
      <w:bookmarkStart w:id="93" w:name="bookmark36"/>
      <w:bookmarkEnd w:id="93"/>
      <w:bookmarkStart w:id="94" w:name="_Toc14048"/>
      <w:r>
        <w:t>内审</w:t>
      </w:r>
      <w:bookmarkEnd w:id="94"/>
    </w:p>
    <w:p w14:paraId="116E27F7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r>
        <w:t>根据2026年度质量管理计划，内部评审计划于2026年12月进行，目前尚未开展。公司将在2026年12月组织内审活动，对运维服务能力体系的运行情况进行全面审核，届时将形成内部审核报告。</w:t>
      </w:r>
    </w:p>
    <w:p w14:paraId="0725B871">
      <w:pPr>
        <w:pStyle w:val="29"/>
        <w:keepNext w:val="0"/>
        <w:keepLines w:val="0"/>
        <w:widowControl w:val="0"/>
      </w:pPr>
      <w:bookmarkStart w:id="95" w:name="_Toc29290"/>
      <w:r>
        <w:t>管理评审</w:t>
      </w:r>
      <w:bookmarkEnd w:id="95"/>
    </w:p>
    <w:p w14:paraId="3F72720A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r>
        <w:t>根据2026年度质量管理计划，管理评审计划于2026年12月进行，在内部评审完成后组织实施，目前尚未开展。届时将基于内审结果、KPI达成情况、客户满意度调查结果等输入材料，对运维服务体系的适宜性、充分性和有效性进行评价。</w:t>
      </w:r>
    </w:p>
    <w:p w14:paraId="602072D1">
      <w:pPr>
        <w:pStyle w:val="29"/>
        <w:keepNext w:val="0"/>
        <w:keepLines w:val="0"/>
        <w:widowControl w:val="0"/>
      </w:pPr>
      <w:bookmarkStart w:id="96" w:name="_Toc14184"/>
      <w:r>
        <w:t>客户满意度调查</w:t>
      </w:r>
      <w:bookmarkEnd w:id="96"/>
    </w:p>
    <w:p w14:paraId="509CA40F">
      <w:pPr>
        <w:pStyle w:val="28"/>
        <w:bidi w:val="0"/>
      </w:pPr>
      <w:r>
        <w:t>根据《2026年度运维服务质量管理计划》，公司级客户满意度调查计划于2026年12月进行，第一季度尚未开展。项目级的客户满意度调查持续进行，对每个已解决的事件或问题在24小时内进行电话回访。</w:t>
      </w:r>
    </w:p>
    <w:p w14:paraId="448D6344">
      <w:pPr>
        <w:pStyle w:val="27"/>
        <w:keepNext w:val="0"/>
        <w:keepLines w:val="0"/>
        <w:widowControl w:val="0"/>
      </w:pPr>
      <w:bookmarkStart w:id="97" w:name="_Toc6348"/>
      <w:r>
        <w:t>总结与改进</w:t>
      </w:r>
      <w:bookmarkEnd w:id="97"/>
    </w:p>
    <w:p w14:paraId="46DD0ED5">
      <w:pPr>
        <w:widowControl w:val="0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第一季度能力管理工作中发现以下问题：</w:t>
      </w:r>
    </w:p>
    <w:p w14:paraId="4EEE8B56">
      <w:pPr>
        <w:widowControl w:val="0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新员工融入周期偏长：新入职的运维实施工程师对运维流程和工具的熟悉程度有待提高，独立处理故障的能力需要加强。</w:t>
      </w:r>
    </w:p>
    <w:p w14:paraId="0519BA20">
      <w:pPr>
        <w:widowControl w:val="0"/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培训效果跟踪不够系统：培训后的效果评估主要依赖考核成绩，缺乏对培训内容在实际工作中应用效果的跟踪。</w:t>
      </w:r>
    </w:p>
    <w:sectPr>
      <w:footerReference r:id="rId6" w:type="default"/>
      <w:pgSz w:w="11906" w:h="16839"/>
      <w:pgMar w:top="1039" w:right="1245" w:bottom="1465" w:left="1768" w:header="0" w:footer="12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4B4EB">
    <w:pPr>
      <w:pStyle w:val="12"/>
      <w:spacing w:before="64" w:line="183" w:lineRule="auto"/>
      <w:ind w:left="4416"/>
      <w:rPr>
        <w:sz w:val="18"/>
        <w:szCs w:val="18"/>
      </w:rPr>
    </w:pPr>
    <w:r>
      <w:pict>
        <v:shape id="_x0000_s4097" o:spid="_x0000_s4097" style="position:absolute;left:0pt;margin-left:88.4pt;margin-top:768.6pt;height:0.25pt;width:444.65pt;mso-position-horizontal-relative:page;mso-position-vertical-relative:page;z-index:251659264;mso-width-relative:page;mso-height-relative:page;" filled="f" coordsize="8892,5" o:allowincell="f" path="m0,2l8892,2e">
          <v:fill on="f" focussize="0,0"/>
          <v:stroke joinstyle="miter"/>
          <v:imagedata o:title=""/>
          <o:lock v:ext="edit"/>
        </v:shape>
      </w:pict>
    </w:r>
    <w:r>
      <w:rPr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71AED">
    <w:pPr>
      <w:pStyle w:val="12"/>
      <w:spacing w:before="64" w:line="183" w:lineRule="auto"/>
      <w:ind w:left="4365"/>
      <w:rPr>
        <w:sz w:val="18"/>
        <w:szCs w:val="18"/>
      </w:rPr>
    </w:pPr>
    <w:r>
      <w:pict>
        <v:shape id="_x0000_s4099" o:spid="_x0000_s4099" style="position:absolute;left:0pt;margin-left:88.4pt;margin-top:768.6pt;height:0.25pt;width:444.65pt;mso-position-horizontal-relative:page;mso-position-vertical-relative:page;z-index:251660288;mso-width-relative:page;mso-height-relative:page;" filled="f" coordsize="8892,5" o:allowincell="f" path="m0,2l8892,2e">
          <v:fill on="f" focussize="0,0"/>
          <v:stroke joinstyle="miter"/>
          <v:imagedata o:title=""/>
          <o:lock v:ext="edit"/>
        </v:shape>
      </w:pict>
    </w:r>
    <w:r>
      <w:rPr>
        <w:spacing w:val="-5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9F948D2"/>
    <w:multiLevelType w:val="singleLevel"/>
    <w:tmpl w:val="C9F948D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D5D42D53"/>
    <w:multiLevelType w:val="singleLevel"/>
    <w:tmpl w:val="D5D42D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E7BA8D7"/>
    <w:multiLevelType w:val="singleLevel"/>
    <w:tmpl w:val="DE7BA8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B66857C"/>
    <w:multiLevelType w:val="singleLevel"/>
    <w:tmpl w:val="FB6685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8721F9F"/>
    <w:multiLevelType w:val="singleLevel"/>
    <w:tmpl w:val="38721F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57E1B62"/>
    <w:multiLevelType w:val="singleLevel"/>
    <w:tmpl w:val="557E1B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8400D60"/>
    <w:multiLevelType w:val="singleLevel"/>
    <w:tmpl w:val="58400D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B426135"/>
    <w:multiLevelType w:val="singleLevel"/>
    <w:tmpl w:val="7B4261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471AB7"/>
    <w:rsid w:val="000F7638"/>
    <w:rsid w:val="001174E8"/>
    <w:rsid w:val="001E5B49"/>
    <w:rsid w:val="002C7AA7"/>
    <w:rsid w:val="00304C68"/>
    <w:rsid w:val="00393242"/>
    <w:rsid w:val="00471AB7"/>
    <w:rsid w:val="005247F7"/>
    <w:rsid w:val="00577718"/>
    <w:rsid w:val="007022B7"/>
    <w:rsid w:val="0074488D"/>
    <w:rsid w:val="007F0FE4"/>
    <w:rsid w:val="00820D1C"/>
    <w:rsid w:val="009174D5"/>
    <w:rsid w:val="009C3EC3"/>
    <w:rsid w:val="009E511E"/>
    <w:rsid w:val="00BD6628"/>
    <w:rsid w:val="00CC5D09"/>
    <w:rsid w:val="00DC7F9C"/>
    <w:rsid w:val="00F7693D"/>
    <w:rsid w:val="0145706D"/>
    <w:rsid w:val="017716F4"/>
    <w:rsid w:val="022C6982"/>
    <w:rsid w:val="02A429BD"/>
    <w:rsid w:val="049802FF"/>
    <w:rsid w:val="0571302A"/>
    <w:rsid w:val="073E7F7D"/>
    <w:rsid w:val="07596E81"/>
    <w:rsid w:val="075E75DE"/>
    <w:rsid w:val="080C703A"/>
    <w:rsid w:val="084E7652"/>
    <w:rsid w:val="09E07D73"/>
    <w:rsid w:val="0B534F80"/>
    <w:rsid w:val="0C9F66CF"/>
    <w:rsid w:val="0D1129FD"/>
    <w:rsid w:val="0DF02F5A"/>
    <w:rsid w:val="0F751969"/>
    <w:rsid w:val="0F7A2ADB"/>
    <w:rsid w:val="10B43243"/>
    <w:rsid w:val="12011292"/>
    <w:rsid w:val="139B2F3F"/>
    <w:rsid w:val="14E11AFE"/>
    <w:rsid w:val="14FF0009"/>
    <w:rsid w:val="15532D61"/>
    <w:rsid w:val="15A96F18"/>
    <w:rsid w:val="162E461F"/>
    <w:rsid w:val="18273A1C"/>
    <w:rsid w:val="1AB772D9"/>
    <w:rsid w:val="1ABD5F72"/>
    <w:rsid w:val="1BEA3C1B"/>
    <w:rsid w:val="1CF540E9"/>
    <w:rsid w:val="1E0F4D36"/>
    <w:rsid w:val="1E8B670B"/>
    <w:rsid w:val="1EEE53EA"/>
    <w:rsid w:val="1F9C6A9E"/>
    <w:rsid w:val="214B42D7"/>
    <w:rsid w:val="21917523"/>
    <w:rsid w:val="219C0FD7"/>
    <w:rsid w:val="21C347B6"/>
    <w:rsid w:val="22CB3471"/>
    <w:rsid w:val="24747FE9"/>
    <w:rsid w:val="24CD76F9"/>
    <w:rsid w:val="25453733"/>
    <w:rsid w:val="259F1096"/>
    <w:rsid w:val="25DA0320"/>
    <w:rsid w:val="283F090E"/>
    <w:rsid w:val="2849353B"/>
    <w:rsid w:val="2ACB6BCE"/>
    <w:rsid w:val="2ADE440E"/>
    <w:rsid w:val="2B520958"/>
    <w:rsid w:val="2C293467"/>
    <w:rsid w:val="2DB77FBC"/>
    <w:rsid w:val="2F6824F8"/>
    <w:rsid w:val="319A4271"/>
    <w:rsid w:val="333A0650"/>
    <w:rsid w:val="34627E5E"/>
    <w:rsid w:val="355C2AFF"/>
    <w:rsid w:val="35F5085E"/>
    <w:rsid w:val="36A75FFC"/>
    <w:rsid w:val="37054AD1"/>
    <w:rsid w:val="377D6D5D"/>
    <w:rsid w:val="3D0F48FB"/>
    <w:rsid w:val="3EBF1A09"/>
    <w:rsid w:val="3ED90D1D"/>
    <w:rsid w:val="3EEC6CA2"/>
    <w:rsid w:val="3F5A43A9"/>
    <w:rsid w:val="40D039FD"/>
    <w:rsid w:val="4427077C"/>
    <w:rsid w:val="44CE6E4A"/>
    <w:rsid w:val="45333056"/>
    <w:rsid w:val="45515F3F"/>
    <w:rsid w:val="464A0752"/>
    <w:rsid w:val="46E26BDC"/>
    <w:rsid w:val="46FF778E"/>
    <w:rsid w:val="47744EFD"/>
    <w:rsid w:val="480474EA"/>
    <w:rsid w:val="482254E2"/>
    <w:rsid w:val="48272AF9"/>
    <w:rsid w:val="48607C4D"/>
    <w:rsid w:val="4D537EEC"/>
    <w:rsid w:val="4E0833CC"/>
    <w:rsid w:val="4E5B34FC"/>
    <w:rsid w:val="4EDE5EDB"/>
    <w:rsid w:val="50A4505B"/>
    <w:rsid w:val="51FF6894"/>
    <w:rsid w:val="53312A7E"/>
    <w:rsid w:val="53F70CB8"/>
    <w:rsid w:val="54244390"/>
    <w:rsid w:val="545A3859"/>
    <w:rsid w:val="5474356A"/>
    <w:rsid w:val="548A4B3B"/>
    <w:rsid w:val="55342CF9"/>
    <w:rsid w:val="553B5E36"/>
    <w:rsid w:val="554A7E27"/>
    <w:rsid w:val="564E3947"/>
    <w:rsid w:val="5674090C"/>
    <w:rsid w:val="56D227CA"/>
    <w:rsid w:val="57770C7B"/>
    <w:rsid w:val="57B95737"/>
    <w:rsid w:val="581666E6"/>
    <w:rsid w:val="5827444F"/>
    <w:rsid w:val="58472D43"/>
    <w:rsid w:val="59B343A0"/>
    <w:rsid w:val="59CC52AE"/>
    <w:rsid w:val="5AF01470"/>
    <w:rsid w:val="5B7553BB"/>
    <w:rsid w:val="5B914AE3"/>
    <w:rsid w:val="5C124EDB"/>
    <w:rsid w:val="5C473312"/>
    <w:rsid w:val="5DCD7847"/>
    <w:rsid w:val="5E1E30D6"/>
    <w:rsid w:val="609E54CA"/>
    <w:rsid w:val="60DF620F"/>
    <w:rsid w:val="60E6759D"/>
    <w:rsid w:val="625F0F71"/>
    <w:rsid w:val="63307853"/>
    <w:rsid w:val="635051A2"/>
    <w:rsid w:val="64A01A5C"/>
    <w:rsid w:val="65744A4C"/>
    <w:rsid w:val="66E3632D"/>
    <w:rsid w:val="68155815"/>
    <w:rsid w:val="691B590A"/>
    <w:rsid w:val="695E19E0"/>
    <w:rsid w:val="69715E72"/>
    <w:rsid w:val="699F478D"/>
    <w:rsid w:val="6A696B49"/>
    <w:rsid w:val="6B3453A9"/>
    <w:rsid w:val="6B5D1FEB"/>
    <w:rsid w:val="6B9419A4"/>
    <w:rsid w:val="6CF03552"/>
    <w:rsid w:val="6D6005AA"/>
    <w:rsid w:val="6F51652A"/>
    <w:rsid w:val="6F547DC8"/>
    <w:rsid w:val="6F5B73A8"/>
    <w:rsid w:val="6F6F1BAD"/>
    <w:rsid w:val="6F885CC3"/>
    <w:rsid w:val="720A6E64"/>
    <w:rsid w:val="72C2124B"/>
    <w:rsid w:val="730218E9"/>
    <w:rsid w:val="734A24D4"/>
    <w:rsid w:val="73AC3271"/>
    <w:rsid w:val="74F916B0"/>
    <w:rsid w:val="757D16FB"/>
    <w:rsid w:val="75B4336E"/>
    <w:rsid w:val="75E65B81"/>
    <w:rsid w:val="775D3592"/>
    <w:rsid w:val="77D777E8"/>
    <w:rsid w:val="79D468AD"/>
    <w:rsid w:val="7AB20098"/>
    <w:rsid w:val="7BE20509"/>
    <w:rsid w:val="7BFB100C"/>
    <w:rsid w:val="7D4A0862"/>
    <w:rsid w:val="7FC3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Balloon Text"/>
    <w:basedOn w:val="1"/>
    <w:link w:val="45"/>
    <w:qFormat/>
    <w:uiPriority w:val="0"/>
    <w:pPr>
      <w:spacing w:line="240" w:lineRule="auto"/>
    </w:pPr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4">
    <w:name w:val="Strong"/>
    <w:basedOn w:val="23"/>
    <w:qFormat/>
    <w:uiPriority w:val="0"/>
    <w:rPr>
      <w:b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28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2">
    <w:name w:val="柴_公司名"/>
    <w:basedOn w:val="20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33">
    <w:name w:val="柴_文档名"/>
    <w:basedOn w:val="20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  <w:style w:type="character" w:customStyle="1" w:styleId="44">
    <w:name w:val="font11"/>
    <w:basedOn w:val="23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character" w:customStyle="1" w:styleId="45">
    <w:name w:val="批注框文本 Char"/>
    <w:basedOn w:val="23"/>
    <w:link w:val="14"/>
    <w:qFormat/>
    <w:uiPriority w:val="0"/>
    <w:rPr>
      <w:rFonts w:eastAsia="宋体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3630</Words>
  <Characters>4062</Characters>
  <Lines>82</Lines>
  <Paragraphs>23</Paragraphs>
  <TotalTime>0</TotalTime>
  <ScaleCrop>false</ScaleCrop>
  <LinksUpToDate>false</LinksUpToDate>
  <CharactersWithSpaces>4315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2022-05-19T06:34:00Z</dcterms:created>
  <dc:creator>杜旭晖</dc:creator>
  <cp:lastModifiedBy>郝宇</cp:lastModifiedBy>
  <dcterms:modified xsi:type="dcterms:W3CDTF">2026-04-27T11:10:54Z</dcterms:modified>
  <dc:title>XXXX市电子政务安全防护系统技术方案建议书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2025-08-16T14:30:57Z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80E20EC2D5A6438383B75D1752299334_12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