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7A0548">
      <w:pPr>
        <w:pStyle w:val="32"/>
        <w:widowControl w:val="0"/>
        <w:spacing w:after="1440"/>
        <w:rPr>
          <w:rFonts w:hint="default"/>
        </w:rPr>
      </w:pPr>
    </w:p>
    <w:p w14:paraId="6671E89D">
      <w:pPr>
        <w:pStyle w:val="32"/>
        <w:widowControl w:val="0"/>
        <w:spacing w:after="1440"/>
        <w:rPr>
          <w:rFonts w:hint="default"/>
        </w:rPr>
      </w:pPr>
      <w:bookmarkStart w:id="0" w:name="_Toc16962"/>
      <w:r>
        <w:t>2025年</w:t>
      </w:r>
      <w:r>
        <w:rPr>
          <w:rFonts w:hint="eastAsia"/>
          <w:lang w:val="en-US" w:eastAsia="zh-CN"/>
        </w:rPr>
        <w:t>度</w:t>
      </w:r>
      <w:r>
        <w:t>运维服务质量管理计划</w:t>
      </w:r>
      <w:bookmarkEnd w:id="0"/>
    </w:p>
    <w:p w14:paraId="207BF733">
      <w:pPr>
        <w:pStyle w:val="12"/>
        <w:widowControl w:val="0"/>
        <w:spacing w:line="251" w:lineRule="auto"/>
      </w:pPr>
    </w:p>
    <w:p w14:paraId="4F421042">
      <w:pPr>
        <w:pStyle w:val="33"/>
        <w:widowControl w:val="0"/>
        <w:spacing w:after="2160"/>
      </w:pPr>
      <w:bookmarkStart w:id="1" w:name="_Toc32278"/>
      <w:r>
        <w:t>江苏云储智能科技有限公司</w:t>
      </w:r>
      <w:bookmarkEnd w:id="1"/>
    </w:p>
    <w:p w14:paraId="197CEBBE">
      <w:pPr>
        <w:widowControl w:val="0"/>
        <w:spacing w:before="224" w:line="220" w:lineRule="auto"/>
        <w:ind w:left="2925"/>
        <w:rPr>
          <w:rFonts w:ascii="宋体" w:hAnsi="宋体" w:cs="宋体"/>
          <w:sz w:val="36"/>
          <w:szCs w:val="36"/>
        </w:rPr>
      </w:pPr>
      <w:r>
        <w:rPr>
          <w:rFonts w:ascii="宋体" w:hAnsi="宋体" w:cs="宋体"/>
          <w:spacing w:val="-12"/>
          <w:sz w:val="36"/>
          <w:szCs w:val="36"/>
        </w:rPr>
        <w:t>2025年1月</w:t>
      </w:r>
      <w:r>
        <w:rPr>
          <w:rFonts w:hint="eastAsia" w:ascii="宋体" w:hAnsi="宋体" w:cs="宋体"/>
          <w:spacing w:val="-12"/>
          <w:sz w:val="36"/>
          <w:szCs w:val="36"/>
          <w:lang w:eastAsia="zh-CN"/>
        </w:rPr>
        <w:t>5</w:t>
      </w:r>
      <w:r>
        <w:rPr>
          <w:rFonts w:ascii="宋体" w:hAnsi="宋体" w:cs="宋体"/>
          <w:spacing w:val="-12"/>
          <w:sz w:val="36"/>
          <w:szCs w:val="36"/>
        </w:rPr>
        <w:t>日</w:t>
      </w:r>
    </w:p>
    <w:p w14:paraId="2B6F65EE">
      <w:pPr>
        <w:widowControl w:val="0"/>
        <w:spacing w:line="220" w:lineRule="auto"/>
        <w:rPr>
          <w:rFonts w:ascii="宋体" w:hAnsi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0BA12CDD">
      <w:pPr>
        <w:pStyle w:val="12"/>
        <w:widowControl w:val="0"/>
        <w:spacing w:line="363" w:lineRule="auto"/>
      </w:pPr>
    </w:p>
    <w:p w14:paraId="6BAC35F8">
      <w:pPr>
        <w:widowControl w:val="0"/>
        <w:spacing w:before="91" w:line="220" w:lineRule="auto"/>
        <w:ind w:left="3620"/>
        <w:outlineLvl w:val="0"/>
        <w:rPr>
          <w:rFonts w:ascii="宋体" w:hAnsi="宋体" w:cs="宋体"/>
          <w:sz w:val="28"/>
          <w:szCs w:val="28"/>
        </w:rPr>
      </w:pPr>
      <w:bookmarkStart w:id="2" w:name="_Toc23904"/>
      <w:r>
        <w:rPr>
          <w:rFonts w:ascii="宋体" w:hAnsi="宋体" w:cs="宋体"/>
          <w:spacing w:val="-3"/>
          <w:sz w:val="28"/>
          <w:szCs w:val="28"/>
        </w:rPr>
        <w:t>文档信息</w:t>
      </w:r>
      <w:bookmarkEnd w:id="2"/>
    </w:p>
    <w:p w14:paraId="11F612F4">
      <w:pPr>
        <w:widowControl w:val="0"/>
        <w:spacing w:line="131" w:lineRule="exact"/>
      </w:pPr>
    </w:p>
    <w:tbl>
      <w:tblPr>
        <w:tblStyle w:val="25"/>
        <w:tblW w:w="9071" w:type="dxa"/>
        <w:tblInd w:w="2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44"/>
        <w:gridCol w:w="2271"/>
        <w:gridCol w:w="1557"/>
        <w:gridCol w:w="1953"/>
      </w:tblGrid>
      <w:tr w14:paraId="00D1B70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846" w:type="dxa"/>
          </w:tcPr>
          <w:p w14:paraId="05BAFF5F">
            <w:pPr>
              <w:pStyle w:val="26"/>
              <w:widowControl w:val="0"/>
              <w:spacing w:before="185" w:line="220" w:lineRule="auto"/>
              <w:ind w:left="207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225" w:type="dxa"/>
            <w:gridSpan w:val="4"/>
          </w:tcPr>
          <w:p w14:paraId="7C7F4AEF">
            <w:pPr>
              <w:pStyle w:val="26"/>
              <w:widowControl w:val="0"/>
              <w:spacing w:before="185" w:line="218" w:lineRule="auto"/>
              <w:ind w:left="112"/>
            </w:pPr>
            <w:r>
              <w:t>2025年运维服务质量管理计划（JSYC-IT</w:t>
            </w:r>
            <w:r>
              <w:rPr>
                <w:spacing w:val="-1"/>
              </w:rPr>
              <w:t>SS-YWFWZLGLJH）</w:t>
            </w:r>
          </w:p>
        </w:tc>
      </w:tr>
      <w:tr w14:paraId="78FEC1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68529F45">
            <w:pPr>
              <w:pStyle w:val="26"/>
              <w:widowControl w:val="0"/>
              <w:spacing w:before="182" w:line="220" w:lineRule="auto"/>
              <w:ind w:left="447"/>
            </w:pPr>
            <w:r>
              <w:rPr>
                <w:spacing w:val="-3"/>
              </w:rPr>
              <w:t>编制单位</w:t>
            </w:r>
          </w:p>
        </w:tc>
        <w:tc>
          <w:tcPr>
            <w:tcW w:w="7225" w:type="dxa"/>
            <w:gridSpan w:val="4"/>
          </w:tcPr>
          <w:p w14:paraId="708194BE">
            <w:pPr>
              <w:pStyle w:val="26"/>
              <w:widowControl w:val="0"/>
              <w:spacing w:before="182" w:line="219" w:lineRule="auto"/>
              <w:ind w:left="109"/>
            </w:pPr>
            <w:r>
              <w:rPr>
                <w:spacing w:val="-1"/>
              </w:rPr>
              <w:t>江苏云储智能科技有限公司</w:t>
            </w:r>
          </w:p>
        </w:tc>
      </w:tr>
      <w:tr w14:paraId="0F6B2B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34CAEA98">
            <w:pPr>
              <w:pStyle w:val="26"/>
              <w:widowControl w:val="0"/>
              <w:spacing w:before="184" w:line="219" w:lineRule="auto"/>
              <w:ind w:left="447"/>
            </w:pPr>
            <w:r>
              <w:rPr>
                <w:spacing w:val="-3"/>
              </w:rPr>
              <w:t>文档版本</w:t>
            </w:r>
          </w:p>
        </w:tc>
        <w:tc>
          <w:tcPr>
            <w:tcW w:w="1444" w:type="dxa"/>
          </w:tcPr>
          <w:p w14:paraId="7B406000">
            <w:pPr>
              <w:pStyle w:val="26"/>
              <w:widowControl w:val="0"/>
              <w:spacing w:before="184" w:line="219" w:lineRule="auto"/>
              <w:ind w:left="245"/>
            </w:pPr>
            <w:r>
              <w:rPr>
                <w:spacing w:val="-2"/>
              </w:rPr>
              <w:t>版本日期</w:t>
            </w:r>
          </w:p>
        </w:tc>
        <w:tc>
          <w:tcPr>
            <w:tcW w:w="2271" w:type="dxa"/>
          </w:tcPr>
          <w:p w14:paraId="7BFB6B4E">
            <w:pPr>
              <w:pStyle w:val="26"/>
              <w:widowControl w:val="0"/>
              <w:spacing w:before="184" w:line="219" w:lineRule="auto"/>
              <w:ind w:left="661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7FD1D234">
            <w:pPr>
              <w:pStyle w:val="26"/>
              <w:widowControl w:val="0"/>
              <w:spacing w:before="185" w:line="220" w:lineRule="auto"/>
              <w:ind w:left="546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21B00F35">
            <w:pPr>
              <w:pStyle w:val="26"/>
              <w:widowControl w:val="0"/>
              <w:spacing w:before="185" w:line="220" w:lineRule="auto"/>
              <w:ind w:left="755"/>
            </w:pPr>
            <w:r>
              <w:rPr>
                <w:spacing w:val="-6"/>
              </w:rPr>
              <w:t>审核</w:t>
            </w:r>
          </w:p>
        </w:tc>
      </w:tr>
      <w:tr w14:paraId="7406EE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094D7332">
            <w:pPr>
              <w:pStyle w:val="26"/>
              <w:widowControl w:val="0"/>
              <w:spacing w:before="154" w:line="238" w:lineRule="auto"/>
              <w:ind w:left="680"/>
            </w:pPr>
            <w:r>
              <w:rPr>
                <w:spacing w:val="-1"/>
              </w:rPr>
              <w:t>V1.0</w:t>
            </w:r>
          </w:p>
        </w:tc>
        <w:tc>
          <w:tcPr>
            <w:tcW w:w="1444" w:type="dxa"/>
          </w:tcPr>
          <w:p w14:paraId="39B22A73">
            <w:pPr>
              <w:pStyle w:val="26"/>
              <w:widowControl w:val="0"/>
              <w:spacing w:before="154" w:line="238" w:lineRule="auto"/>
              <w:ind w:left="247"/>
              <w:rPr>
                <w:lang w:eastAsia="zh-CN"/>
              </w:rPr>
            </w:pPr>
            <w:r>
              <w:rPr>
                <w:spacing w:val="-2"/>
              </w:rPr>
              <w:t>2025-1-</w:t>
            </w:r>
            <w:r>
              <w:rPr>
                <w:rFonts w:hint="eastAsia"/>
                <w:spacing w:val="-2"/>
                <w:lang w:eastAsia="zh-CN"/>
              </w:rPr>
              <w:t>5</w:t>
            </w:r>
          </w:p>
        </w:tc>
        <w:tc>
          <w:tcPr>
            <w:tcW w:w="2271" w:type="dxa"/>
          </w:tcPr>
          <w:p w14:paraId="10208951">
            <w:pPr>
              <w:pStyle w:val="26"/>
              <w:widowControl w:val="0"/>
              <w:spacing w:before="119" w:line="219" w:lineRule="auto"/>
              <w:ind w:left="664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24984773">
            <w:pPr>
              <w:pStyle w:val="26"/>
              <w:widowControl w:val="0"/>
              <w:spacing w:before="119" w:line="220" w:lineRule="auto"/>
              <w:ind w:left="427"/>
              <w:rPr>
                <w:lang w:eastAsia="zh-CN"/>
              </w:rPr>
            </w:pPr>
            <w:r>
              <w:rPr>
                <w:rFonts w:hint="eastAsia"/>
                <w:spacing w:val="-3"/>
                <w:lang w:eastAsia="zh-CN"/>
              </w:rPr>
              <w:t>郑云</w:t>
            </w:r>
          </w:p>
        </w:tc>
        <w:tc>
          <w:tcPr>
            <w:tcW w:w="1953" w:type="dxa"/>
          </w:tcPr>
          <w:p w14:paraId="5E7C1430">
            <w:pPr>
              <w:pStyle w:val="26"/>
              <w:widowControl w:val="0"/>
              <w:spacing w:before="120" w:line="221" w:lineRule="auto"/>
              <w:ind w:left="625"/>
              <w:rPr>
                <w:lang w:eastAsia="zh-CN"/>
              </w:rPr>
            </w:pPr>
            <w:r>
              <w:rPr>
                <w:rFonts w:hint="eastAsia"/>
                <w:spacing w:val="-3"/>
                <w:lang w:eastAsia="zh-CN"/>
              </w:rPr>
              <w:t>史晓玲</w:t>
            </w:r>
          </w:p>
        </w:tc>
      </w:tr>
      <w:tr w14:paraId="6DCF0F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26702B16">
            <w:pPr>
              <w:widowControl w:val="0"/>
            </w:pPr>
          </w:p>
        </w:tc>
        <w:tc>
          <w:tcPr>
            <w:tcW w:w="1444" w:type="dxa"/>
          </w:tcPr>
          <w:p w14:paraId="1D34E379">
            <w:pPr>
              <w:widowControl w:val="0"/>
            </w:pPr>
          </w:p>
        </w:tc>
        <w:tc>
          <w:tcPr>
            <w:tcW w:w="2271" w:type="dxa"/>
          </w:tcPr>
          <w:p w14:paraId="6CEBBCC0">
            <w:pPr>
              <w:widowControl w:val="0"/>
            </w:pPr>
          </w:p>
        </w:tc>
        <w:tc>
          <w:tcPr>
            <w:tcW w:w="1557" w:type="dxa"/>
          </w:tcPr>
          <w:p w14:paraId="4AEE2052">
            <w:pPr>
              <w:widowControl w:val="0"/>
            </w:pPr>
          </w:p>
        </w:tc>
        <w:tc>
          <w:tcPr>
            <w:tcW w:w="1953" w:type="dxa"/>
          </w:tcPr>
          <w:p w14:paraId="2AB8937D">
            <w:pPr>
              <w:widowControl w:val="0"/>
            </w:pPr>
          </w:p>
        </w:tc>
      </w:tr>
      <w:tr w14:paraId="1CC17F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8" w:hRule="atLeast"/>
        </w:trPr>
        <w:tc>
          <w:tcPr>
            <w:tcW w:w="1846" w:type="dxa"/>
          </w:tcPr>
          <w:p w14:paraId="7A0A1BAB">
            <w:pPr>
              <w:widowControl w:val="0"/>
            </w:pPr>
          </w:p>
        </w:tc>
        <w:tc>
          <w:tcPr>
            <w:tcW w:w="1444" w:type="dxa"/>
          </w:tcPr>
          <w:p w14:paraId="4D426CEB">
            <w:pPr>
              <w:widowControl w:val="0"/>
            </w:pPr>
          </w:p>
        </w:tc>
        <w:tc>
          <w:tcPr>
            <w:tcW w:w="2271" w:type="dxa"/>
          </w:tcPr>
          <w:p w14:paraId="7D32DF94">
            <w:pPr>
              <w:widowControl w:val="0"/>
            </w:pPr>
          </w:p>
        </w:tc>
        <w:tc>
          <w:tcPr>
            <w:tcW w:w="1557" w:type="dxa"/>
          </w:tcPr>
          <w:p w14:paraId="4DE33C95">
            <w:pPr>
              <w:widowControl w:val="0"/>
            </w:pPr>
          </w:p>
        </w:tc>
        <w:tc>
          <w:tcPr>
            <w:tcW w:w="1953" w:type="dxa"/>
          </w:tcPr>
          <w:p w14:paraId="4F70B717">
            <w:pPr>
              <w:widowControl w:val="0"/>
            </w:pPr>
          </w:p>
        </w:tc>
      </w:tr>
    </w:tbl>
    <w:p w14:paraId="3A9B4571">
      <w:pPr>
        <w:pStyle w:val="12"/>
        <w:widowControl w:val="0"/>
      </w:pPr>
    </w:p>
    <w:p w14:paraId="0DFCB0BE">
      <w:pPr>
        <w:widowControl w:val="0"/>
        <w:sectPr>
          <w:pgSz w:w="11906" w:h="16839"/>
          <w:pgMar w:top="1431" w:right="1015" w:bottom="0" w:left="1785" w:header="0" w:footer="0" w:gutter="0"/>
          <w:cols w:space="720" w:num="1"/>
        </w:sectPr>
      </w:pPr>
    </w:p>
    <w:sdt>
      <w:sdtPr>
        <w:rPr>
          <w:rFonts w:ascii="宋体" w:hAnsi="宋体"/>
        </w:rPr>
        <w:id w:val="147454150"/>
        <w:docPartObj>
          <w:docPartGallery w:val="Table of Contents"/>
          <w:docPartUnique/>
        </w:docPartObj>
      </w:sdtPr>
      <w:sdtEndPr>
        <w:rPr>
          <w:rFonts w:ascii="Times New Roman" w:hAnsi="Times New Roman" w:eastAsia="Times New Roman" w:cs="Times New Roman"/>
          <w:szCs w:val="24"/>
        </w:rPr>
      </w:sdtEndPr>
      <w:sdtContent>
        <w:p w14:paraId="165335DD">
          <w:pPr>
            <w:widowControl w:val="0"/>
            <w:spacing w:line="240" w:lineRule="auto"/>
            <w:jc w:val="center"/>
          </w:pPr>
          <w:r>
            <w:rPr>
              <w:rFonts w:ascii="宋体" w:hAnsi="宋体"/>
            </w:rPr>
            <w:t>目录</w:t>
          </w:r>
        </w:p>
        <w:p w14:paraId="3924353E">
          <w:pPr>
            <w:pStyle w:val="17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TOC \o "1-3" \h \u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_Toc16962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t>2025年</w:t>
          </w:r>
          <w:r>
            <w:rPr>
              <w:rFonts w:hint="eastAsia"/>
              <w:lang w:val="en-US" w:eastAsia="zh-CN"/>
            </w:rPr>
            <w:t>度</w:t>
          </w:r>
          <w:r>
            <w:t>运维服务质量管理计划</w:t>
          </w:r>
          <w:r>
            <w:tab/>
          </w:r>
          <w:r>
            <w:fldChar w:fldCharType="begin"/>
          </w:r>
          <w:r>
            <w:instrText xml:space="preserve"> PAGEREF _Toc16962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31A6F20F">
          <w:pPr>
            <w:pStyle w:val="17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_Toc32278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t>江苏云储智能科技有限公司</w:t>
          </w:r>
          <w:r>
            <w:tab/>
          </w:r>
          <w:r>
            <w:fldChar w:fldCharType="begin"/>
          </w:r>
          <w:r>
            <w:instrText xml:space="preserve"> PAGEREF _Toc32278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3B1FD7C3">
          <w:pPr>
            <w:pStyle w:val="17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_Toc23904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ascii="宋体" w:hAnsi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_Toc23904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71878A8A">
          <w:pPr>
            <w:pStyle w:val="17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_Toc5282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_Toc5282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436D8831">
          <w:pPr>
            <w:pStyle w:val="17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_Toc1829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_Toc1829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3C4D1EAF">
          <w:pPr>
            <w:pStyle w:val="17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_Toc24496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引用文件</w:t>
          </w:r>
          <w:r>
            <w:tab/>
          </w:r>
          <w:r>
            <w:fldChar w:fldCharType="begin"/>
          </w:r>
          <w:r>
            <w:instrText xml:space="preserve"> PAGEREF _Toc24496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753A921F">
          <w:pPr>
            <w:pStyle w:val="17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_Toc6918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术语与定义</w:t>
          </w:r>
          <w:r>
            <w:tab/>
          </w:r>
          <w:r>
            <w:fldChar w:fldCharType="begin"/>
          </w:r>
          <w:r>
            <w:instrText xml:space="preserve"> PAGEREF _Toc6918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145FE3DD">
          <w:pPr>
            <w:pStyle w:val="17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_Toc23189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角色与职责</w:t>
          </w:r>
          <w:r>
            <w:tab/>
          </w:r>
          <w:r>
            <w:fldChar w:fldCharType="begin"/>
          </w:r>
          <w:r>
            <w:instrText xml:space="preserve"> PAGEREF _Toc23189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6E87623F">
          <w:pPr>
            <w:pStyle w:val="17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_Toc17894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服务质量管理活动</w:t>
          </w:r>
          <w:r>
            <w:tab/>
          </w:r>
          <w:r>
            <w:fldChar w:fldCharType="begin"/>
          </w:r>
          <w:r>
            <w:instrText xml:space="preserve"> PAGEREF _Toc17894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1DE06557">
          <w:pPr>
            <w:pStyle w:val="18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_Toc18914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运维服务能力</w:t>
          </w:r>
          <w:r>
            <w:rPr>
              <w:rFonts w:hint="eastAsia"/>
              <w:lang w:eastAsia="zh-CN"/>
            </w:rPr>
            <w:t>内部评审</w:t>
          </w:r>
          <w:r>
            <w:tab/>
          </w:r>
          <w:r>
            <w:fldChar w:fldCharType="begin"/>
          </w:r>
          <w:r>
            <w:instrText xml:space="preserve"> PAGEREF _Toc18914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2805165D">
          <w:pPr>
            <w:pStyle w:val="18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_Toc24657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运维服务能力管理评审</w:t>
          </w:r>
          <w:r>
            <w:tab/>
          </w:r>
          <w:r>
            <w:fldChar w:fldCharType="begin"/>
          </w:r>
          <w:r>
            <w:instrText xml:space="preserve"> PAGEREF _Toc24657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039F4963">
          <w:pPr>
            <w:pStyle w:val="18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_Toc6477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6.3. </w:t>
          </w:r>
          <w:r>
            <w:t>客户满意度调查</w:t>
          </w:r>
          <w:r>
            <w:rPr>
              <w:rFonts w:hint="eastAsia"/>
              <w:lang w:eastAsia="zh-CN"/>
            </w:rPr>
            <w:t>与分析</w:t>
          </w:r>
          <w:r>
            <w:tab/>
          </w:r>
          <w:r>
            <w:fldChar w:fldCharType="begin"/>
          </w:r>
          <w:r>
            <w:instrText xml:space="preserve"> PAGEREF _Toc6477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5B34E7C4">
          <w:pPr>
            <w:pStyle w:val="18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_Toc3885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6.4. </w:t>
          </w:r>
          <w:r>
            <w:rPr>
              <w:rFonts w:hint="eastAsia"/>
            </w:rPr>
            <w:t>KPI指标跟踪与预警</w:t>
          </w:r>
          <w:r>
            <w:tab/>
          </w:r>
          <w:r>
            <w:fldChar w:fldCharType="begin"/>
          </w:r>
          <w:r>
            <w:instrText xml:space="preserve"> PAGEREF _Toc3885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468878C6">
          <w:pPr>
            <w:pStyle w:val="13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_Toc18949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6.4.1. </w:t>
          </w:r>
          <w:r>
            <w:rPr>
              <w:rFonts w:hint="eastAsia"/>
            </w:rPr>
            <w:t>跟踪频次与责任分工</w:t>
          </w:r>
          <w:r>
            <w:tab/>
          </w:r>
          <w:r>
            <w:fldChar w:fldCharType="begin"/>
          </w:r>
          <w:r>
            <w:instrText xml:space="preserve"> PAGEREF _Toc18949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11046A60">
          <w:pPr>
            <w:pStyle w:val="13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_Toc1864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6.4.2. </w:t>
          </w:r>
          <w:r>
            <w:rPr>
              <w:rFonts w:hint="eastAsia"/>
            </w:rPr>
            <w:t>数据收集与核实</w:t>
          </w:r>
          <w:r>
            <w:tab/>
          </w:r>
          <w:r>
            <w:fldChar w:fldCharType="begin"/>
          </w:r>
          <w:r>
            <w:instrText xml:space="preserve"> PAGEREF _Toc1864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655CA0A8">
          <w:pPr>
            <w:pStyle w:val="13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_Toc31886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6.4.3. </w:t>
          </w:r>
          <w:r>
            <w:rPr>
              <w:rFonts w:hint="eastAsia"/>
            </w:rPr>
            <w:t>预警与改进机制</w:t>
          </w:r>
          <w:r>
            <w:tab/>
          </w:r>
          <w:r>
            <w:fldChar w:fldCharType="begin"/>
          </w:r>
          <w:r>
            <w:instrText xml:space="preserve"> PAGEREF _Toc31886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135F880F">
          <w:pPr>
            <w:pStyle w:val="13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_Toc29246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6.4.4. </w:t>
          </w:r>
          <w:r>
            <w:rPr>
              <w:rFonts w:hint="eastAsia"/>
            </w:rPr>
            <w:t>与质量报告的衔接</w:t>
          </w:r>
          <w:r>
            <w:tab/>
          </w:r>
          <w:r>
            <w:fldChar w:fldCharType="begin"/>
          </w:r>
          <w:r>
            <w:instrText xml:space="preserve"> PAGEREF _Toc29246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02E41FA0">
          <w:pPr>
            <w:pStyle w:val="18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_Toc14999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6.5. </w:t>
          </w:r>
          <w:r>
            <w:rPr>
              <w:rFonts w:hint="eastAsia"/>
              <w:lang w:eastAsia="zh-CN"/>
            </w:rPr>
            <w:t>运维服务质量总结、改进</w:t>
          </w:r>
          <w:r>
            <w:tab/>
          </w:r>
          <w:r>
            <w:fldChar w:fldCharType="begin"/>
          </w:r>
          <w:r>
            <w:instrText xml:space="preserve"> PAGEREF _Toc14999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25BDD052">
          <w:pPr>
            <w:widowControl w:val="0"/>
            <w:spacing w:line="221" w:lineRule="auto"/>
            <w:rPr>
              <w:rFonts w:ascii="Times New Roman" w:hAnsi="Times New Roman" w:eastAsia="Times New Roman" w:cs="Times New Roman"/>
              <w:szCs w:val="24"/>
            </w:rPr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</w:sdtContent>
    </w:sdt>
    <w:p w14:paraId="4F8FD7C9">
      <w:pPr>
        <w:widowControl w:val="0"/>
        <w:spacing w:line="221" w:lineRule="auto"/>
        <w:rPr>
          <w:rFonts w:ascii="Times New Roman" w:hAnsi="Times New Roman" w:eastAsia="Times New Roman" w:cs="Times New Roman"/>
          <w:szCs w:val="24"/>
        </w:rPr>
        <w:sectPr>
          <w:pgSz w:w="11906" w:h="16839"/>
          <w:pgMar w:top="1431" w:right="1710" w:bottom="0" w:left="1704" w:header="0" w:footer="0" w:gutter="0"/>
          <w:cols w:space="720" w:num="1"/>
        </w:sectPr>
      </w:pPr>
    </w:p>
    <w:p w14:paraId="6FB90F38">
      <w:pPr>
        <w:pStyle w:val="27"/>
        <w:keepNext w:val="0"/>
        <w:keepLines w:val="0"/>
        <w:widowControl w:val="0"/>
      </w:pPr>
      <w:bookmarkStart w:id="3" w:name="_Toc5282"/>
      <w:r>
        <w:t>目的</w:t>
      </w:r>
      <w:bookmarkEnd w:id="3"/>
    </w:p>
    <w:p w14:paraId="329D485D">
      <w:pPr>
        <w:widowControl w:val="0"/>
        <w:ind w:firstLine="476" w:firstLineChars="200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pacing w:val="-1"/>
          <w:sz w:val="24"/>
          <w:szCs w:val="24"/>
        </w:rPr>
        <w:t>依据我公司运维服务业务定位和能力，策划运行维护服务对象的服务</w:t>
      </w:r>
      <w:r>
        <w:rPr>
          <w:rFonts w:ascii="宋体" w:hAnsi="宋体" w:cs="宋体"/>
          <w:spacing w:val="-4"/>
          <w:sz w:val="24"/>
          <w:szCs w:val="24"/>
        </w:rPr>
        <w:t>内容和要求，提高服务质量特制定</w:t>
      </w:r>
      <w:r>
        <w:rPr>
          <w:rFonts w:hint="eastAsia" w:ascii="宋体" w:hAnsi="宋体" w:cs="宋体"/>
          <w:spacing w:val="-4"/>
          <w:sz w:val="24"/>
          <w:szCs w:val="24"/>
          <w:lang w:val="en-US" w:eastAsia="zh-CN"/>
        </w:rPr>
        <w:t>此计划</w:t>
      </w:r>
      <w:r>
        <w:rPr>
          <w:rFonts w:ascii="宋体" w:hAnsi="宋体" w:cs="宋体"/>
          <w:spacing w:val="-4"/>
          <w:sz w:val="24"/>
          <w:szCs w:val="24"/>
        </w:rPr>
        <w:t>。</w:t>
      </w:r>
    </w:p>
    <w:p w14:paraId="237451F8">
      <w:pPr>
        <w:pStyle w:val="27"/>
        <w:keepNext w:val="0"/>
        <w:keepLines w:val="0"/>
        <w:widowControl w:val="0"/>
      </w:pPr>
      <w:bookmarkStart w:id="4" w:name="_Toc1829"/>
      <w:r>
        <w:t>适用范围</w:t>
      </w:r>
      <w:bookmarkEnd w:id="4"/>
    </w:p>
    <w:p w14:paraId="0D34DC4C">
      <w:pPr>
        <w:widowControl w:val="0"/>
        <w:ind w:firstLine="464" w:firstLineChars="200"/>
        <w:rPr>
          <w:rFonts w:ascii="宋体" w:hAnsi="宋体" w:cs="宋体"/>
          <w:spacing w:val="-4"/>
          <w:sz w:val="24"/>
          <w:szCs w:val="24"/>
        </w:rPr>
      </w:pPr>
      <w:r>
        <w:rPr>
          <w:rFonts w:ascii="宋体" w:hAnsi="宋体" w:cs="宋体"/>
          <w:spacing w:val="-4"/>
          <w:sz w:val="24"/>
          <w:szCs w:val="24"/>
        </w:rPr>
        <w:t>本手册适用于本公司参与运维服务业务的部门和人员</w:t>
      </w:r>
    </w:p>
    <w:p w14:paraId="27A9B571">
      <w:pPr>
        <w:pStyle w:val="27"/>
        <w:keepNext w:val="0"/>
        <w:keepLines w:val="0"/>
        <w:widowControl w:val="0"/>
      </w:pPr>
      <w:bookmarkStart w:id="5" w:name="_Toc24496"/>
      <w:r>
        <w:t>引用文件</w:t>
      </w:r>
      <w:bookmarkEnd w:id="5"/>
    </w:p>
    <w:p w14:paraId="53527CE9">
      <w:pPr>
        <w:pStyle w:val="12"/>
        <w:widowControl w:val="0"/>
        <w:numPr>
          <w:ilvl w:val="0"/>
          <w:numId w:val="2"/>
        </w:numPr>
        <w:rPr>
          <w:rFonts w:ascii="宋体" w:hAnsi="宋体" w:eastAsia="宋体" w:cs="宋体"/>
          <w:sz w:val="24"/>
          <w:szCs w:val="24"/>
        </w:rPr>
      </w:pPr>
      <w:r>
        <w:rPr>
          <w:rFonts w:hint="eastAsia"/>
          <w:position w:val="1"/>
          <w:sz w:val="24"/>
          <w:szCs w:val="24"/>
        </w:rPr>
        <w:t>T/CESA 1299—2023</w:t>
      </w:r>
      <w:r>
        <w:rPr>
          <w:rFonts w:ascii="宋体" w:hAnsi="宋体" w:eastAsia="宋体" w:cs="宋体"/>
          <w:position w:val="1"/>
          <w:sz w:val="24"/>
          <w:szCs w:val="24"/>
        </w:rPr>
        <w:t>《信息技术服务 运行维护服务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能力成熟度模型》</w:t>
      </w:r>
    </w:p>
    <w:p w14:paraId="0BFA1B47">
      <w:pPr>
        <w:pStyle w:val="12"/>
        <w:widowControl w:val="0"/>
        <w:numPr>
          <w:ilvl w:val="0"/>
          <w:numId w:val="2"/>
        </w:numPr>
        <w:rPr>
          <w:rFonts w:ascii="宋体" w:hAnsi="宋体" w:eastAsia="宋体" w:cs="宋体"/>
          <w:sz w:val="24"/>
          <w:szCs w:val="24"/>
        </w:rPr>
      </w:pPr>
      <w:r>
        <w:rPr>
          <w:position w:val="1"/>
          <w:sz w:val="24"/>
          <w:szCs w:val="24"/>
        </w:rPr>
        <w:t>GB/T 28827.1-2</w:t>
      </w:r>
      <w:r>
        <w:rPr>
          <w:spacing w:val="-1"/>
          <w:position w:val="1"/>
          <w:sz w:val="24"/>
          <w:szCs w:val="24"/>
        </w:rPr>
        <w:t>0</w:t>
      </w:r>
      <w:r>
        <w:rPr>
          <w:rFonts w:hint="eastAsia" w:eastAsia="宋体"/>
          <w:spacing w:val="-1"/>
          <w:position w:val="1"/>
          <w:sz w:val="24"/>
          <w:szCs w:val="24"/>
          <w:lang w:eastAsia="zh-CN"/>
        </w:rPr>
        <w:t>2</w:t>
      </w:r>
      <w:r>
        <w:rPr>
          <w:spacing w:val="-1"/>
          <w:position w:val="1"/>
          <w:sz w:val="24"/>
          <w:szCs w:val="24"/>
        </w:rPr>
        <w:t xml:space="preserve">2 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《信息技术服务 运行维护 第</w:t>
      </w:r>
      <w:r>
        <w:rPr>
          <w:rFonts w:ascii="宋体" w:hAnsi="宋体" w:eastAsia="宋体" w:cs="宋体"/>
          <w:spacing w:val="-34"/>
          <w:position w:val="1"/>
          <w:sz w:val="24"/>
          <w:szCs w:val="24"/>
        </w:rPr>
        <w:t xml:space="preserve"> </w:t>
      </w:r>
      <w:r>
        <w:rPr>
          <w:spacing w:val="-1"/>
          <w:position w:val="1"/>
          <w:sz w:val="24"/>
          <w:szCs w:val="24"/>
        </w:rPr>
        <w:t>1</w:t>
      </w:r>
      <w:r>
        <w:rPr>
          <w:spacing w:val="6"/>
          <w:position w:val="1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部分：通用要求》</w:t>
      </w:r>
    </w:p>
    <w:p w14:paraId="342161BB">
      <w:pPr>
        <w:pStyle w:val="12"/>
        <w:widowControl w:val="0"/>
        <w:numPr>
          <w:ilvl w:val="0"/>
          <w:numId w:val="2"/>
        </w:numPr>
        <w:rPr>
          <w:rFonts w:ascii="宋体" w:hAnsi="宋体" w:eastAsia="宋体" w:cs="宋体"/>
          <w:sz w:val="24"/>
          <w:szCs w:val="24"/>
        </w:rPr>
      </w:pPr>
      <w:r>
        <w:rPr>
          <w:position w:val="1"/>
          <w:sz w:val="24"/>
          <w:szCs w:val="24"/>
        </w:rPr>
        <w:t xml:space="preserve">GB/T 29264-2012 </w:t>
      </w:r>
      <w:r>
        <w:rPr>
          <w:rFonts w:ascii="宋体" w:hAnsi="宋体" w:eastAsia="宋体" w:cs="宋体"/>
          <w:position w:val="1"/>
          <w:sz w:val="24"/>
          <w:szCs w:val="24"/>
        </w:rPr>
        <w:t>《信息技术服务</w:t>
      </w:r>
      <w:r>
        <w:rPr>
          <w:rFonts w:ascii="宋体" w:hAnsi="宋体" w:eastAsia="宋体" w:cs="宋体"/>
          <w:spacing w:val="12"/>
          <w:position w:val="1"/>
          <w:sz w:val="24"/>
          <w:szCs w:val="24"/>
        </w:rPr>
        <w:t xml:space="preserve"> </w:t>
      </w:r>
      <w:r>
        <w:rPr>
          <w:rFonts w:ascii="宋体" w:hAnsi="宋体" w:eastAsia="宋体" w:cs="宋体"/>
          <w:position w:val="1"/>
          <w:sz w:val="24"/>
          <w:szCs w:val="24"/>
        </w:rPr>
        <w:t>分类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与代码》</w:t>
      </w:r>
    </w:p>
    <w:p w14:paraId="4704DCEE">
      <w:pPr>
        <w:pStyle w:val="12"/>
        <w:widowControl w:val="0"/>
        <w:numPr>
          <w:ilvl w:val="0"/>
          <w:numId w:val="2"/>
        </w:numPr>
        <w:rPr>
          <w:rFonts w:ascii="宋体" w:hAnsi="宋体" w:eastAsia="宋体" w:cs="宋体"/>
          <w:sz w:val="24"/>
          <w:szCs w:val="24"/>
        </w:rPr>
      </w:pPr>
      <w:r>
        <w:rPr>
          <w:position w:val="1"/>
          <w:sz w:val="24"/>
          <w:szCs w:val="24"/>
        </w:rPr>
        <w:t xml:space="preserve">GB/T 28827.2-2012 </w:t>
      </w:r>
      <w:r>
        <w:rPr>
          <w:rFonts w:ascii="宋体" w:hAnsi="宋体" w:eastAsia="宋体" w:cs="宋体"/>
          <w:position w:val="1"/>
          <w:sz w:val="24"/>
          <w:szCs w:val="24"/>
        </w:rPr>
        <w:t>《信息技术服务 运行维护 第</w:t>
      </w:r>
      <w:r>
        <w:rPr>
          <w:rFonts w:ascii="宋体" w:hAnsi="宋体" w:eastAsia="宋体" w:cs="宋体"/>
          <w:spacing w:val="-53"/>
          <w:position w:val="1"/>
          <w:sz w:val="24"/>
          <w:szCs w:val="24"/>
        </w:rPr>
        <w:t xml:space="preserve"> </w:t>
      </w:r>
      <w:r>
        <w:rPr>
          <w:position w:val="1"/>
          <w:sz w:val="24"/>
          <w:szCs w:val="24"/>
        </w:rPr>
        <w:t>2</w:t>
      </w:r>
      <w:r>
        <w:rPr>
          <w:spacing w:val="5"/>
          <w:position w:val="1"/>
          <w:sz w:val="24"/>
          <w:szCs w:val="24"/>
        </w:rPr>
        <w:t xml:space="preserve"> </w:t>
      </w:r>
      <w:r>
        <w:rPr>
          <w:rFonts w:ascii="宋体" w:hAnsi="宋体" w:eastAsia="宋体" w:cs="宋体"/>
          <w:position w:val="1"/>
          <w:sz w:val="24"/>
          <w:szCs w:val="24"/>
        </w:rPr>
        <w:t>部分</w:t>
      </w:r>
      <w:r>
        <w:rPr>
          <w:position w:val="1"/>
          <w:sz w:val="24"/>
          <w:szCs w:val="24"/>
        </w:rPr>
        <w:t>:</w:t>
      </w:r>
      <w:r>
        <w:rPr>
          <w:rFonts w:ascii="宋体" w:hAnsi="宋体" w:eastAsia="宋体" w:cs="宋体"/>
          <w:position w:val="1"/>
          <w:sz w:val="24"/>
          <w:szCs w:val="24"/>
        </w:rPr>
        <w:t>交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付规范》</w:t>
      </w:r>
    </w:p>
    <w:p w14:paraId="1171788E">
      <w:pPr>
        <w:pStyle w:val="12"/>
        <w:widowControl w:val="0"/>
        <w:numPr>
          <w:ilvl w:val="0"/>
          <w:numId w:val="2"/>
        </w:numPr>
        <w:rPr>
          <w:rFonts w:ascii="宋体" w:hAnsi="宋体" w:eastAsia="宋体" w:cs="宋体"/>
          <w:sz w:val="24"/>
          <w:szCs w:val="24"/>
        </w:rPr>
      </w:pPr>
      <w:r>
        <w:rPr>
          <w:spacing w:val="-1"/>
          <w:sz w:val="24"/>
          <w:szCs w:val="24"/>
        </w:rPr>
        <w:t>GB/T</w:t>
      </w:r>
      <w:r>
        <w:rPr>
          <w:spacing w:val="43"/>
          <w:sz w:val="24"/>
          <w:szCs w:val="24"/>
        </w:rPr>
        <w:t xml:space="preserve"> </w:t>
      </w:r>
      <w:r>
        <w:rPr>
          <w:spacing w:val="-1"/>
          <w:sz w:val="24"/>
          <w:szCs w:val="24"/>
        </w:rPr>
        <w:t>28827.3-2012</w:t>
      </w:r>
      <w:r>
        <w:rPr>
          <w:spacing w:val="2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《信息技术服务</w:t>
      </w:r>
      <w:r>
        <w:rPr>
          <w:rFonts w:ascii="宋体" w:hAnsi="宋体" w:eastAsia="宋体" w:cs="宋体"/>
          <w:spacing w:val="3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运行维护</w:t>
      </w:r>
      <w:r>
        <w:rPr>
          <w:rFonts w:ascii="宋体" w:hAnsi="宋体" w:eastAsia="宋体" w:cs="宋体"/>
          <w:spacing w:val="3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第</w:t>
      </w:r>
      <w:r>
        <w:rPr>
          <w:rFonts w:ascii="宋体" w:hAnsi="宋体" w:eastAsia="宋体" w:cs="宋体"/>
          <w:spacing w:val="-50"/>
          <w:sz w:val="24"/>
          <w:szCs w:val="24"/>
        </w:rPr>
        <w:t xml:space="preserve"> </w:t>
      </w:r>
      <w:r>
        <w:rPr>
          <w:spacing w:val="-1"/>
          <w:sz w:val="24"/>
          <w:szCs w:val="24"/>
        </w:rPr>
        <w:t xml:space="preserve">3 </w:t>
      </w:r>
      <w:r>
        <w:rPr>
          <w:rFonts w:ascii="宋体" w:hAnsi="宋体" w:eastAsia="宋体" w:cs="宋体"/>
          <w:spacing w:val="-1"/>
          <w:sz w:val="24"/>
          <w:szCs w:val="24"/>
        </w:rPr>
        <w:t>部分</w:t>
      </w:r>
      <w:r>
        <w:rPr>
          <w:spacing w:val="-1"/>
          <w:sz w:val="24"/>
          <w:szCs w:val="24"/>
        </w:rPr>
        <w:t>:</w:t>
      </w:r>
      <w:r>
        <w:rPr>
          <w:rFonts w:ascii="宋体" w:hAnsi="宋体" w:eastAsia="宋体" w:cs="宋体"/>
          <w:spacing w:val="-1"/>
          <w:sz w:val="24"/>
          <w:szCs w:val="24"/>
        </w:rPr>
        <w:t>应急响应规</w:t>
      </w:r>
      <w:r>
        <w:rPr>
          <w:rFonts w:ascii="宋体" w:hAnsi="宋体" w:eastAsia="宋体" w:cs="宋体"/>
          <w:spacing w:val="-8"/>
          <w:sz w:val="24"/>
          <w:szCs w:val="24"/>
        </w:rPr>
        <w:t>范》</w:t>
      </w:r>
    </w:p>
    <w:p w14:paraId="721754DB">
      <w:pPr>
        <w:pStyle w:val="12"/>
        <w:widowControl w:val="0"/>
        <w:numPr>
          <w:ilvl w:val="0"/>
          <w:numId w:val="2"/>
        </w:num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position w:val="1"/>
          <w:sz w:val="24"/>
          <w:szCs w:val="24"/>
        </w:rPr>
        <w:t>国家有关法律、法规及行业标准</w:t>
      </w:r>
    </w:p>
    <w:p w14:paraId="6547273C">
      <w:pPr>
        <w:pStyle w:val="27"/>
        <w:keepNext w:val="0"/>
        <w:keepLines w:val="0"/>
        <w:widowControl w:val="0"/>
      </w:pPr>
      <w:bookmarkStart w:id="6" w:name="_Toc6918"/>
      <w:r>
        <w:t>术语与定义</w:t>
      </w:r>
      <w:bookmarkEnd w:id="6"/>
    </w:p>
    <w:p w14:paraId="05C49B46">
      <w:pPr>
        <w:widowControl w:val="0"/>
        <w:spacing w:before="115" w:line="220" w:lineRule="auto"/>
        <w:ind w:left="450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无</w:t>
      </w:r>
    </w:p>
    <w:p w14:paraId="0C2B584E">
      <w:pPr>
        <w:pStyle w:val="27"/>
        <w:keepNext w:val="0"/>
        <w:keepLines w:val="0"/>
        <w:widowControl w:val="0"/>
      </w:pPr>
      <w:bookmarkStart w:id="7" w:name="_Toc23189"/>
      <w:r>
        <w:t>角色与职责</w:t>
      </w:r>
      <w:bookmarkEnd w:id="7"/>
    </w:p>
    <w:p w14:paraId="6CD3D2A7">
      <w:pPr>
        <w:widowControl w:val="0"/>
        <w:spacing w:before="157"/>
      </w:pPr>
    </w:p>
    <w:tbl>
      <w:tblPr>
        <w:tblStyle w:val="25"/>
        <w:tblW w:w="8364" w:type="dxa"/>
        <w:tblInd w:w="44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15"/>
        <w:gridCol w:w="6849"/>
      </w:tblGrid>
      <w:tr w14:paraId="741BA5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1" w:hRule="atLeast"/>
        </w:trPr>
        <w:tc>
          <w:tcPr>
            <w:tcW w:w="1515" w:type="dxa"/>
            <w:shd w:val="clear" w:color="auto" w:fill="F2F2F2"/>
          </w:tcPr>
          <w:p w14:paraId="65ACF4FA">
            <w:pPr>
              <w:pStyle w:val="26"/>
              <w:widowControl w:val="0"/>
              <w:spacing w:before="125" w:line="219" w:lineRule="auto"/>
              <w:ind w:left="524"/>
            </w:pPr>
            <w:r>
              <w:rPr>
                <w:b/>
                <w:bCs/>
                <w:spacing w:val="-6"/>
              </w:rPr>
              <w:t>角色</w:t>
            </w:r>
          </w:p>
        </w:tc>
        <w:tc>
          <w:tcPr>
            <w:tcW w:w="6849" w:type="dxa"/>
            <w:shd w:val="clear" w:color="auto" w:fill="F2F2F2"/>
          </w:tcPr>
          <w:p w14:paraId="4FA21288">
            <w:pPr>
              <w:pStyle w:val="26"/>
              <w:widowControl w:val="0"/>
              <w:spacing w:before="126" w:line="221" w:lineRule="auto"/>
              <w:ind w:left="3188"/>
            </w:pPr>
            <w:r>
              <w:rPr>
                <w:b/>
                <w:bCs/>
                <w:spacing w:val="-6"/>
              </w:rPr>
              <w:t>职责</w:t>
            </w:r>
          </w:p>
        </w:tc>
      </w:tr>
      <w:tr w14:paraId="19D395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19" w:hRule="atLeast"/>
        </w:trPr>
        <w:tc>
          <w:tcPr>
            <w:tcW w:w="1515" w:type="dxa"/>
          </w:tcPr>
          <w:p w14:paraId="572280BA">
            <w:pPr>
              <w:widowControl w:val="0"/>
              <w:spacing w:line="265" w:lineRule="auto"/>
            </w:pPr>
          </w:p>
          <w:p w14:paraId="24C4DB1C">
            <w:pPr>
              <w:widowControl w:val="0"/>
              <w:spacing w:line="266" w:lineRule="auto"/>
            </w:pPr>
          </w:p>
          <w:p w14:paraId="61D8D202">
            <w:pPr>
              <w:pStyle w:val="26"/>
              <w:widowControl w:val="0"/>
              <w:spacing w:before="78" w:line="220" w:lineRule="auto"/>
              <w:ind w:left="118"/>
            </w:pPr>
            <w:r>
              <w:rPr>
                <w:spacing w:val="-4"/>
              </w:rPr>
              <w:t>管理层</w:t>
            </w:r>
          </w:p>
        </w:tc>
        <w:tc>
          <w:tcPr>
            <w:tcW w:w="6849" w:type="dxa"/>
          </w:tcPr>
          <w:p w14:paraId="2E9D8E84">
            <w:pPr>
              <w:pStyle w:val="26"/>
              <w:widowControl w:val="0"/>
              <w:spacing w:before="202" w:line="220" w:lineRule="auto"/>
              <w:ind w:left="155"/>
              <w:rPr>
                <w:spacing w:val="-2"/>
              </w:rPr>
            </w:pPr>
            <w:r>
              <w:rPr>
                <w:spacing w:val="-2"/>
                <w:lang w:eastAsia="zh-CN"/>
              </w:rPr>
              <w:drawing>
                <wp:inline distT="0" distB="0" distL="0" distR="0">
                  <wp:extent cx="107950" cy="168910"/>
                  <wp:effectExtent l="0" t="0" r="0" b="0"/>
                  <wp:docPr id="4" name="IM 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 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-2"/>
              </w:rPr>
              <w:t xml:space="preserve">  负责审批年度服务能力管理计划。</w:t>
            </w:r>
          </w:p>
          <w:p w14:paraId="199631C1">
            <w:pPr>
              <w:pStyle w:val="26"/>
              <w:widowControl w:val="0"/>
              <w:spacing w:before="202" w:line="220" w:lineRule="auto"/>
              <w:ind w:left="155"/>
              <w:rPr>
                <w:spacing w:val="-2"/>
              </w:rPr>
            </w:pPr>
            <w:r>
              <w:rPr>
                <w:spacing w:val="-2"/>
                <w:lang w:eastAsia="zh-CN"/>
              </w:rPr>
              <w:drawing>
                <wp:inline distT="0" distB="0" distL="0" distR="0">
                  <wp:extent cx="107950" cy="168910"/>
                  <wp:effectExtent l="0" t="0" r="0" b="0"/>
                  <wp:docPr id="6" name="IM 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 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-2"/>
              </w:rPr>
              <w:t xml:space="preserve">  定期对服务实施过程和服务实施过程的改进进行监控管理。</w:t>
            </w:r>
          </w:p>
          <w:p w14:paraId="541F73A3">
            <w:pPr>
              <w:pStyle w:val="26"/>
              <w:widowControl w:val="0"/>
              <w:spacing w:before="202" w:line="220" w:lineRule="auto"/>
              <w:ind w:left="155"/>
              <w:rPr>
                <w:spacing w:val="-2"/>
              </w:rPr>
            </w:pPr>
            <w:r>
              <w:rPr>
                <w:spacing w:val="-2"/>
                <w:lang w:eastAsia="zh-CN"/>
              </w:rPr>
              <w:drawing>
                <wp:inline distT="0" distB="0" distL="0" distR="0">
                  <wp:extent cx="107950" cy="168910"/>
                  <wp:effectExtent l="0" t="0" r="0" b="0"/>
                  <wp:docPr id="1" name="IM 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 8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-2"/>
              </w:rPr>
              <w:t xml:space="preserve">  负责公司运维服务体系的管理评审，以确保运维服务能力适</w:t>
            </w:r>
          </w:p>
          <w:p w14:paraId="06042359">
            <w:pPr>
              <w:pStyle w:val="26"/>
              <w:widowControl w:val="0"/>
              <w:spacing w:before="202" w:line="220" w:lineRule="auto"/>
              <w:ind w:left="155"/>
              <w:rPr>
                <w:spacing w:val="-2"/>
              </w:rPr>
            </w:pPr>
            <w:r>
              <w:rPr>
                <w:spacing w:val="-2"/>
              </w:rPr>
              <w:t>应性和有效性。</w:t>
            </w:r>
          </w:p>
        </w:tc>
      </w:tr>
      <w:tr w14:paraId="05813C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19" w:hRule="atLeast"/>
        </w:trPr>
        <w:tc>
          <w:tcPr>
            <w:tcW w:w="1515" w:type="dxa"/>
            <w:shd w:val="clear" w:color="auto" w:fill="auto"/>
          </w:tcPr>
          <w:p w14:paraId="48353C3B">
            <w:pPr>
              <w:widowControl w:val="0"/>
              <w:spacing w:line="247" w:lineRule="auto"/>
            </w:pPr>
          </w:p>
          <w:p w14:paraId="5249C9AE">
            <w:pPr>
              <w:widowControl w:val="0"/>
              <w:spacing w:line="247" w:lineRule="auto"/>
            </w:pPr>
          </w:p>
          <w:p w14:paraId="5FF01103">
            <w:pPr>
              <w:widowControl w:val="0"/>
              <w:spacing w:line="247" w:lineRule="auto"/>
            </w:pPr>
          </w:p>
          <w:p w14:paraId="25974FA1">
            <w:pPr>
              <w:widowControl w:val="0"/>
              <w:spacing w:line="247" w:lineRule="auto"/>
            </w:pPr>
          </w:p>
          <w:p w14:paraId="32FDDEE7">
            <w:pPr>
              <w:widowControl w:val="0"/>
              <w:spacing w:line="247" w:lineRule="auto"/>
            </w:pPr>
          </w:p>
          <w:p w14:paraId="520BAAC6">
            <w:pPr>
              <w:widowControl w:val="0"/>
              <w:spacing w:line="247" w:lineRule="auto"/>
            </w:pPr>
          </w:p>
          <w:p w14:paraId="20011169">
            <w:pPr>
              <w:widowControl w:val="0"/>
              <w:spacing w:line="248" w:lineRule="auto"/>
            </w:pPr>
          </w:p>
          <w:p w14:paraId="1270844A">
            <w:pPr>
              <w:widowControl w:val="0"/>
              <w:spacing w:line="248" w:lineRule="auto"/>
            </w:pPr>
          </w:p>
          <w:p w14:paraId="107BF2A8">
            <w:pPr>
              <w:widowControl w:val="0"/>
              <w:spacing w:line="248" w:lineRule="auto"/>
            </w:pPr>
          </w:p>
          <w:p w14:paraId="2A538EF5">
            <w:pPr>
              <w:widowControl w:val="0"/>
              <w:spacing w:line="248" w:lineRule="auto"/>
            </w:pPr>
          </w:p>
          <w:p w14:paraId="688BC00C">
            <w:pPr>
              <w:pStyle w:val="26"/>
              <w:widowControl w:val="0"/>
              <w:spacing w:before="78" w:line="220" w:lineRule="auto"/>
              <w:ind w:left="113"/>
            </w:pPr>
            <w:r>
              <w:rPr>
                <w:spacing w:val="-2"/>
              </w:rPr>
              <w:t>质量部</w:t>
            </w:r>
          </w:p>
        </w:tc>
        <w:tc>
          <w:tcPr>
            <w:tcW w:w="6849" w:type="dxa"/>
            <w:shd w:val="clear" w:color="auto" w:fill="auto"/>
          </w:tcPr>
          <w:p w14:paraId="2108596A">
            <w:pPr>
              <w:pStyle w:val="26"/>
              <w:widowControl w:val="0"/>
              <w:spacing w:before="113" w:line="302" w:lineRule="auto"/>
              <w:ind w:left="572" w:right="279" w:hanging="417"/>
            </w:pPr>
            <w:r>
              <w:rPr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41" name="IM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IM 1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9"/>
              </w:rPr>
              <w:t xml:space="preserve">  </w:t>
            </w:r>
            <w:r>
              <w:rPr>
                <w:spacing w:val="-1"/>
              </w:rPr>
              <w:t>负责运维服务的公司级质量保证，制定总体的服务质量管</w:t>
            </w:r>
            <w:r>
              <w:rPr>
                <w:spacing w:val="-9"/>
              </w:rPr>
              <w:t>理计划。</w:t>
            </w:r>
          </w:p>
          <w:p w14:paraId="4AB8382D">
            <w:pPr>
              <w:pStyle w:val="26"/>
              <w:widowControl w:val="0"/>
              <w:spacing w:before="191" w:line="301" w:lineRule="auto"/>
              <w:ind w:left="570" w:right="103" w:hanging="415"/>
            </w:pPr>
            <w:r>
              <w:rPr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43" name="IM 1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IM 1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2"/>
              </w:rPr>
              <w:t xml:space="preserve">  </w:t>
            </w:r>
            <w:r>
              <w:rPr>
                <w:spacing w:val="-1"/>
              </w:rPr>
              <w:t>监控运维服务质量,</w:t>
            </w:r>
            <w:r>
              <w:rPr>
                <w:spacing w:val="36"/>
              </w:rPr>
              <w:t xml:space="preserve">  </w:t>
            </w:r>
            <w:r>
              <w:rPr>
                <w:spacing w:val="-1"/>
              </w:rPr>
              <w:t>定期组织质量分析会议，对运维</w:t>
            </w:r>
            <w:r>
              <w:rPr>
                <w:spacing w:val="-2"/>
              </w:rPr>
              <w:t>业务</w:t>
            </w:r>
            <w:r>
              <w:rPr>
                <w:spacing w:val="-5"/>
              </w:rPr>
              <w:t>开展情况进行评估。</w:t>
            </w:r>
          </w:p>
          <w:p w14:paraId="1F56F091">
            <w:pPr>
              <w:pStyle w:val="26"/>
              <w:widowControl w:val="0"/>
              <w:spacing w:before="196" w:line="220" w:lineRule="auto"/>
              <w:ind w:left="155"/>
            </w:pPr>
            <w:r>
              <w:rPr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45" name="IM 1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IM 14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6"/>
              </w:rPr>
              <w:t xml:space="preserve">  </w:t>
            </w:r>
            <w:r>
              <w:rPr>
                <w:spacing w:val="-3"/>
              </w:rPr>
              <w:t>对公司运维服务业务的质量进行监控。</w:t>
            </w:r>
          </w:p>
          <w:p w14:paraId="6A691371">
            <w:pPr>
              <w:pStyle w:val="26"/>
              <w:widowControl w:val="0"/>
              <w:spacing w:before="202" w:line="302" w:lineRule="auto"/>
              <w:ind w:left="573" w:right="279" w:hanging="418"/>
            </w:pPr>
            <w:r>
              <w:rPr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47" name="IM 1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IM 1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9"/>
              </w:rPr>
              <w:t xml:space="preserve">  </w:t>
            </w:r>
            <w:r>
              <w:rPr>
                <w:spacing w:val="-1"/>
              </w:rPr>
              <w:t>负责公司运维服务体系的定期内部评审，对内审中不符合</w:t>
            </w:r>
            <w:r>
              <w:rPr>
                <w:spacing w:val="-4"/>
              </w:rPr>
              <w:t>项的处理进行跟踪记录。</w:t>
            </w:r>
          </w:p>
          <w:p w14:paraId="3103E75B">
            <w:pPr>
              <w:pStyle w:val="26"/>
              <w:widowControl w:val="0"/>
              <w:spacing w:before="193" w:line="220" w:lineRule="auto"/>
              <w:ind w:left="155"/>
            </w:pPr>
            <w:r>
              <w:rPr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49" name="IM 1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IM 18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7"/>
              </w:rPr>
              <w:t xml:space="preserve">  </w:t>
            </w:r>
            <w:r>
              <w:rPr>
                <w:spacing w:val="-4"/>
              </w:rPr>
              <w:t>负责改进措施的监督及检查。</w:t>
            </w:r>
          </w:p>
          <w:p w14:paraId="4AE1B566">
            <w:pPr>
              <w:pStyle w:val="26"/>
              <w:widowControl w:val="0"/>
              <w:spacing w:before="202" w:line="220" w:lineRule="auto"/>
              <w:ind w:left="155"/>
            </w:pPr>
            <w:r>
              <w:rPr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50" name="IM 2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IM 2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7"/>
              </w:rPr>
              <w:t xml:space="preserve">  </w:t>
            </w:r>
            <w:r>
              <w:rPr>
                <w:spacing w:val="-3"/>
              </w:rPr>
              <w:t>对重大投诉进行原因分析、处理和回访。</w:t>
            </w:r>
          </w:p>
          <w:p w14:paraId="71618B19">
            <w:pPr>
              <w:pStyle w:val="26"/>
              <w:widowControl w:val="0"/>
              <w:spacing w:before="203" w:line="220" w:lineRule="auto"/>
              <w:ind w:left="155"/>
            </w:pPr>
            <w:r>
              <w:rPr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51" name="IM 2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IM 2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1"/>
              </w:rPr>
              <w:t xml:space="preserve">  </w:t>
            </w:r>
            <w:r>
              <w:rPr>
                <w:spacing w:val="-3"/>
              </w:rPr>
              <w:t>对每年运维服务报告进行审查。</w:t>
            </w:r>
          </w:p>
          <w:p w14:paraId="6ACB2BEA">
            <w:pPr>
              <w:pStyle w:val="26"/>
              <w:widowControl w:val="0"/>
              <w:spacing w:before="203" w:line="220" w:lineRule="auto"/>
              <w:ind w:left="155"/>
            </w:pPr>
            <w:r>
              <w:rPr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52" name="IM 2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IM 2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6"/>
              </w:rPr>
              <w:t xml:space="preserve">  </w:t>
            </w:r>
            <w:r>
              <w:rPr>
                <w:spacing w:val="-5"/>
              </w:rPr>
              <w:t>负责客户满意度调查。</w:t>
            </w:r>
          </w:p>
        </w:tc>
      </w:tr>
      <w:tr w14:paraId="2B91B2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19" w:hRule="atLeast"/>
        </w:trPr>
        <w:tc>
          <w:tcPr>
            <w:tcW w:w="1515" w:type="dxa"/>
            <w:shd w:val="clear" w:color="auto" w:fill="auto"/>
          </w:tcPr>
          <w:p w14:paraId="1F03721D">
            <w:pPr>
              <w:widowControl w:val="0"/>
              <w:spacing w:line="247" w:lineRule="auto"/>
            </w:pPr>
          </w:p>
          <w:p w14:paraId="7A6D7F12">
            <w:pPr>
              <w:widowControl w:val="0"/>
              <w:spacing w:line="247" w:lineRule="auto"/>
            </w:pPr>
          </w:p>
          <w:p w14:paraId="61F048A4">
            <w:pPr>
              <w:widowControl w:val="0"/>
              <w:spacing w:line="247" w:lineRule="auto"/>
            </w:pPr>
          </w:p>
          <w:p w14:paraId="2B45AB21">
            <w:pPr>
              <w:widowControl w:val="0"/>
              <w:spacing w:line="247" w:lineRule="auto"/>
            </w:pPr>
          </w:p>
          <w:p w14:paraId="2F154D85">
            <w:pPr>
              <w:widowControl w:val="0"/>
              <w:spacing w:line="247" w:lineRule="auto"/>
            </w:pPr>
          </w:p>
          <w:p w14:paraId="71034ED8">
            <w:pPr>
              <w:widowControl w:val="0"/>
              <w:spacing w:line="247" w:lineRule="auto"/>
            </w:pPr>
          </w:p>
          <w:p w14:paraId="3A02A191">
            <w:pPr>
              <w:widowControl w:val="0"/>
              <w:spacing w:line="247" w:lineRule="auto"/>
            </w:pPr>
          </w:p>
          <w:p w14:paraId="5FB775DC">
            <w:pPr>
              <w:widowControl w:val="0"/>
              <w:spacing w:line="247" w:lineRule="auto"/>
            </w:pPr>
          </w:p>
          <w:p w14:paraId="2242834B">
            <w:pPr>
              <w:widowControl w:val="0"/>
              <w:spacing w:line="248" w:lineRule="auto"/>
            </w:pPr>
          </w:p>
          <w:p w14:paraId="7649CC8A">
            <w:pPr>
              <w:widowControl w:val="0"/>
              <w:spacing w:line="248" w:lineRule="auto"/>
            </w:pPr>
          </w:p>
          <w:p w14:paraId="57B7B922">
            <w:pPr>
              <w:widowControl w:val="0"/>
              <w:spacing w:line="248" w:lineRule="auto"/>
            </w:pPr>
          </w:p>
          <w:p w14:paraId="45012007">
            <w:pPr>
              <w:pStyle w:val="26"/>
              <w:widowControl w:val="0"/>
              <w:spacing w:before="78" w:line="220" w:lineRule="auto"/>
              <w:ind w:left="112"/>
            </w:pPr>
            <w:r>
              <w:rPr>
                <w:spacing w:val="-2"/>
              </w:rPr>
              <w:t>运维部</w:t>
            </w:r>
          </w:p>
        </w:tc>
        <w:tc>
          <w:tcPr>
            <w:tcW w:w="6849" w:type="dxa"/>
            <w:shd w:val="clear" w:color="auto" w:fill="auto"/>
          </w:tcPr>
          <w:p w14:paraId="518BE74A">
            <w:pPr>
              <w:pStyle w:val="26"/>
              <w:widowControl w:val="0"/>
              <w:spacing w:before="117" w:line="301" w:lineRule="auto"/>
              <w:ind w:left="571" w:right="159" w:hanging="416"/>
            </w:pPr>
            <w:r>
              <w:rPr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53" name="IM 2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" name="IM 26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9"/>
              </w:rPr>
              <w:t xml:space="preserve">  </w:t>
            </w:r>
            <w:r>
              <w:rPr>
                <w:spacing w:val="-1"/>
              </w:rPr>
              <w:t>负责对所运维业务进行质量控制,对质量部和服务台提供的</w:t>
            </w:r>
            <w:r>
              <w:rPr>
                <w:spacing w:val="-3"/>
              </w:rPr>
              <w:t>客户服务质量调查结果进行分析和处理。</w:t>
            </w:r>
          </w:p>
          <w:p w14:paraId="2E1270D9">
            <w:pPr>
              <w:pStyle w:val="26"/>
              <w:widowControl w:val="0"/>
              <w:spacing w:before="194" w:line="220" w:lineRule="auto"/>
              <w:ind w:left="155"/>
            </w:pPr>
            <w:r>
              <w:rPr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54" name="IM 2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IM 28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5"/>
              </w:rPr>
              <w:t xml:space="preserve">  </w:t>
            </w:r>
            <w:r>
              <w:rPr>
                <w:spacing w:val="-4"/>
              </w:rPr>
              <w:t>定期组织召开质量分析会。</w:t>
            </w:r>
          </w:p>
          <w:p w14:paraId="1E63F353">
            <w:pPr>
              <w:pStyle w:val="26"/>
              <w:widowControl w:val="0"/>
              <w:spacing w:before="203" w:line="220" w:lineRule="auto"/>
              <w:ind w:left="155"/>
            </w:pPr>
            <w:r>
              <w:rPr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55" name="IM 3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" name="IM 3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5"/>
              </w:rPr>
              <w:t xml:space="preserve">  </w:t>
            </w:r>
            <w:r>
              <w:rPr>
                <w:spacing w:val="-4"/>
              </w:rPr>
              <w:t>跟踪客户投诉的处理过程。</w:t>
            </w:r>
          </w:p>
          <w:p w14:paraId="07040D77">
            <w:pPr>
              <w:pStyle w:val="26"/>
              <w:widowControl w:val="0"/>
              <w:spacing w:before="202" w:line="220" w:lineRule="auto"/>
              <w:ind w:left="155"/>
            </w:pPr>
            <w:r>
              <w:rPr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56" name="IM 3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" name="IM 3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5"/>
              </w:rPr>
              <w:t xml:space="preserve">  </w:t>
            </w:r>
            <w:r>
              <w:rPr>
                <w:spacing w:val="-2"/>
              </w:rPr>
              <w:t>定期编写总结报告，持续改进完善维护服务能力和质量。</w:t>
            </w:r>
          </w:p>
          <w:p w14:paraId="184C4B22">
            <w:pPr>
              <w:pStyle w:val="26"/>
              <w:widowControl w:val="0"/>
              <w:spacing w:before="203" w:line="220" w:lineRule="auto"/>
              <w:ind w:left="155"/>
            </w:pPr>
            <w:r>
              <w:rPr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57" name="IM 3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" name="IM 34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11"/>
              </w:rPr>
              <w:t xml:space="preserve">  </w:t>
            </w:r>
            <w:r>
              <w:rPr>
                <w:spacing w:val="-5"/>
              </w:rPr>
              <w:t>负责监控服务的处理过程。</w:t>
            </w:r>
          </w:p>
          <w:p w14:paraId="38670C6F">
            <w:pPr>
              <w:pStyle w:val="26"/>
              <w:widowControl w:val="0"/>
              <w:spacing w:before="203" w:line="220" w:lineRule="auto"/>
              <w:ind w:left="155"/>
            </w:pPr>
            <w:r>
              <w:rPr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58" name="IM 3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IM 3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1"/>
              </w:rPr>
              <w:t xml:space="preserve">  </w:t>
            </w:r>
            <w:r>
              <w:rPr>
                <w:spacing w:val="-3"/>
              </w:rPr>
              <w:t>对每个处理事件进行客户回访。</w:t>
            </w:r>
          </w:p>
          <w:p w14:paraId="57F19880">
            <w:pPr>
              <w:pStyle w:val="26"/>
              <w:widowControl w:val="0"/>
              <w:spacing w:before="204" w:line="301" w:lineRule="auto"/>
              <w:ind w:left="573" w:right="279" w:hanging="418"/>
            </w:pPr>
            <w:r>
              <w:rPr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59" name="IM 3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IM 38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9"/>
              </w:rPr>
              <w:t xml:space="preserve">  </w:t>
            </w:r>
            <w:r>
              <w:rPr>
                <w:spacing w:val="-1"/>
              </w:rPr>
              <w:t>接收和处理客户投诉，重要的客户投诉信息及时反馈给相</w:t>
            </w:r>
            <w:r>
              <w:rPr>
                <w:spacing w:val="-7"/>
              </w:rPr>
              <w:t>关部门处理。</w:t>
            </w:r>
          </w:p>
          <w:p w14:paraId="0D92D877">
            <w:pPr>
              <w:pStyle w:val="26"/>
              <w:widowControl w:val="0"/>
              <w:spacing w:before="195" w:line="326" w:lineRule="auto"/>
              <w:ind w:left="571" w:right="279" w:hanging="416"/>
            </w:pPr>
            <w:r>
              <w:rPr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60" name="IM 4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" name="IM 4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9"/>
              </w:rPr>
              <w:t xml:space="preserve">  </w:t>
            </w:r>
            <w:r>
              <w:rPr>
                <w:spacing w:val="-1"/>
              </w:rPr>
              <w:t>包括运维项目经理、技术支持工程师、网络工程师等相关人员，按照运维岗位职责的要求、工作流程及质量要求，</w:t>
            </w:r>
            <w:r>
              <w:rPr>
                <w:spacing w:val="-3"/>
              </w:rPr>
              <w:t>实施具体运维服务任务，并将过程形成记录。</w:t>
            </w:r>
          </w:p>
        </w:tc>
      </w:tr>
      <w:tr w14:paraId="3C1FB6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19" w:hRule="atLeast"/>
        </w:trPr>
        <w:tc>
          <w:tcPr>
            <w:tcW w:w="1515" w:type="dxa"/>
            <w:shd w:val="clear" w:color="auto" w:fill="auto"/>
          </w:tcPr>
          <w:p w14:paraId="093011E3">
            <w:pPr>
              <w:widowControl w:val="0"/>
              <w:spacing w:line="269" w:lineRule="auto"/>
            </w:pPr>
          </w:p>
          <w:p w14:paraId="3EC1BEEB">
            <w:pPr>
              <w:widowControl w:val="0"/>
              <w:spacing w:line="269" w:lineRule="auto"/>
            </w:pPr>
          </w:p>
          <w:p w14:paraId="2C38E488">
            <w:pPr>
              <w:pStyle w:val="26"/>
              <w:widowControl w:val="0"/>
              <w:spacing w:before="78" w:line="220" w:lineRule="auto"/>
              <w:ind w:left="113"/>
            </w:pPr>
            <w:r>
              <w:rPr>
                <w:spacing w:val="-2"/>
              </w:rPr>
              <w:t>其他部门</w:t>
            </w:r>
          </w:p>
        </w:tc>
        <w:tc>
          <w:tcPr>
            <w:tcW w:w="6849" w:type="dxa"/>
            <w:shd w:val="clear" w:color="auto" w:fill="auto"/>
          </w:tcPr>
          <w:p w14:paraId="5B677E7E">
            <w:pPr>
              <w:pStyle w:val="26"/>
              <w:widowControl w:val="0"/>
              <w:spacing w:before="121" w:line="220" w:lineRule="auto"/>
              <w:ind w:left="155"/>
            </w:pPr>
            <w:r>
              <w:rPr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61" name="IM 4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" name="IM 4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7"/>
              </w:rPr>
              <w:t xml:space="preserve">  </w:t>
            </w:r>
            <w:r>
              <w:rPr>
                <w:spacing w:val="-6"/>
              </w:rPr>
              <w:t>参与能力管理计划的制定；</w:t>
            </w:r>
          </w:p>
          <w:p w14:paraId="56256330">
            <w:pPr>
              <w:pStyle w:val="26"/>
              <w:widowControl w:val="0"/>
              <w:spacing w:before="202" w:line="220" w:lineRule="auto"/>
              <w:ind w:left="155"/>
            </w:pPr>
            <w:r>
              <w:rPr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62" name="IM 4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" name="IM 4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4"/>
              </w:rPr>
              <w:t xml:space="preserve">  </w:t>
            </w:r>
            <w:r>
              <w:rPr>
                <w:spacing w:val="-6"/>
              </w:rPr>
              <w:t>按照能力管理计划实施；</w:t>
            </w:r>
          </w:p>
          <w:p w14:paraId="251F6B2E">
            <w:pPr>
              <w:pStyle w:val="26"/>
              <w:widowControl w:val="0"/>
              <w:spacing w:before="202" w:line="220" w:lineRule="auto"/>
              <w:ind w:left="155"/>
              <w:rPr>
                <w:spacing w:val="-3"/>
              </w:rPr>
            </w:pPr>
            <w:r>
              <w:rPr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63" name="IM 4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" name="IM 46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8"/>
              </w:rPr>
              <w:t xml:space="preserve">  </w:t>
            </w:r>
            <w:r>
              <w:rPr>
                <w:spacing w:val="-3"/>
              </w:rPr>
              <w:t>接受质量部的监督和检查，并定期汇报计划的实施情况；</w:t>
            </w:r>
          </w:p>
          <w:p w14:paraId="3B9E47B1">
            <w:pPr>
              <w:pStyle w:val="26"/>
              <w:widowControl w:val="0"/>
              <w:spacing w:before="202" w:line="220" w:lineRule="auto"/>
              <w:ind w:left="155"/>
              <w:rPr>
                <w:spacing w:val="-3"/>
              </w:rPr>
            </w:pPr>
            <w:r>
              <w:rPr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64" name="IM 4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" name="IM 48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2"/>
              </w:rPr>
              <w:t xml:space="preserve">  </w:t>
            </w:r>
            <w:r>
              <w:rPr>
                <w:spacing w:val="-2"/>
              </w:rPr>
              <w:t>针对实施过程中发现的问题采取有效的改进措施。</w:t>
            </w:r>
          </w:p>
        </w:tc>
      </w:tr>
    </w:tbl>
    <w:p w14:paraId="6418224B">
      <w:pPr>
        <w:widowControl w:val="0"/>
        <w:spacing w:line="91" w:lineRule="auto"/>
        <w:rPr>
          <w:sz w:val="2"/>
        </w:rPr>
      </w:pPr>
    </w:p>
    <w:p w14:paraId="6982E2B0">
      <w:pPr>
        <w:widowControl w:val="0"/>
        <w:spacing w:line="91" w:lineRule="auto"/>
        <w:rPr>
          <w:sz w:val="2"/>
        </w:rPr>
      </w:pPr>
    </w:p>
    <w:p w14:paraId="2833BCAA">
      <w:pPr>
        <w:pStyle w:val="27"/>
        <w:keepNext w:val="0"/>
        <w:keepLines w:val="0"/>
        <w:widowControl w:val="0"/>
      </w:pPr>
      <w:bookmarkStart w:id="8" w:name="bookmark1"/>
      <w:bookmarkEnd w:id="8"/>
      <w:bookmarkStart w:id="9" w:name="_Toc17894"/>
      <w:r>
        <w:t>服务质量管理活动</w:t>
      </w:r>
      <w:bookmarkEnd w:id="9"/>
    </w:p>
    <w:p w14:paraId="75482D33">
      <w:pPr>
        <w:widowControl w:val="0"/>
        <w:ind w:firstLine="464" w:firstLineChars="200"/>
        <w:rPr>
          <w:rFonts w:ascii="宋体" w:hAnsi="宋体" w:cs="宋体"/>
          <w:spacing w:val="-4"/>
          <w:sz w:val="24"/>
          <w:szCs w:val="24"/>
        </w:rPr>
      </w:pPr>
      <w:r>
        <w:rPr>
          <w:rFonts w:ascii="宋体" w:hAnsi="宋体" w:cs="宋体"/>
          <w:spacing w:val="-4"/>
          <w:sz w:val="24"/>
          <w:szCs w:val="24"/>
        </w:rPr>
        <w:t>为达成服务质量目标，检查运维体系的实施情况，2025年度计划执行的服务质量管理活动，具体目标如下：</w:t>
      </w:r>
    </w:p>
    <w:p w14:paraId="2BBBB798">
      <w:pPr>
        <w:pStyle w:val="29"/>
        <w:bidi w:val="0"/>
      </w:pPr>
      <w:bookmarkStart w:id="10" w:name="_Toc18914"/>
      <w:r>
        <w:t>运维服务能力</w:t>
      </w:r>
      <w:r>
        <w:rPr>
          <w:rFonts w:hint="eastAsia"/>
          <w:lang w:eastAsia="zh-CN"/>
        </w:rPr>
        <w:t>内部评审</w:t>
      </w:r>
      <w:bookmarkEnd w:id="10"/>
    </w:p>
    <w:p w14:paraId="1E6E0517">
      <w:pPr>
        <w:widowControl w:val="0"/>
        <w:ind w:firstLine="476" w:firstLineChars="200"/>
        <w:rPr>
          <w:rFonts w:ascii="宋体" w:hAnsi="宋体" w:cs="宋体"/>
          <w:spacing w:val="-1"/>
          <w:sz w:val="24"/>
          <w:szCs w:val="24"/>
        </w:rPr>
      </w:pPr>
      <w:r>
        <w:rPr>
          <w:rFonts w:hint="eastAsia" w:ascii="宋体" w:hAnsi="宋体" w:cs="宋体"/>
          <w:spacing w:val="-1"/>
          <w:sz w:val="24"/>
          <w:szCs w:val="24"/>
        </w:rPr>
        <w:t>计划在2025年</w:t>
      </w:r>
      <w:r>
        <w:rPr>
          <w:rFonts w:hint="eastAsia" w:ascii="宋体" w:hAnsi="宋体" w:cs="宋体"/>
          <w:spacing w:val="-1"/>
          <w:sz w:val="24"/>
          <w:szCs w:val="24"/>
          <w:lang w:eastAsia="zh-CN"/>
        </w:rPr>
        <w:t>12</w:t>
      </w:r>
      <w:r>
        <w:rPr>
          <w:rFonts w:hint="eastAsia" w:ascii="宋体" w:hAnsi="宋体" w:cs="宋体"/>
          <w:spacing w:val="-1"/>
          <w:sz w:val="24"/>
          <w:szCs w:val="24"/>
        </w:rPr>
        <w:t>月进行</w:t>
      </w:r>
      <w:r>
        <w:rPr>
          <w:rFonts w:hint="eastAsia" w:ascii="宋体" w:hAnsi="宋体" w:cs="宋体"/>
          <w:sz w:val="24"/>
          <w:szCs w:val="24"/>
          <w:lang w:eastAsia="zh-CN"/>
        </w:rPr>
        <w:t>运维服务能力体系内部评审</w:t>
      </w:r>
      <w:r>
        <w:rPr>
          <w:rFonts w:hint="eastAsia" w:ascii="宋体" w:hAnsi="宋体" w:cs="宋体"/>
          <w:spacing w:val="-1"/>
          <w:sz w:val="24"/>
          <w:szCs w:val="24"/>
        </w:rPr>
        <w:t>，由</w:t>
      </w:r>
      <w:r>
        <w:rPr>
          <w:rFonts w:hint="eastAsia" w:ascii="宋体" w:hAnsi="宋体" w:cs="宋体"/>
          <w:spacing w:val="-1"/>
          <w:sz w:val="24"/>
          <w:szCs w:val="24"/>
          <w:lang w:eastAsia="zh-CN"/>
        </w:rPr>
        <w:t>质量部</w:t>
      </w:r>
      <w:r>
        <w:rPr>
          <w:rFonts w:hint="eastAsia" w:ascii="宋体" w:hAnsi="宋体" w:cs="宋体"/>
          <w:spacing w:val="-1"/>
          <w:sz w:val="24"/>
          <w:szCs w:val="24"/>
        </w:rPr>
        <w:t>牵头组织，主要参与部门包括运维部、</w:t>
      </w:r>
      <w:r>
        <w:rPr>
          <w:rFonts w:hint="eastAsia" w:ascii="宋体" w:hAnsi="宋体" w:cs="宋体"/>
          <w:spacing w:val="-1"/>
          <w:sz w:val="24"/>
          <w:szCs w:val="24"/>
          <w:lang w:eastAsia="zh-CN"/>
        </w:rPr>
        <w:t>综合部</w:t>
      </w:r>
      <w:r>
        <w:rPr>
          <w:rFonts w:hint="eastAsia" w:ascii="宋体" w:hAnsi="宋体" w:cs="宋体"/>
          <w:spacing w:val="-1"/>
          <w:sz w:val="24"/>
          <w:szCs w:val="24"/>
        </w:rPr>
        <w:t>、</w:t>
      </w:r>
      <w:r>
        <w:rPr>
          <w:rFonts w:hint="eastAsia" w:ascii="宋体" w:hAnsi="宋体" w:cs="宋体"/>
          <w:spacing w:val="-1"/>
          <w:sz w:val="24"/>
          <w:szCs w:val="24"/>
          <w:lang w:eastAsia="zh-CN"/>
        </w:rPr>
        <w:t>研发部、采购部，</w:t>
      </w:r>
      <w:r>
        <w:rPr>
          <w:rFonts w:hint="eastAsia" w:ascii="宋体" w:hAnsi="宋体" w:cs="宋体"/>
          <w:spacing w:val="-1"/>
          <w:sz w:val="24"/>
          <w:szCs w:val="24"/>
        </w:rPr>
        <w:t>对引进ITSS运维服务能力管理体系的运行情况进行评审。通过对具体工作的过程记录的检查、具体人员的访谈，确定运维服务活动是否符合调整后的运维体系要求，</w:t>
      </w:r>
      <w:r>
        <w:rPr>
          <w:rFonts w:hint="eastAsia" w:ascii="宋体" w:hAnsi="宋体" w:cs="宋体"/>
          <w:spacing w:val="-1"/>
          <w:sz w:val="24"/>
          <w:szCs w:val="24"/>
          <w:lang w:eastAsia="zh-CN"/>
        </w:rPr>
        <w:t>从而</w:t>
      </w:r>
      <w:r>
        <w:rPr>
          <w:rFonts w:hint="eastAsia" w:ascii="宋体" w:hAnsi="宋体" w:cs="宋体"/>
          <w:spacing w:val="-1"/>
          <w:sz w:val="24"/>
          <w:szCs w:val="24"/>
        </w:rPr>
        <w:t>确定新的运维管理体系是否适合公司的实际工作情况。</w:t>
      </w:r>
    </w:p>
    <w:p w14:paraId="59BFF7E7">
      <w:pPr>
        <w:pStyle w:val="29"/>
        <w:keepNext w:val="0"/>
        <w:keepLines w:val="0"/>
        <w:widowControl w:val="0"/>
      </w:pPr>
      <w:bookmarkStart w:id="11" w:name="_Toc24657"/>
      <w:r>
        <w:t>运维服务能力管理评审</w:t>
      </w:r>
      <w:bookmarkEnd w:id="11"/>
    </w:p>
    <w:p w14:paraId="63723EA7">
      <w:pPr>
        <w:widowControl w:val="0"/>
        <w:ind w:firstLine="476" w:firstLineChars="200"/>
        <w:rPr>
          <w:rFonts w:ascii="宋体" w:hAnsi="宋体" w:cs="宋体"/>
          <w:spacing w:val="-1"/>
          <w:sz w:val="24"/>
          <w:szCs w:val="24"/>
        </w:rPr>
      </w:pPr>
      <w:r>
        <w:rPr>
          <w:rFonts w:ascii="宋体" w:hAnsi="宋体" w:cs="宋体"/>
          <w:spacing w:val="-1"/>
          <w:sz w:val="24"/>
          <w:szCs w:val="24"/>
        </w:rPr>
        <w:t>管理评审目的是对公司运维服务管理体系进行系统评审，识别并确定各种改进的机会和需要，确保运维服务管理体系持续的适宜性、充分性和有效性。运维服务能力管理评审由</w:t>
      </w:r>
      <w:r>
        <w:rPr>
          <w:rFonts w:hint="eastAsia" w:ascii="宋体" w:hAnsi="宋体" w:cs="宋体"/>
          <w:spacing w:val="-1"/>
          <w:sz w:val="24"/>
          <w:szCs w:val="24"/>
          <w:lang w:eastAsia="zh-CN"/>
        </w:rPr>
        <w:t>质量部</w:t>
      </w:r>
      <w:r>
        <w:rPr>
          <w:rFonts w:ascii="宋体" w:hAnsi="宋体" w:cs="宋体"/>
          <w:spacing w:val="-1"/>
          <w:sz w:val="24"/>
          <w:szCs w:val="24"/>
        </w:rPr>
        <w:t>负责组织实施</w:t>
      </w:r>
      <w:r>
        <w:rPr>
          <w:rFonts w:hint="eastAsia" w:ascii="宋体" w:hAnsi="宋体" w:cs="宋体"/>
          <w:spacing w:val="-1"/>
          <w:sz w:val="24"/>
          <w:szCs w:val="24"/>
          <w:lang w:eastAsia="zh-CN"/>
        </w:rPr>
        <w:t>。</w:t>
      </w:r>
    </w:p>
    <w:p w14:paraId="14C6F832">
      <w:pPr>
        <w:pStyle w:val="29"/>
        <w:keepNext w:val="0"/>
        <w:keepLines w:val="0"/>
        <w:widowControl w:val="0"/>
      </w:pPr>
      <w:bookmarkStart w:id="12" w:name="_Toc6477"/>
      <w:r>
        <w:t>客户满意度调查</w:t>
      </w:r>
      <w:r>
        <w:rPr>
          <w:rFonts w:hint="eastAsia"/>
          <w:lang w:eastAsia="zh-CN"/>
        </w:rPr>
        <w:t>与分析</w:t>
      </w:r>
      <w:bookmarkEnd w:id="12"/>
    </w:p>
    <w:p w14:paraId="202722A5">
      <w:pPr>
        <w:widowControl w:val="0"/>
        <w:ind w:firstLine="476" w:firstLineChars="200"/>
        <w:rPr>
          <w:rFonts w:ascii="宋体" w:hAnsi="宋体" w:cs="宋体"/>
          <w:spacing w:val="-1"/>
          <w:sz w:val="24"/>
          <w:szCs w:val="24"/>
        </w:rPr>
      </w:pPr>
      <w:r>
        <w:rPr>
          <w:rFonts w:ascii="宋体" w:hAnsi="宋体" w:cs="宋体"/>
          <w:spacing w:val="-1"/>
          <w:sz w:val="24"/>
          <w:szCs w:val="24"/>
        </w:rPr>
        <w:t>客户满意度调查工作由服务台和质量部组织完成，其中，服务台负责项目级客户满意度调查，质量部负责公司级客户满意度调查。客户满意度调查可采取邮件、问卷、电话、面谈等多种方式。2025年至少进行一次公司级客户满意度调查，并进行汇总分析。</w:t>
      </w:r>
    </w:p>
    <w:p w14:paraId="1639DC3B">
      <w:pPr>
        <w:widowControl w:val="0"/>
        <w:ind w:firstLine="476" w:firstLineChars="200"/>
        <w:rPr>
          <w:rFonts w:ascii="宋体" w:hAnsi="宋体" w:cs="宋体"/>
          <w:spacing w:val="-1"/>
          <w:sz w:val="24"/>
          <w:szCs w:val="24"/>
        </w:rPr>
      </w:pPr>
      <w:r>
        <w:rPr>
          <w:rFonts w:ascii="宋体" w:hAnsi="宋体" w:cs="宋体"/>
          <w:spacing w:val="-1"/>
          <w:sz w:val="24"/>
          <w:szCs w:val="24"/>
        </w:rPr>
        <w:t>项目级的客户满意度调查是对每个已解决的事件或问题在24小时内进行电话回访，确认工程师是否成功解决问题，了解客户对处理结果的满意度。</w:t>
      </w:r>
    </w:p>
    <w:p w14:paraId="4A9CCD13">
      <w:pPr>
        <w:pStyle w:val="29"/>
        <w:bidi w:val="0"/>
        <w:rPr>
          <w:rFonts w:hint="eastAsia"/>
        </w:rPr>
      </w:pPr>
      <w:bookmarkStart w:id="13" w:name="_Toc3885"/>
      <w:r>
        <w:rPr>
          <w:rFonts w:hint="eastAsia"/>
        </w:rPr>
        <w:t>KPI指标跟踪与预警</w:t>
      </w:r>
      <w:bookmarkEnd w:id="13"/>
    </w:p>
    <w:p w14:paraId="05922195">
      <w:pPr>
        <w:widowControl w:val="0"/>
        <w:ind w:firstLine="476" w:firstLineChars="200"/>
        <w:rPr>
          <w:rFonts w:hint="eastAsia" w:ascii="宋体" w:hAnsi="宋体" w:cs="宋体"/>
          <w:spacing w:val="-1"/>
          <w:sz w:val="24"/>
          <w:szCs w:val="24"/>
        </w:rPr>
      </w:pPr>
      <w:r>
        <w:rPr>
          <w:rFonts w:hint="eastAsia" w:ascii="宋体" w:hAnsi="宋体" w:cs="宋体"/>
          <w:spacing w:val="-1"/>
          <w:sz w:val="24"/>
          <w:szCs w:val="24"/>
        </w:rPr>
        <w:t>为保障《2025年度运维服务能力管理指标体系》中各项关键绩效指标（KPI）的达成，建立常态化跟踪机制，确保服务质量目标可测量、可追溯、可改进。</w:t>
      </w:r>
    </w:p>
    <w:p w14:paraId="5471C740">
      <w:pPr>
        <w:pStyle w:val="30"/>
        <w:bidi w:val="0"/>
        <w:rPr>
          <w:rFonts w:hint="eastAsia"/>
        </w:rPr>
      </w:pPr>
      <w:bookmarkStart w:id="14" w:name="_Toc18949"/>
      <w:r>
        <w:rPr>
          <w:rFonts w:hint="eastAsia"/>
        </w:rPr>
        <w:t>跟踪频次与责任分工</w:t>
      </w:r>
      <w:bookmarkEnd w:id="14"/>
    </w:p>
    <w:p w14:paraId="77C89422">
      <w:pPr>
        <w:widowControl w:val="0"/>
        <w:ind w:firstLine="476" w:firstLineChars="200"/>
        <w:rPr>
          <w:rFonts w:hint="eastAsia" w:ascii="宋体" w:hAnsi="宋体" w:cs="宋体"/>
          <w:spacing w:val="-1"/>
          <w:sz w:val="24"/>
          <w:szCs w:val="24"/>
        </w:rPr>
      </w:pPr>
      <w:r>
        <w:rPr>
          <w:rFonts w:hint="eastAsia" w:ascii="宋体" w:hAnsi="宋体" w:cs="宋体"/>
          <w:spacing w:val="-1"/>
          <w:sz w:val="24"/>
          <w:szCs w:val="24"/>
        </w:rPr>
        <w:t>人员类指标（招聘到岗率、培训达成率、考核合格率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等</w:t>
      </w:r>
      <w:r>
        <w:rPr>
          <w:rFonts w:hint="eastAsia" w:ascii="宋体" w:hAnsi="宋体" w:cs="宋体"/>
          <w:spacing w:val="-1"/>
          <w:sz w:val="24"/>
          <w:szCs w:val="24"/>
        </w:rPr>
        <w:t>）：跟踪频次为月度/季度，责任部门为综合部，数据来源为人员管理记录。</w:t>
      </w:r>
    </w:p>
    <w:p w14:paraId="0DCBD031">
      <w:pPr>
        <w:widowControl w:val="0"/>
        <w:ind w:firstLine="476" w:firstLineChars="200"/>
        <w:rPr>
          <w:rFonts w:hint="eastAsia" w:ascii="宋体" w:hAnsi="宋体" w:cs="宋体"/>
          <w:spacing w:val="-1"/>
          <w:sz w:val="24"/>
          <w:szCs w:val="24"/>
        </w:rPr>
      </w:pPr>
      <w:r>
        <w:rPr>
          <w:rFonts w:hint="eastAsia" w:ascii="宋体" w:hAnsi="宋体" w:cs="宋体"/>
          <w:spacing w:val="-1"/>
          <w:sz w:val="24"/>
          <w:szCs w:val="24"/>
        </w:rPr>
        <w:t>资源类指标（备件准确率、知识条目数、服务台录入完整</w:t>
      </w:r>
      <w:bookmarkStart w:id="19" w:name="_GoBack"/>
      <w:r>
        <w:rPr>
          <w:rFonts w:hint="eastAsia" w:ascii="宋体" w:hAnsi="宋体" w:cs="宋体"/>
          <w:spacing w:val="-1"/>
          <w:sz w:val="24"/>
          <w:szCs w:val="24"/>
        </w:rPr>
        <w:t>性</w:t>
      </w:r>
      <w:r>
        <w:rPr>
          <w:rFonts w:hint="eastAsia" w:ascii="宋体" w:hAnsi="宋体" w:cs="宋体"/>
          <w:spacing w:val="-1"/>
          <w:sz w:val="24"/>
          <w:szCs w:val="24"/>
          <w:lang w:eastAsia="zh-CN"/>
        </w:rPr>
        <w:t>、</w:t>
      </w:r>
      <w:r>
        <w:rPr>
          <w:rFonts w:hint="eastAsia" w:ascii="宋体" w:hAnsi="宋体" w:cs="宋体"/>
          <w:spacing w:val="-1"/>
          <w:sz w:val="24"/>
          <w:szCs w:val="24"/>
        </w:rPr>
        <w:t>最终软件库版本正确率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等</w:t>
      </w:r>
      <w:r>
        <w:rPr>
          <w:rFonts w:hint="eastAsia" w:ascii="宋体" w:hAnsi="宋体" w:cs="宋体"/>
          <w:spacing w:val="-1"/>
          <w:sz w:val="24"/>
          <w:szCs w:val="24"/>
        </w:rPr>
        <w:t>）：跟踪频次为季度，责任部门为运维部，数据来源为备件库/知识库/服务台账。</w:t>
      </w:r>
      <w:bookmarkEnd w:id="19"/>
    </w:p>
    <w:p w14:paraId="47E5B9DD">
      <w:pPr>
        <w:widowControl w:val="0"/>
        <w:ind w:firstLine="476" w:firstLineChars="200"/>
        <w:rPr>
          <w:rFonts w:hint="eastAsia" w:ascii="宋体" w:hAnsi="宋体" w:cs="宋体"/>
          <w:spacing w:val="-1"/>
          <w:sz w:val="24"/>
          <w:szCs w:val="24"/>
        </w:rPr>
      </w:pPr>
      <w:r>
        <w:rPr>
          <w:rFonts w:hint="eastAsia" w:ascii="宋体" w:hAnsi="宋体" w:cs="宋体"/>
          <w:spacing w:val="-1"/>
          <w:sz w:val="24"/>
          <w:szCs w:val="24"/>
        </w:rPr>
        <w:t>过程类指标（SLA达成率、事件解决率、变功率、配置准确率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等</w:t>
      </w:r>
      <w:r>
        <w:rPr>
          <w:rFonts w:hint="eastAsia" w:ascii="宋体" w:hAnsi="宋体" w:cs="宋体"/>
          <w:spacing w:val="-1"/>
          <w:sz w:val="24"/>
          <w:szCs w:val="24"/>
        </w:rPr>
        <w:t>）：跟踪频次为月度/季度，责任部门为运维部，数据来源为运维管理工具/工单系统。</w:t>
      </w:r>
    </w:p>
    <w:p w14:paraId="37A545E7">
      <w:pPr>
        <w:widowControl w:val="0"/>
        <w:ind w:firstLine="476" w:firstLineChars="200"/>
        <w:rPr>
          <w:rFonts w:hint="eastAsia" w:ascii="宋体" w:hAnsi="宋体" w:cs="宋体"/>
          <w:spacing w:val="-1"/>
          <w:sz w:val="24"/>
          <w:szCs w:val="24"/>
        </w:rPr>
      </w:pPr>
      <w:r>
        <w:rPr>
          <w:rFonts w:hint="eastAsia" w:ascii="宋体" w:hAnsi="宋体" w:cs="宋体"/>
          <w:spacing w:val="-1"/>
          <w:sz w:val="24"/>
          <w:szCs w:val="24"/>
        </w:rPr>
        <w:t>交付类指标（交付文档合规性）：跟踪频次为季度，责任部门为运维部，数据来源为项目验收记录。</w:t>
      </w:r>
    </w:p>
    <w:p w14:paraId="78CE618C">
      <w:pPr>
        <w:widowControl w:val="0"/>
        <w:ind w:firstLine="476" w:firstLineChars="200"/>
        <w:rPr>
          <w:rFonts w:hint="eastAsia" w:ascii="宋体" w:hAnsi="宋体" w:cs="宋体"/>
          <w:spacing w:val="-1"/>
          <w:sz w:val="24"/>
          <w:szCs w:val="24"/>
        </w:rPr>
      </w:pPr>
      <w:r>
        <w:rPr>
          <w:rFonts w:hint="eastAsia" w:ascii="宋体" w:hAnsi="宋体" w:cs="宋体"/>
          <w:spacing w:val="-1"/>
          <w:sz w:val="24"/>
          <w:szCs w:val="24"/>
        </w:rPr>
        <w:t>应急类指标（应急演练次数）：跟踪频次为半年，责任部门为运维部，数据来源为演练记录。</w:t>
      </w:r>
    </w:p>
    <w:p w14:paraId="47AB8CFB">
      <w:pPr>
        <w:widowControl w:val="0"/>
        <w:ind w:firstLine="476" w:firstLineChars="200"/>
        <w:rPr>
          <w:rFonts w:hint="eastAsia" w:ascii="宋体" w:hAnsi="宋体" w:cs="宋体"/>
          <w:spacing w:val="-1"/>
          <w:sz w:val="24"/>
          <w:szCs w:val="24"/>
        </w:rPr>
      </w:pPr>
      <w:r>
        <w:rPr>
          <w:rFonts w:hint="eastAsia" w:ascii="宋体" w:hAnsi="宋体" w:cs="宋体"/>
          <w:spacing w:val="-1"/>
          <w:sz w:val="24"/>
          <w:szCs w:val="24"/>
        </w:rPr>
        <w:t>质量类指标（客户满意度平均分、内审/管评次数）：跟踪频次为年度，责任部门为质量部，数据来源为满意度报告/内审管评报告。</w:t>
      </w:r>
    </w:p>
    <w:p w14:paraId="4075A967">
      <w:pPr>
        <w:pStyle w:val="30"/>
        <w:bidi w:val="0"/>
        <w:rPr>
          <w:rFonts w:hint="eastAsia"/>
        </w:rPr>
      </w:pPr>
      <w:bookmarkStart w:id="15" w:name="_Toc1864"/>
      <w:r>
        <w:rPr>
          <w:rFonts w:hint="eastAsia"/>
        </w:rPr>
        <w:t>数据收集与核实</w:t>
      </w:r>
      <w:bookmarkEnd w:id="15"/>
    </w:p>
    <w:p w14:paraId="0D35E563">
      <w:pPr>
        <w:widowControl w:val="0"/>
        <w:ind w:firstLine="476" w:firstLineChars="200"/>
        <w:rPr>
          <w:rFonts w:hint="eastAsia" w:ascii="宋体" w:hAnsi="宋体" w:cs="宋体"/>
          <w:spacing w:val="-1"/>
          <w:sz w:val="24"/>
          <w:szCs w:val="24"/>
        </w:rPr>
      </w:pPr>
      <w:r>
        <w:rPr>
          <w:rFonts w:hint="eastAsia" w:ascii="宋体" w:hAnsi="宋体" w:cs="宋体"/>
          <w:spacing w:val="-1"/>
          <w:sz w:val="24"/>
          <w:szCs w:val="24"/>
        </w:rPr>
        <w:t>(1) 数据报送：各责任部门按跟踪频度要求，在规定时间内向质量部报送指标数据及支撑材料，确保数据真实、准确、可追溯。</w:t>
      </w:r>
    </w:p>
    <w:p w14:paraId="743479B2">
      <w:pPr>
        <w:widowControl w:val="0"/>
        <w:ind w:firstLine="476" w:firstLineChars="200"/>
        <w:rPr>
          <w:rFonts w:hint="eastAsia" w:ascii="宋体" w:hAnsi="宋体" w:cs="宋体"/>
          <w:spacing w:val="-1"/>
          <w:sz w:val="24"/>
          <w:szCs w:val="24"/>
        </w:rPr>
      </w:pPr>
      <w:r>
        <w:rPr>
          <w:rFonts w:hint="eastAsia" w:ascii="宋体" w:hAnsi="宋体" w:cs="宋体"/>
          <w:spacing w:val="-1"/>
          <w:sz w:val="24"/>
          <w:szCs w:val="24"/>
        </w:rPr>
        <w:t>(2) 数据核实：质量部对报送数据进行逻辑校验和抽样复核，识别异常数据或未达标指标，必要时追溯原始记录。</w:t>
      </w:r>
    </w:p>
    <w:p w14:paraId="69A3787D">
      <w:pPr>
        <w:widowControl w:val="0"/>
        <w:ind w:firstLine="476" w:firstLineChars="200"/>
        <w:rPr>
          <w:rFonts w:hint="eastAsia" w:ascii="宋体" w:hAnsi="宋体" w:cs="宋体"/>
          <w:spacing w:val="-1"/>
          <w:sz w:val="24"/>
          <w:szCs w:val="24"/>
        </w:rPr>
      </w:pPr>
      <w:r>
        <w:rPr>
          <w:rFonts w:hint="eastAsia" w:ascii="宋体" w:hAnsi="宋体" w:cs="宋体"/>
          <w:spacing w:val="-1"/>
          <w:sz w:val="24"/>
          <w:szCs w:val="24"/>
        </w:rPr>
        <w:t>(3) 台账管理：质量部建立《KPI数据收集台账》，记录各项指标的达成情况、趋势变化和异常说明。</w:t>
      </w:r>
    </w:p>
    <w:p w14:paraId="14E92EE6">
      <w:pPr>
        <w:pStyle w:val="30"/>
        <w:bidi w:val="0"/>
        <w:rPr>
          <w:rFonts w:hint="eastAsia"/>
        </w:rPr>
      </w:pPr>
      <w:bookmarkStart w:id="16" w:name="_Toc31886"/>
      <w:r>
        <w:rPr>
          <w:rFonts w:hint="eastAsia"/>
        </w:rPr>
        <w:t>预警与改进机制</w:t>
      </w:r>
      <w:bookmarkEnd w:id="16"/>
    </w:p>
    <w:p w14:paraId="59C0B42F">
      <w:pPr>
        <w:widowControl w:val="0"/>
        <w:ind w:firstLine="476" w:firstLineChars="200"/>
        <w:rPr>
          <w:rFonts w:hint="eastAsia" w:ascii="宋体" w:hAnsi="宋体" w:cs="宋体"/>
          <w:spacing w:val="-1"/>
          <w:sz w:val="24"/>
          <w:szCs w:val="24"/>
        </w:rPr>
      </w:pPr>
      <w:r>
        <w:rPr>
          <w:rFonts w:hint="eastAsia" w:ascii="宋体" w:hAnsi="宋体" w:cs="宋体"/>
          <w:spacing w:val="-1"/>
          <w:sz w:val="24"/>
          <w:szCs w:val="24"/>
        </w:rPr>
        <w:t>(1) 预警触发条件：当关键KPI指标连续两个月低于目标值90%时，或单项指标低于目标值80%时，触发预警机制。</w:t>
      </w:r>
    </w:p>
    <w:p w14:paraId="65B67FFF">
      <w:pPr>
        <w:widowControl w:val="0"/>
        <w:ind w:firstLine="476" w:firstLineChars="200"/>
        <w:rPr>
          <w:rFonts w:hint="eastAsia" w:ascii="宋体" w:hAnsi="宋体" w:cs="宋体"/>
          <w:spacing w:val="-1"/>
          <w:sz w:val="24"/>
          <w:szCs w:val="24"/>
        </w:rPr>
      </w:pPr>
      <w:r>
        <w:rPr>
          <w:rFonts w:hint="eastAsia" w:ascii="宋体" w:hAnsi="宋体" w:cs="宋体"/>
          <w:spacing w:val="-1"/>
          <w:sz w:val="24"/>
          <w:szCs w:val="24"/>
        </w:rPr>
        <w:t>(2) 预警处理流程：质量部向责任部门发出《KPI预警通知单》，责任部门在5个工作日内分析原因、制定改进措施，质量部跟踪改进措施的落实情况并验证改进效果。</w:t>
      </w:r>
    </w:p>
    <w:p w14:paraId="331BA2F6">
      <w:pPr>
        <w:widowControl w:val="0"/>
        <w:ind w:firstLine="476" w:firstLineChars="200"/>
        <w:rPr>
          <w:rFonts w:hint="eastAsia" w:ascii="宋体" w:hAnsi="宋体" w:cs="宋体"/>
          <w:spacing w:val="-1"/>
          <w:sz w:val="24"/>
          <w:szCs w:val="24"/>
        </w:rPr>
      </w:pPr>
      <w:r>
        <w:rPr>
          <w:rFonts w:hint="eastAsia" w:ascii="宋体" w:hAnsi="宋体" w:cs="宋体"/>
          <w:spacing w:val="-1"/>
          <w:sz w:val="24"/>
          <w:szCs w:val="24"/>
        </w:rPr>
        <w:t>(3) 季度回顾：每季度召开质量分析会，回顾KPI指标达成情况，对未达标项进行根因分析，形成《季度KPI监控报告》，将改进事项纳入质量改进跟踪台账。</w:t>
      </w:r>
    </w:p>
    <w:p w14:paraId="10832215">
      <w:pPr>
        <w:pStyle w:val="30"/>
        <w:bidi w:val="0"/>
        <w:rPr>
          <w:rFonts w:hint="eastAsia"/>
        </w:rPr>
      </w:pPr>
      <w:bookmarkStart w:id="17" w:name="_Toc29246"/>
      <w:r>
        <w:rPr>
          <w:rFonts w:hint="eastAsia"/>
        </w:rPr>
        <w:t>与质量报告的衔接</w:t>
      </w:r>
      <w:bookmarkEnd w:id="17"/>
    </w:p>
    <w:p w14:paraId="7EB5DF20">
      <w:pPr>
        <w:widowControl w:val="0"/>
        <w:ind w:firstLine="476" w:firstLineChars="200"/>
        <w:rPr>
          <w:rFonts w:ascii="宋体" w:hAnsi="宋体" w:cs="宋体"/>
          <w:spacing w:val="-1"/>
          <w:sz w:val="24"/>
          <w:szCs w:val="24"/>
        </w:rPr>
      </w:pPr>
      <w:r>
        <w:rPr>
          <w:rFonts w:hint="eastAsia" w:ascii="宋体" w:hAnsi="宋体" w:cs="宋体"/>
          <w:spacing w:val="-1"/>
          <w:sz w:val="24"/>
          <w:szCs w:val="24"/>
        </w:rPr>
        <w:t>年度运维服务质量管理报告必须包含以下KPI相关内容：各项KPI指标的年度达成情况汇总、未达标指标的原因分析、针对性改进措施及责任分工、下一年度KPI目标调整建议。</w:t>
      </w:r>
    </w:p>
    <w:p w14:paraId="64C6F650">
      <w:pPr>
        <w:pStyle w:val="29"/>
        <w:keepNext w:val="0"/>
        <w:keepLines w:val="0"/>
        <w:widowControl w:val="0"/>
        <w:rPr>
          <w:lang w:eastAsia="zh-CN"/>
        </w:rPr>
      </w:pPr>
      <w:bookmarkStart w:id="18" w:name="_Toc14999"/>
      <w:r>
        <w:rPr>
          <w:rFonts w:hint="eastAsia"/>
          <w:lang w:eastAsia="zh-CN"/>
        </w:rPr>
        <w:t>运维服务质量总结、改进</w:t>
      </w:r>
      <w:bookmarkEnd w:id="18"/>
    </w:p>
    <w:p w14:paraId="39FA89A8">
      <w:pPr>
        <w:widowControl w:val="0"/>
        <w:ind w:firstLine="476" w:firstLineChars="200"/>
        <w:rPr>
          <w:rFonts w:ascii="宋体" w:hAnsi="宋体" w:cs="宋体"/>
          <w:spacing w:val="-1"/>
          <w:sz w:val="24"/>
          <w:szCs w:val="24"/>
          <w:lang w:eastAsia="zh-CN"/>
        </w:rPr>
      </w:pPr>
      <w:r>
        <w:rPr>
          <w:rFonts w:ascii="宋体" w:hAnsi="宋体" w:cs="宋体"/>
          <w:spacing w:val="-1"/>
          <w:sz w:val="24"/>
          <w:szCs w:val="24"/>
        </w:rPr>
        <w:t>通过实施</w:t>
      </w:r>
      <w:r>
        <w:rPr>
          <w:rFonts w:hint="eastAsia" w:ascii="宋体" w:hAnsi="宋体" w:cs="宋体"/>
          <w:spacing w:val="-1"/>
          <w:sz w:val="24"/>
          <w:szCs w:val="24"/>
          <w:lang w:eastAsia="zh-CN"/>
        </w:rPr>
        <w:t>内部审核</w:t>
      </w:r>
      <w:r>
        <w:rPr>
          <w:rFonts w:ascii="宋体" w:hAnsi="宋体" w:cs="宋体"/>
          <w:spacing w:val="-1"/>
          <w:sz w:val="24"/>
          <w:szCs w:val="24"/>
        </w:rPr>
        <w:t>、管理评审</w:t>
      </w:r>
      <w:r>
        <w:rPr>
          <w:rFonts w:hint="eastAsia" w:ascii="宋体" w:hAnsi="宋体" w:cs="宋体"/>
          <w:spacing w:val="-1"/>
          <w:sz w:val="24"/>
          <w:szCs w:val="24"/>
          <w:lang w:eastAsia="zh-CN"/>
        </w:rPr>
        <w:t>、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KPI指标完成情况跟踪</w:t>
      </w:r>
      <w:r>
        <w:rPr>
          <w:rFonts w:ascii="宋体" w:hAnsi="宋体" w:cs="宋体"/>
          <w:spacing w:val="-1"/>
          <w:sz w:val="24"/>
          <w:szCs w:val="24"/>
        </w:rPr>
        <w:t>和客户满意度调查进行系统考核，综合分析发现的问题</w:t>
      </w:r>
      <w:r>
        <w:rPr>
          <w:rFonts w:hint="eastAsia" w:ascii="宋体" w:hAnsi="宋体" w:cs="宋体"/>
          <w:spacing w:val="-1"/>
          <w:sz w:val="24"/>
          <w:szCs w:val="24"/>
          <w:lang w:eastAsia="zh-CN"/>
        </w:rPr>
        <w:t>并</w:t>
      </w:r>
      <w:r>
        <w:rPr>
          <w:rFonts w:ascii="宋体" w:hAnsi="宋体" w:cs="宋体"/>
          <w:spacing w:val="-1"/>
          <w:sz w:val="24"/>
          <w:szCs w:val="24"/>
        </w:rPr>
        <w:t>反馈，以此驱动运维服务流程的持续优化与服务质量的有效改进</w:t>
      </w:r>
      <w:r>
        <w:rPr>
          <w:rFonts w:hint="eastAsia" w:ascii="宋体" w:hAnsi="宋体" w:cs="宋体"/>
          <w:spacing w:val="-1"/>
          <w:sz w:val="24"/>
          <w:szCs w:val="24"/>
          <w:lang w:eastAsia="zh-CN"/>
        </w:rPr>
        <w:t>，提高客户满意度</w:t>
      </w:r>
      <w:r>
        <w:rPr>
          <w:rFonts w:ascii="宋体" w:hAnsi="宋体" w:cs="宋体"/>
          <w:spacing w:val="-1"/>
          <w:sz w:val="24"/>
          <w:szCs w:val="24"/>
        </w:rPr>
        <w:t>。</w:t>
      </w:r>
    </w:p>
    <w:sectPr>
      <w:footerReference r:id="rId5" w:type="default"/>
      <w:pgSz w:w="11906" w:h="16839"/>
      <w:pgMar w:top="1431" w:right="634" w:bottom="1375" w:left="1417" w:header="0" w:footer="1211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003445">
    <w:pPr>
      <w:spacing w:line="167" w:lineRule="auto"/>
      <w:ind w:left="5282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FDFBCE76"/>
    <w:multiLevelType w:val="singleLevel"/>
    <w:tmpl w:val="FDFBCE76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NotTrackMove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2"/>
  </w:compat>
  <w:rsids>
    <w:rsidRoot w:val="00DA7343"/>
    <w:rsid w:val="00AD6D32"/>
    <w:rsid w:val="00DA7343"/>
    <w:rsid w:val="00DD5790"/>
    <w:rsid w:val="08A059D4"/>
    <w:rsid w:val="0D680CE0"/>
    <w:rsid w:val="13C81DFB"/>
    <w:rsid w:val="1B603868"/>
    <w:rsid w:val="274C536F"/>
    <w:rsid w:val="2B2F6A18"/>
    <w:rsid w:val="463D6035"/>
    <w:rsid w:val="46ED1809"/>
    <w:rsid w:val="56434A2F"/>
    <w:rsid w:val="5A6563B3"/>
    <w:rsid w:val="5FE315A4"/>
    <w:rsid w:val="63F04AEC"/>
    <w:rsid w:val="667C3AB0"/>
    <w:rsid w:val="69E03194"/>
    <w:rsid w:val="6BFF2027"/>
    <w:rsid w:val="6EF2535F"/>
    <w:rsid w:val="6F5240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textAlignment w:val="baseline"/>
    </w:pPr>
    <w:rPr>
      <w:rFonts w:ascii="Arial" w:hAnsi="Arial" w:eastAsia="宋体" w:cs="Arial"/>
      <w:snapToGrid w:val="0"/>
      <w:color w:val="00000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line="413" w:lineRule="auto"/>
      <w:outlineLvl w:val="1"/>
    </w:pPr>
    <w:rPr>
      <w:rFonts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line="372" w:lineRule="auto"/>
      <w:outlineLvl w:val="3"/>
    </w:pPr>
    <w:rPr>
      <w:rFonts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line="317" w:lineRule="auto"/>
      <w:outlineLvl w:val="5"/>
    </w:pPr>
    <w:rPr>
      <w:rFonts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line="317" w:lineRule="auto"/>
      <w:outlineLvl w:val="7"/>
    </w:pPr>
    <w:rPr>
      <w:rFonts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line="317" w:lineRule="auto"/>
      <w:outlineLvl w:val="8"/>
    </w:pPr>
    <w:rPr>
      <w:rFonts w:eastAsia="黑体"/>
    </w:rPr>
  </w:style>
  <w:style w:type="character" w:default="1" w:styleId="23">
    <w:name w:val="Default Paragraph Font"/>
    <w:semiHidden/>
    <w:unhideWhenUsed/>
    <w:qFormat/>
    <w:uiPriority w:val="1"/>
  </w:style>
  <w:style w:type="table" w:default="1" w:styleId="2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</w:style>
  <w:style w:type="paragraph" w:styleId="12">
    <w:name w:val="Body Text"/>
    <w:basedOn w:val="1"/>
    <w:semiHidden/>
    <w:qFormat/>
    <w:uiPriority w:val="0"/>
    <w:rPr>
      <w:rFonts w:eastAsia="Arial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Balloon Text"/>
    <w:basedOn w:val="1"/>
    <w:link w:val="43"/>
    <w:qFormat/>
    <w:uiPriority w:val="0"/>
    <w:pPr>
      <w:spacing w:line="240" w:lineRule="auto"/>
    </w:pPr>
    <w:rPr>
      <w:sz w:val="18"/>
      <w:szCs w:val="18"/>
    </w:rPr>
  </w:style>
  <w:style w:type="paragraph" w:styleId="15">
    <w:name w:val="footer"/>
    <w:basedOn w:val="1"/>
    <w:qFormat/>
    <w:uiPriority w:val="0"/>
    <w:pPr>
      <w:tabs>
        <w:tab w:val="center" w:pos="4153"/>
        <w:tab w:val="right" w:pos="8306"/>
      </w:tabs>
    </w:pPr>
    <w:rPr>
      <w:sz w:val="18"/>
    </w:rPr>
  </w:style>
  <w:style w:type="paragraph" w:styleId="16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pacing w:line="240" w:lineRule="auto"/>
      <w:jc w:val="both"/>
    </w:pPr>
    <w:rPr>
      <w:sz w:val="18"/>
    </w:rPr>
  </w:style>
  <w:style w:type="paragraph" w:styleId="17">
    <w:name w:val="toc 1"/>
    <w:basedOn w:val="1"/>
    <w:next w:val="1"/>
    <w:qFormat/>
    <w:uiPriority w:val="0"/>
    <w:rPr>
      <w:rFonts w:eastAsia="Microsoft JhengHei"/>
      <w:sz w:val="24"/>
    </w:r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Normal (Web)"/>
    <w:basedOn w:val="1"/>
    <w:qFormat/>
    <w:uiPriority w:val="0"/>
    <w:rPr>
      <w:sz w:val="24"/>
    </w:rPr>
  </w:style>
  <w:style w:type="paragraph" w:styleId="20">
    <w:name w:val="Title"/>
    <w:basedOn w:val="1"/>
    <w:qFormat/>
    <w:uiPriority w:val="0"/>
    <w:pPr>
      <w:jc w:val="center"/>
      <w:outlineLvl w:val="0"/>
    </w:pPr>
    <w:rPr>
      <w:b/>
      <w:sz w:val="32"/>
    </w:rPr>
  </w:style>
  <w:style w:type="table" w:styleId="22">
    <w:name w:val="Table Grid"/>
    <w:basedOn w:val="2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4">
    <w:name w:val="Strong"/>
    <w:basedOn w:val="23"/>
    <w:qFormat/>
    <w:uiPriority w:val="0"/>
    <w:rPr>
      <w:b/>
    </w:rPr>
  </w:style>
  <w:style w:type="table" w:customStyle="1" w:styleId="25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6">
    <w:name w:val="Table Text"/>
    <w:basedOn w:val="1"/>
    <w:semiHidden/>
    <w:qFormat/>
    <w:uiPriority w:val="0"/>
    <w:rPr>
      <w:rFonts w:ascii="宋体" w:hAnsi="宋体" w:cs="宋体"/>
    </w:rPr>
  </w:style>
  <w:style w:type="paragraph" w:customStyle="1" w:styleId="27">
    <w:name w:val="柴_标题1"/>
    <w:basedOn w:val="2"/>
    <w:next w:val="28"/>
    <w:link w:val="39"/>
    <w:qFormat/>
    <w:uiPriority w:val="0"/>
    <w:pPr>
      <w:spacing w:before="100" w:after="90" w:line="360" w:lineRule="auto"/>
    </w:pPr>
    <w:rPr>
      <w:sz w:val="32"/>
    </w:rPr>
  </w:style>
  <w:style w:type="paragraph" w:customStyle="1" w:styleId="28">
    <w:name w:val="柴_正文"/>
    <w:basedOn w:val="12"/>
    <w:link w:val="42"/>
    <w:qFormat/>
    <w:uiPriority w:val="0"/>
    <w:pPr>
      <w:ind w:firstLine="470" w:firstLineChars="200"/>
    </w:pPr>
    <w:rPr>
      <w:rFonts w:eastAsia="宋体"/>
      <w:sz w:val="24"/>
      <w:lang w:eastAsia="zh-CN"/>
    </w:rPr>
  </w:style>
  <w:style w:type="paragraph" w:customStyle="1" w:styleId="29">
    <w:name w:val="柴_标题2"/>
    <w:basedOn w:val="3"/>
    <w:next w:val="28"/>
    <w:qFormat/>
    <w:uiPriority w:val="0"/>
    <w:pPr>
      <w:spacing w:line="360" w:lineRule="auto"/>
    </w:pPr>
    <w:rPr>
      <w:rFonts w:eastAsia="宋体"/>
      <w:sz w:val="28"/>
    </w:rPr>
  </w:style>
  <w:style w:type="paragraph" w:customStyle="1" w:styleId="30">
    <w:name w:val="柴_标题3"/>
    <w:basedOn w:val="4"/>
    <w:next w:val="28"/>
    <w:qFormat/>
    <w:uiPriority w:val="0"/>
    <w:pPr>
      <w:spacing w:line="360" w:lineRule="auto"/>
      <w:ind w:left="0" w:firstLine="472" w:firstLineChars="200"/>
    </w:pPr>
    <w:rPr>
      <w:rFonts w:ascii="宋体" w:hAnsi="宋体" w:cs="宋体"/>
      <w:spacing w:val="-2"/>
      <w:sz w:val="24"/>
      <w:szCs w:val="24"/>
    </w:rPr>
  </w:style>
  <w:style w:type="paragraph" w:customStyle="1" w:styleId="31">
    <w:name w:val="柴_目录"/>
    <w:basedOn w:val="1"/>
    <w:next w:val="12"/>
    <w:qFormat/>
    <w:uiPriority w:val="0"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32">
    <w:name w:val="柴_公司名"/>
    <w:basedOn w:val="20"/>
    <w:qFormat/>
    <w:uiPriority w:val="0"/>
    <w:pPr>
      <w:spacing w:afterLines="600"/>
    </w:pPr>
    <w:rPr>
      <w:rFonts w:hint="eastAsia" w:ascii="宋体" w:hAnsi="宋体" w:cs="宋体"/>
      <w:bCs/>
      <w:spacing w:val="-6"/>
      <w:sz w:val="52"/>
      <w:szCs w:val="52"/>
    </w:rPr>
  </w:style>
  <w:style w:type="paragraph" w:customStyle="1" w:styleId="33">
    <w:name w:val="柴_文档名"/>
    <w:basedOn w:val="20"/>
    <w:qFormat/>
    <w:uiPriority w:val="0"/>
    <w:pPr>
      <w:spacing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4">
    <w:name w:val="WPSOffice手动目录 1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35">
    <w:name w:val="WPSOffice手动目录 2"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6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7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rPr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8"/>
    <w:qFormat/>
    <w:uiPriority w:val="0"/>
    <w:rPr>
      <w:rFonts w:ascii="Arial" w:hAnsi="Arial" w:eastAsia="宋体"/>
      <w:sz w:val="24"/>
      <w:lang w:eastAsia="zh-CN"/>
    </w:rPr>
  </w:style>
  <w:style w:type="character" w:customStyle="1" w:styleId="43">
    <w:name w:val="批注框文本 Char"/>
    <w:basedOn w:val="23"/>
    <w:link w:val="14"/>
    <w:qFormat/>
    <w:uiPriority w:val="0"/>
    <w:rPr>
      <w:rFonts w:ascii="Arial" w:hAnsi="Arial" w:cs="Arial"/>
      <w:snapToGrid w:val="0"/>
      <w:color w:val="000000"/>
      <w:sz w:val="18"/>
      <w:szCs w:val="18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7</Pages>
  <Words>2478</Words>
  <Characters>2686</Characters>
  <Lines>18</Lines>
  <Paragraphs>5</Paragraphs>
  <TotalTime>0</TotalTime>
  <ScaleCrop>false</ScaleCrop>
  <LinksUpToDate>false</LinksUpToDate>
  <CharactersWithSpaces>2832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2025-08-16T01:17:00Z</dcterms:created>
  <dc:creator>谢永刚</dc:creator>
  <cp:lastModifiedBy>郝宇</cp:lastModifiedBy>
  <dcterms:modified xsi:type="dcterms:W3CDTF">2026-04-27T06:38:22Z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2025-08-21T01:08:30Z</vt:filetime>
  </property>
  <property fmtid="{D5CDD505-2E9C-101B-9397-08002B2CF9AE}" pid="3" name="CRO">
    <vt:lpwstr>wqlLaW5nc29mdCBQREYgdG8gV1BTIDExNQ</vt:lpwstr>
  </property>
  <property fmtid="{D5CDD505-2E9C-101B-9397-08002B2CF9AE}" pid="4" name="ICV">
    <vt:lpwstr>44EA6E5388B84B6188DC21AEC5BCE972_12</vt:lpwstr>
  </property>
  <property fmtid="{D5CDD505-2E9C-101B-9397-08002B2CF9AE}" pid="5" name="KSOProductBuildVer">
    <vt:lpwstr>2052-12.1.0.25865</vt:lpwstr>
  </property>
  <property fmtid="{D5CDD505-2E9C-101B-9397-08002B2CF9AE}" pid="6" name="KSOTemplateDocerSaveRecord">
    <vt:lpwstr>eyJoZGlkIjoiZWI4NmUzMGY2ODA3MDc4ZTFlMjZjZTAyMjM0NmVmODgiLCJ1c2VySWQiOiIxMDc1MzgyOSJ9</vt:lpwstr>
  </property>
</Properties>
</file>