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7A0548">
      <w:pPr>
        <w:pStyle w:val="32"/>
        <w:widowControl w:val="0"/>
        <w:spacing w:after="1440"/>
        <w:rPr>
          <w:rFonts w:hint="default"/>
        </w:rPr>
      </w:pPr>
    </w:p>
    <w:p w14:paraId="6671E89D">
      <w:pPr>
        <w:pStyle w:val="32"/>
        <w:widowControl w:val="0"/>
        <w:spacing w:after="1440"/>
        <w:rPr>
          <w:rFonts w:hint="default"/>
        </w:rPr>
      </w:pPr>
      <w:bookmarkStart w:id="0" w:name="_Toc13783"/>
      <w:r>
        <w:t>202</w:t>
      </w:r>
      <w:r>
        <w:rPr>
          <w:rFonts w:hint="eastAsia"/>
          <w:lang w:val="en-US" w:eastAsia="zh-CN"/>
        </w:rPr>
        <w:t>6</w:t>
      </w:r>
      <w:r>
        <w:t>年</w:t>
      </w:r>
      <w:r>
        <w:rPr>
          <w:rFonts w:hint="eastAsia"/>
          <w:lang w:val="en-US" w:eastAsia="zh-CN"/>
        </w:rPr>
        <w:t>度</w:t>
      </w:r>
      <w:r>
        <w:t>运维服务质量管理计划</w:t>
      </w:r>
      <w:bookmarkEnd w:id="0"/>
    </w:p>
    <w:p w14:paraId="207BF733">
      <w:pPr>
        <w:pStyle w:val="12"/>
        <w:widowControl w:val="0"/>
        <w:spacing w:line="251" w:lineRule="auto"/>
      </w:pPr>
    </w:p>
    <w:p w14:paraId="4F421042">
      <w:pPr>
        <w:pStyle w:val="33"/>
        <w:widowControl w:val="0"/>
        <w:spacing w:after="2160"/>
      </w:pPr>
      <w:bookmarkStart w:id="1" w:name="_Toc31720"/>
      <w:r>
        <w:t>江苏云储智能科技有限公司</w:t>
      </w:r>
      <w:bookmarkEnd w:id="1"/>
    </w:p>
    <w:p w14:paraId="197CEBBE">
      <w:pPr>
        <w:widowControl w:val="0"/>
        <w:spacing w:before="224" w:line="220" w:lineRule="auto"/>
        <w:ind w:left="2925"/>
        <w:rPr>
          <w:rFonts w:ascii="宋体" w:hAnsi="宋体" w:cs="宋体"/>
          <w:sz w:val="36"/>
          <w:szCs w:val="36"/>
        </w:rPr>
      </w:pPr>
      <w:r>
        <w:rPr>
          <w:rFonts w:ascii="宋体" w:hAnsi="宋体" w:cs="宋体"/>
          <w:spacing w:val="-12"/>
          <w:sz w:val="36"/>
          <w:szCs w:val="36"/>
        </w:rPr>
        <w:t>202</w:t>
      </w:r>
      <w:r>
        <w:rPr>
          <w:rFonts w:hint="eastAsia" w:ascii="宋体" w:hAnsi="宋体" w:cs="宋体"/>
          <w:spacing w:val="-12"/>
          <w:sz w:val="36"/>
          <w:szCs w:val="36"/>
          <w:lang w:val="en-US" w:eastAsia="zh-CN"/>
        </w:rPr>
        <w:t>6</w:t>
      </w:r>
      <w:r>
        <w:rPr>
          <w:rFonts w:ascii="宋体" w:hAnsi="宋体" w:cs="宋体"/>
          <w:spacing w:val="-12"/>
          <w:sz w:val="36"/>
          <w:szCs w:val="36"/>
        </w:rPr>
        <w:t>年1月</w:t>
      </w:r>
      <w:r>
        <w:rPr>
          <w:rFonts w:hint="eastAsia" w:ascii="宋体" w:hAnsi="宋体" w:cs="宋体"/>
          <w:spacing w:val="-12"/>
          <w:sz w:val="36"/>
          <w:szCs w:val="36"/>
          <w:lang w:eastAsia="zh-CN"/>
        </w:rPr>
        <w:t>5</w:t>
      </w:r>
      <w:r>
        <w:rPr>
          <w:rFonts w:ascii="宋体" w:hAnsi="宋体" w:cs="宋体"/>
          <w:spacing w:val="-12"/>
          <w:sz w:val="36"/>
          <w:szCs w:val="36"/>
        </w:rPr>
        <w:t>日</w:t>
      </w:r>
    </w:p>
    <w:p w14:paraId="2B6F65EE">
      <w:pPr>
        <w:widowControl w:val="0"/>
        <w:spacing w:line="220" w:lineRule="auto"/>
        <w:rPr>
          <w:rFonts w:ascii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0BA12CDD">
      <w:pPr>
        <w:pStyle w:val="12"/>
        <w:widowControl w:val="0"/>
        <w:spacing w:line="363" w:lineRule="auto"/>
      </w:pPr>
    </w:p>
    <w:p w14:paraId="6BAC35F8">
      <w:pPr>
        <w:widowControl w:val="0"/>
        <w:spacing w:before="91" w:line="220" w:lineRule="auto"/>
        <w:ind w:left="3620"/>
        <w:outlineLvl w:val="0"/>
        <w:rPr>
          <w:rFonts w:ascii="宋体" w:hAnsi="宋体" w:cs="宋体"/>
          <w:sz w:val="28"/>
          <w:szCs w:val="28"/>
        </w:rPr>
      </w:pPr>
      <w:bookmarkStart w:id="2" w:name="_Toc16719"/>
      <w:r>
        <w:rPr>
          <w:rFonts w:ascii="宋体" w:hAnsi="宋体" w:cs="宋体"/>
          <w:spacing w:val="-3"/>
          <w:sz w:val="28"/>
          <w:szCs w:val="28"/>
        </w:rPr>
        <w:t>文档信息</w:t>
      </w:r>
      <w:bookmarkEnd w:id="2"/>
    </w:p>
    <w:p w14:paraId="11F612F4">
      <w:pPr>
        <w:widowControl w:val="0"/>
        <w:spacing w:line="131" w:lineRule="exact"/>
      </w:pPr>
    </w:p>
    <w:tbl>
      <w:tblPr>
        <w:tblStyle w:val="25"/>
        <w:tblW w:w="9071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44"/>
        <w:gridCol w:w="2271"/>
        <w:gridCol w:w="1557"/>
        <w:gridCol w:w="1953"/>
      </w:tblGrid>
      <w:tr w14:paraId="00D1B7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05BAFF5F">
            <w:pPr>
              <w:pStyle w:val="26"/>
              <w:widowControl w:val="0"/>
              <w:spacing w:before="185" w:line="220" w:lineRule="auto"/>
              <w:ind w:left="207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7C7F4AEF">
            <w:pPr>
              <w:pStyle w:val="26"/>
              <w:widowControl w:val="0"/>
              <w:spacing w:before="185" w:line="218" w:lineRule="auto"/>
              <w:ind w:left="112"/>
            </w:pPr>
            <w:r>
              <w:t>202</w:t>
            </w:r>
            <w:r>
              <w:rPr>
                <w:rFonts w:hint="eastAsia"/>
                <w:lang w:val="en-US" w:eastAsia="zh-CN"/>
              </w:rPr>
              <w:t>6</w:t>
            </w:r>
            <w:r>
              <w:t>年运维服务质量管理计划（JSYC-IT</w:t>
            </w:r>
            <w:r>
              <w:rPr>
                <w:spacing w:val="-1"/>
              </w:rPr>
              <w:t>SS-YWFWZLGLJH）</w:t>
            </w:r>
          </w:p>
        </w:tc>
      </w:tr>
      <w:tr w14:paraId="78FEC1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68529F45">
            <w:pPr>
              <w:pStyle w:val="26"/>
              <w:widowControl w:val="0"/>
              <w:spacing w:before="182" w:line="220" w:lineRule="auto"/>
              <w:ind w:left="447"/>
            </w:pPr>
            <w:r>
              <w:rPr>
                <w:spacing w:val="-3"/>
              </w:rPr>
              <w:t>编制单位</w:t>
            </w:r>
          </w:p>
        </w:tc>
        <w:tc>
          <w:tcPr>
            <w:tcW w:w="7225" w:type="dxa"/>
            <w:gridSpan w:val="4"/>
          </w:tcPr>
          <w:p w14:paraId="708194BE">
            <w:pPr>
              <w:pStyle w:val="26"/>
              <w:widowControl w:val="0"/>
              <w:spacing w:before="182" w:line="219" w:lineRule="auto"/>
              <w:ind w:left="109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0F6B2B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34CAEA98">
            <w:pPr>
              <w:pStyle w:val="26"/>
              <w:widowControl w:val="0"/>
              <w:spacing w:before="184" w:line="219" w:lineRule="auto"/>
              <w:ind w:left="447"/>
            </w:pPr>
            <w:r>
              <w:rPr>
                <w:spacing w:val="-3"/>
              </w:rPr>
              <w:t>文档版本</w:t>
            </w:r>
          </w:p>
        </w:tc>
        <w:tc>
          <w:tcPr>
            <w:tcW w:w="1444" w:type="dxa"/>
          </w:tcPr>
          <w:p w14:paraId="7B406000">
            <w:pPr>
              <w:pStyle w:val="26"/>
              <w:widowControl w:val="0"/>
              <w:spacing w:before="184" w:line="219" w:lineRule="auto"/>
              <w:ind w:left="245"/>
            </w:pPr>
            <w:r>
              <w:rPr>
                <w:spacing w:val="-2"/>
              </w:rPr>
              <w:t>版本日期</w:t>
            </w:r>
          </w:p>
        </w:tc>
        <w:tc>
          <w:tcPr>
            <w:tcW w:w="2271" w:type="dxa"/>
          </w:tcPr>
          <w:p w14:paraId="7BFB6B4E">
            <w:pPr>
              <w:pStyle w:val="26"/>
              <w:widowControl w:val="0"/>
              <w:spacing w:before="184" w:line="219" w:lineRule="auto"/>
              <w:ind w:left="661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7FD1D234">
            <w:pPr>
              <w:pStyle w:val="26"/>
              <w:widowControl w:val="0"/>
              <w:spacing w:before="185" w:line="220" w:lineRule="auto"/>
              <w:ind w:left="546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21B00F35">
            <w:pPr>
              <w:pStyle w:val="26"/>
              <w:widowControl w:val="0"/>
              <w:spacing w:before="185" w:line="220" w:lineRule="auto"/>
              <w:ind w:left="755"/>
            </w:pPr>
            <w:r>
              <w:rPr>
                <w:spacing w:val="-6"/>
              </w:rPr>
              <w:t>审核</w:t>
            </w:r>
          </w:p>
        </w:tc>
      </w:tr>
      <w:tr w14:paraId="7406EE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94D7332">
            <w:pPr>
              <w:pStyle w:val="26"/>
              <w:widowControl w:val="0"/>
              <w:spacing w:before="154" w:line="238" w:lineRule="auto"/>
              <w:ind w:left="680"/>
            </w:pPr>
            <w:r>
              <w:rPr>
                <w:spacing w:val="-1"/>
              </w:rPr>
              <w:t>V1.0</w:t>
            </w:r>
          </w:p>
        </w:tc>
        <w:tc>
          <w:tcPr>
            <w:tcW w:w="1444" w:type="dxa"/>
          </w:tcPr>
          <w:p w14:paraId="39B22A73">
            <w:pPr>
              <w:pStyle w:val="26"/>
              <w:widowControl w:val="0"/>
              <w:spacing w:before="154" w:line="238" w:lineRule="auto"/>
              <w:ind w:left="247"/>
              <w:rPr>
                <w:lang w:eastAsia="zh-CN"/>
              </w:rPr>
            </w:pPr>
            <w:r>
              <w:rPr>
                <w:spacing w:val="-2"/>
              </w:rPr>
              <w:t>202</w:t>
            </w: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-1-</w:t>
            </w:r>
            <w:r>
              <w:rPr>
                <w:rFonts w:hint="eastAsia"/>
                <w:spacing w:val="-2"/>
                <w:lang w:eastAsia="zh-CN"/>
              </w:rPr>
              <w:t>5</w:t>
            </w:r>
          </w:p>
        </w:tc>
        <w:tc>
          <w:tcPr>
            <w:tcW w:w="2271" w:type="dxa"/>
          </w:tcPr>
          <w:p w14:paraId="10208951">
            <w:pPr>
              <w:pStyle w:val="26"/>
              <w:widowControl w:val="0"/>
              <w:spacing w:before="119" w:line="219" w:lineRule="auto"/>
              <w:ind w:left="664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24984773">
            <w:pPr>
              <w:pStyle w:val="26"/>
              <w:widowControl w:val="0"/>
              <w:spacing w:before="119" w:line="220" w:lineRule="auto"/>
              <w:ind w:left="427"/>
              <w:rPr>
                <w:lang w:eastAsia="zh-CN"/>
              </w:rPr>
            </w:pPr>
            <w:r>
              <w:rPr>
                <w:rFonts w:hint="eastAsia"/>
                <w:spacing w:val="-3"/>
                <w:lang w:eastAsia="zh-CN"/>
              </w:rPr>
              <w:t>郑云</w:t>
            </w:r>
          </w:p>
        </w:tc>
        <w:tc>
          <w:tcPr>
            <w:tcW w:w="1953" w:type="dxa"/>
          </w:tcPr>
          <w:p w14:paraId="5E7C1430">
            <w:pPr>
              <w:pStyle w:val="26"/>
              <w:widowControl w:val="0"/>
              <w:spacing w:before="120" w:line="221" w:lineRule="auto"/>
              <w:ind w:left="625"/>
              <w:rPr>
                <w:lang w:eastAsia="zh-CN"/>
              </w:rPr>
            </w:pPr>
            <w:r>
              <w:rPr>
                <w:rFonts w:hint="eastAsia"/>
                <w:spacing w:val="-3"/>
                <w:lang w:eastAsia="zh-CN"/>
              </w:rPr>
              <w:t>史晓玲</w:t>
            </w:r>
          </w:p>
        </w:tc>
      </w:tr>
      <w:tr w14:paraId="6DCF0F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6702B16">
            <w:pPr>
              <w:widowControl w:val="0"/>
            </w:pPr>
          </w:p>
        </w:tc>
        <w:tc>
          <w:tcPr>
            <w:tcW w:w="1444" w:type="dxa"/>
          </w:tcPr>
          <w:p w14:paraId="1D34E379">
            <w:pPr>
              <w:widowControl w:val="0"/>
            </w:pPr>
          </w:p>
        </w:tc>
        <w:tc>
          <w:tcPr>
            <w:tcW w:w="2271" w:type="dxa"/>
          </w:tcPr>
          <w:p w14:paraId="6CEBBCC0">
            <w:pPr>
              <w:widowControl w:val="0"/>
            </w:pPr>
          </w:p>
        </w:tc>
        <w:tc>
          <w:tcPr>
            <w:tcW w:w="1557" w:type="dxa"/>
          </w:tcPr>
          <w:p w14:paraId="4AEE2052">
            <w:pPr>
              <w:widowControl w:val="0"/>
            </w:pPr>
          </w:p>
        </w:tc>
        <w:tc>
          <w:tcPr>
            <w:tcW w:w="1953" w:type="dxa"/>
          </w:tcPr>
          <w:p w14:paraId="2AB8937D">
            <w:pPr>
              <w:widowControl w:val="0"/>
            </w:pPr>
          </w:p>
        </w:tc>
      </w:tr>
      <w:tr w14:paraId="1CC17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1846" w:type="dxa"/>
          </w:tcPr>
          <w:p w14:paraId="7A0A1BAB">
            <w:pPr>
              <w:widowControl w:val="0"/>
            </w:pPr>
          </w:p>
        </w:tc>
        <w:tc>
          <w:tcPr>
            <w:tcW w:w="1444" w:type="dxa"/>
          </w:tcPr>
          <w:p w14:paraId="4D426CEB">
            <w:pPr>
              <w:widowControl w:val="0"/>
            </w:pPr>
          </w:p>
        </w:tc>
        <w:tc>
          <w:tcPr>
            <w:tcW w:w="2271" w:type="dxa"/>
          </w:tcPr>
          <w:p w14:paraId="7D32DF94">
            <w:pPr>
              <w:widowControl w:val="0"/>
            </w:pPr>
          </w:p>
        </w:tc>
        <w:tc>
          <w:tcPr>
            <w:tcW w:w="1557" w:type="dxa"/>
          </w:tcPr>
          <w:p w14:paraId="4DE33C95">
            <w:pPr>
              <w:widowControl w:val="0"/>
            </w:pPr>
          </w:p>
        </w:tc>
        <w:tc>
          <w:tcPr>
            <w:tcW w:w="1953" w:type="dxa"/>
          </w:tcPr>
          <w:p w14:paraId="4F70B717">
            <w:pPr>
              <w:widowControl w:val="0"/>
            </w:pPr>
          </w:p>
        </w:tc>
      </w:tr>
    </w:tbl>
    <w:p w14:paraId="3A9B4571">
      <w:pPr>
        <w:pStyle w:val="12"/>
        <w:widowControl w:val="0"/>
      </w:pPr>
    </w:p>
    <w:p w14:paraId="0DFCB0BE">
      <w:pPr>
        <w:widowControl w:val="0"/>
        <w:sectPr>
          <w:pgSz w:w="11906" w:h="16839"/>
          <w:pgMar w:top="1431" w:right="1015" w:bottom="0" w:left="1785" w:header="0" w:footer="0" w:gutter="0"/>
          <w:cols w:space="720" w:num="1"/>
        </w:sectPr>
      </w:pPr>
    </w:p>
    <w:sdt>
      <w:sdtPr>
        <w:rPr>
          <w:rFonts w:ascii="宋体" w:hAnsi="宋体"/>
        </w:rPr>
        <w:id w:val="147454150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zCs w:val="24"/>
        </w:rPr>
      </w:sdtEndPr>
      <w:sdtContent>
        <w:p w14:paraId="165335DD">
          <w:pPr>
            <w:widowControl w:val="0"/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14:paraId="5653D012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_Toc13783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202</w:t>
          </w:r>
          <w:r>
            <w:rPr>
              <w:rFonts w:hint="eastAsia"/>
              <w:lang w:val="en-US" w:eastAsia="zh-CN"/>
            </w:rPr>
            <w:t>6</w:t>
          </w:r>
          <w:r>
            <w:t>年</w:t>
          </w:r>
          <w:r>
            <w:rPr>
              <w:rFonts w:hint="eastAsia"/>
              <w:lang w:val="en-US" w:eastAsia="zh-CN"/>
            </w:rPr>
            <w:t>度</w:t>
          </w:r>
          <w: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_Toc13783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77DD575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_Toc31720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_Toc31720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5EA9345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_Toc16719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_Toc16719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68D3FA7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_Toc23418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_Toc23418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8EDB349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_Toc31303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_Toc31303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2A31710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_Toc4259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_Toc4259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65CBCC4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_Toc1333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_Toc1333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0F40ADF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_Toc4285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_Toc4285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7726D3E">
          <w:pPr>
            <w:pStyle w:val="17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_Toc16861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服务质量管理活动</w:t>
          </w:r>
          <w:r>
            <w:tab/>
          </w:r>
          <w:r>
            <w:fldChar w:fldCharType="begin"/>
          </w:r>
          <w:r>
            <w:instrText xml:space="preserve"> PAGEREF _Toc16861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7977F60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_Toc17668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运维服务能力</w:t>
          </w:r>
          <w:r>
            <w:rPr>
              <w:rFonts w:hint="eastAsia"/>
              <w:lang w:eastAsia="zh-CN"/>
            </w:rPr>
            <w:t>内部评审</w:t>
          </w:r>
          <w:r>
            <w:tab/>
          </w:r>
          <w:r>
            <w:fldChar w:fldCharType="begin"/>
          </w:r>
          <w:r>
            <w:instrText xml:space="preserve"> PAGEREF _Toc17668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6A19AC9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_Toc748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运维服务能力管理评审</w:t>
          </w:r>
          <w:r>
            <w:tab/>
          </w:r>
          <w:r>
            <w:fldChar w:fldCharType="begin"/>
          </w:r>
          <w:r>
            <w:instrText xml:space="preserve"> PAGEREF _Toc748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E2FD1D0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_Toc4681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客户满意度调查</w:t>
          </w:r>
          <w:r>
            <w:rPr>
              <w:rFonts w:hint="eastAsia"/>
              <w:lang w:eastAsia="zh-CN"/>
            </w:rPr>
            <w:t>与分析</w:t>
          </w:r>
          <w:r>
            <w:tab/>
          </w:r>
          <w:r>
            <w:fldChar w:fldCharType="begin"/>
          </w:r>
          <w:r>
            <w:instrText xml:space="preserve"> PAGEREF _Toc4681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3F99493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_Toc27488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rPr>
              <w:rFonts w:hint="eastAsia"/>
            </w:rPr>
            <w:t>KPI指标跟踪与预警</w:t>
          </w:r>
          <w:r>
            <w:tab/>
          </w:r>
          <w:r>
            <w:fldChar w:fldCharType="begin"/>
          </w:r>
          <w:r>
            <w:instrText xml:space="preserve"> PAGEREF _Toc27488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7BA19AD">
          <w:pPr>
            <w:pStyle w:val="13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_Toc25409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6.4.1. </w:t>
          </w:r>
          <w:r>
            <w:rPr>
              <w:rFonts w:hint="eastAsia"/>
            </w:rPr>
            <w:t>跟踪频次与责任分工</w:t>
          </w:r>
          <w:r>
            <w:tab/>
          </w:r>
          <w:r>
            <w:fldChar w:fldCharType="begin"/>
          </w:r>
          <w:r>
            <w:instrText xml:space="preserve"> PAGEREF _Toc25409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9E3D588">
          <w:pPr>
            <w:pStyle w:val="13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_Toc26656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6.4.2. </w:t>
          </w:r>
          <w:r>
            <w:rPr>
              <w:rFonts w:hint="eastAsia"/>
            </w:rPr>
            <w:t>数据收集与核实</w:t>
          </w:r>
          <w:r>
            <w:tab/>
          </w:r>
          <w:r>
            <w:fldChar w:fldCharType="begin"/>
          </w:r>
          <w:r>
            <w:instrText xml:space="preserve"> PAGEREF _Toc26656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37141E4">
          <w:pPr>
            <w:pStyle w:val="13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_Toc29228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6.4.3. </w:t>
          </w:r>
          <w:r>
            <w:rPr>
              <w:rFonts w:hint="eastAsia"/>
            </w:rPr>
            <w:t>预警与改进机制</w:t>
          </w:r>
          <w:r>
            <w:tab/>
          </w:r>
          <w:r>
            <w:fldChar w:fldCharType="begin"/>
          </w:r>
          <w:r>
            <w:instrText xml:space="preserve"> PAGEREF _Toc29228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B26F8F9">
          <w:pPr>
            <w:pStyle w:val="13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_Toc12153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6.4.4. </w:t>
          </w:r>
          <w:r>
            <w:rPr>
              <w:rFonts w:hint="eastAsia"/>
            </w:rPr>
            <w:t>与质量报告的衔接</w:t>
          </w:r>
          <w:r>
            <w:tab/>
          </w:r>
          <w:r>
            <w:fldChar w:fldCharType="begin"/>
          </w:r>
          <w:r>
            <w:instrText xml:space="preserve"> PAGEREF _Toc12153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E0399DD">
          <w:pPr>
            <w:pStyle w:val="18"/>
            <w:tabs>
              <w:tab w:val="right" w:leader="dot" w:pos="8492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_Toc13555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6.5. </w:t>
          </w:r>
          <w:r>
            <w:rPr>
              <w:rFonts w:hint="eastAsia"/>
              <w:lang w:eastAsia="zh-CN"/>
            </w:rPr>
            <w:t>运维服务质量总结、改进</w:t>
          </w:r>
          <w:r>
            <w:tab/>
          </w:r>
          <w:r>
            <w:fldChar w:fldCharType="begin"/>
          </w:r>
          <w:r>
            <w:instrText xml:space="preserve"> PAGEREF _Toc13555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25BDD052">
          <w:pPr>
            <w:widowControl w:val="0"/>
            <w:spacing w:line="221" w:lineRule="auto"/>
            <w:rPr>
              <w:rFonts w:ascii="Times New Roman" w:hAnsi="Times New Roman" w:eastAsia="Times New Roman" w:cs="Times New Roman"/>
              <w:szCs w:val="24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4F8FD7C9">
      <w:pPr>
        <w:widowControl w:val="0"/>
        <w:spacing w:line="221" w:lineRule="auto"/>
        <w:rPr>
          <w:rFonts w:ascii="Times New Roman" w:hAnsi="Times New Roman" w:eastAsia="Times New Roman" w:cs="Times New Roman"/>
          <w:szCs w:val="24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6FB90F38">
      <w:pPr>
        <w:pStyle w:val="27"/>
        <w:keepNext w:val="0"/>
        <w:keepLines w:val="0"/>
        <w:widowControl w:val="0"/>
      </w:pPr>
      <w:bookmarkStart w:id="3" w:name="_Toc23418"/>
      <w:r>
        <w:t>目的</w:t>
      </w:r>
      <w:bookmarkEnd w:id="3"/>
    </w:p>
    <w:p w14:paraId="329D485D">
      <w:pPr>
        <w:widowControl w:val="0"/>
        <w:ind w:firstLine="476" w:firstLineChars="20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cs="宋体"/>
          <w:spacing w:val="-4"/>
          <w:sz w:val="24"/>
          <w:szCs w:val="24"/>
        </w:rPr>
        <w:t>内容和要求，提高服务质量特制定</w:t>
      </w: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此计划</w:t>
      </w:r>
      <w:r>
        <w:rPr>
          <w:rFonts w:ascii="宋体" w:hAnsi="宋体" w:cs="宋体"/>
          <w:spacing w:val="-4"/>
          <w:sz w:val="24"/>
          <w:szCs w:val="24"/>
        </w:rPr>
        <w:t>。</w:t>
      </w:r>
    </w:p>
    <w:p w14:paraId="237451F8">
      <w:pPr>
        <w:pStyle w:val="27"/>
        <w:keepNext w:val="0"/>
        <w:keepLines w:val="0"/>
        <w:widowControl w:val="0"/>
      </w:pPr>
      <w:bookmarkStart w:id="4" w:name="_Toc31303"/>
      <w:r>
        <w:t>适用范围</w:t>
      </w:r>
      <w:bookmarkEnd w:id="4"/>
    </w:p>
    <w:p w14:paraId="0D34DC4C">
      <w:pPr>
        <w:widowControl w:val="0"/>
        <w:ind w:firstLine="464" w:firstLineChars="200"/>
        <w:rPr>
          <w:rFonts w:ascii="宋体" w:hAnsi="宋体" w:cs="宋体"/>
          <w:spacing w:val="-4"/>
          <w:sz w:val="24"/>
          <w:szCs w:val="24"/>
        </w:rPr>
      </w:pPr>
      <w:r>
        <w:rPr>
          <w:rFonts w:ascii="宋体" w:hAnsi="宋体" w:cs="宋体"/>
          <w:spacing w:val="-4"/>
          <w:sz w:val="24"/>
          <w:szCs w:val="24"/>
        </w:rPr>
        <w:t>本手册适用于本公司参与运维服务业务的部门和人员</w:t>
      </w:r>
    </w:p>
    <w:p w14:paraId="27A9B571">
      <w:pPr>
        <w:pStyle w:val="27"/>
        <w:keepNext w:val="0"/>
        <w:keepLines w:val="0"/>
        <w:widowControl w:val="0"/>
      </w:pPr>
      <w:bookmarkStart w:id="5" w:name="_Toc4259"/>
      <w:r>
        <w:t>引用文件</w:t>
      </w:r>
      <w:bookmarkEnd w:id="5"/>
    </w:p>
    <w:p w14:paraId="53527CE9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0BFA1B47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342161BB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4704DCEE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1171788E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721754DB">
      <w:pPr>
        <w:pStyle w:val="12"/>
        <w:widowControl w:val="0"/>
        <w:numPr>
          <w:ilvl w:val="0"/>
          <w:numId w:val="2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6547273C">
      <w:pPr>
        <w:pStyle w:val="27"/>
        <w:keepNext w:val="0"/>
        <w:keepLines w:val="0"/>
        <w:widowControl w:val="0"/>
      </w:pPr>
      <w:bookmarkStart w:id="6" w:name="_Toc1333"/>
      <w:r>
        <w:t>术语与定义</w:t>
      </w:r>
      <w:bookmarkEnd w:id="6"/>
    </w:p>
    <w:p w14:paraId="05C49B46">
      <w:pPr>
        <w:widowControl w:val="0"/>
        <w:spacing w:before="115" w:line="220" w:lineRule="auto"/>
        <w:ind w:left="450"/>
        <w:rPr>
          <w:rFonts w:ascii="宋体" w:hAnsi="宋体" w:cs="宋体"/>
          <w:sz w:val="24"/>
          <w:szCs w:val="24"/>
        </w:rPr>
      </w:pPr>
      <w:r>
        <w:rPr>
          <w:rFonts w:ascii="宋体" w:hAnsi="宋体" w:cs="宋体"/>
          <w:sz w:val="24"/>
          <w:szCs w:val="24"/>
        </w:rPr>
        <w:t>无</w:t>
      </w:r>
    </w:p>
    <w:p w14:paraId="0C2B584E">
      <w:pPr>
        <w:pStyle w:val="27"/>
        <w:keepNext w:val="0"/>
        <w:keepLines w:val="0"/>
        <w:widowControl w:val="0"/>
      </w:pPr>
      <w:bookmarkStart w:id="7" w:name="_Toc4285"/>
      <w:r>
        <w:t>角色与职责</w:t>
      </w:r>
      <w:bookmarkEnd w:id="7"/>
    </w:p>
    <w:p w14:paraId="6CD3D2A7">
      <w:pPr>
        <w:widowControl w:val="0"/>
        <w:spacing w:before="157"/>
      </w:pPr>
    </w:p>
    <w:tbl>
      <w:tblPr>
        <w:tblStyle w:val="25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741BA5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</w:tcPr>
          <w:p w14:paraId="65ACF4FA">
            <w:pPr>
              <w:pStyle w:val="26"/>
              <w:widowControl w:val="0"/>
              <w:spacing w:before="125" w:line="219" w:lineRule="auto"/>
              <w:ind w:left="524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</w:tcPr>
          <w:p w14:paraId="4FA21288">
            <w:pPr>
              <w:pStyle w:val="26"/>
              <w:widowControl w:val="0"/>
              <w:spacing w:before="126" w:line="221" w:lineRule="auto"/>
              <w:ind w:left="3188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19D39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</w:tcPr>
          <w:p w14:paraId="572280BA">
            <w:pPr>
              <w:widowControl w:val="0"/>
              <w:spacing w:line="265" w:lineRule="auto"/>
            </w:pPr>
          </w:p>
          <w:p w14:paraId="24C4DB1C">
            <w:pPr>
              <w:widowControl w:val="0"/>
              <w:spacing w:line="266" w:lineRule="auto"/>
            </w:pPr>
          </w:p>
          <w:p w14:paraId="61D8D202">
            <w:pPr>
              <w:pStyle w:val="26"/>
              <w:widowControl w:val="0"/>
              <w:spacing w:before="78" w:line="220" w:lineRule="auto"/>
              <w:ind w:left="118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</w:tcPr>
          <w:p w14:paraId="2E9D8E84">
            <w:pPr>
              <w:pStyle w:val="26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负责审批年度服务能力管理计划。</w:t>
            </w:r>
          </w:p>
          <w:p w14:paraId="199631C1">
            <w:pPr>
              <w:pStyle w:val="26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541F73A3">
            <w:pPr>
              <w:pStyle w:val="26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  <w:lang w:eastAsia="zh-CN"/>
              </w:rPr>
              <w:drawing>
                <wp:inline distT="0" distB="0" distL="0" distR="0">
                  <wp:extent cx="107950" cy="168910"/>
                  <wp:effectExtent l="0" t="0" r="0" b="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06042359">
            <w:pPr>
              <w:pStyle w:val="26"/>
              <w:widowControl w:val="0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05813C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48353C3B">
            <w:pPr>
              <w:widowControl w:val="0"/>
              <w:spacing w:line="247" w:lineRule="auto"/>
            </w:pPr>
          </w:p>
          <w:p w14:paraId="5249C9AE">
            <w:pPr>
              <w:widowControl w:val="0"/>
              <w:spacing w:line="247" w:lineRule="auto"/>
            </w:pPr>
          </w:p>
          <w:p w14:paraId="5FF01103">
            <w:pPr>
              <w:widowControl w:val="0"/>
              <w:spacing w:line="247" w:lineRule="auto"/>
            </w:pPr>
          </w:p>
          <w:p w14:paraId="25974FA1">
            <w:pPr>
              <w:widowControl w:val="0"/>
              <w:spacing w:line="247" w:lineRule="auto"/>
            </w:pPr>
          </w:p>
          <w:p w14:paraId="32FDDEE7">
            <w:pPr>
              <w:widowControl w:val="0"/>
              <w:spacing w:line="247" w:lineRule="auto"/>
            </w:pPr>
          </w:p>
          <w:p w14:paraId="520BAAC6">
            <w:pPr>
              <w:widowControl w:val="0"/>
              <w:spacing w:line="247" w:lineRule="auto"/>
            </w:pPr>
          </w:p>
          <w:p w14:paraId="20011169">
            <w:pPr>
              <w:widowControl w:val="0"/>
              <w:spacing w:line="248" w:lineRule="auto"/>
            </w:pPr>
          </w:p>
          <w:p w14:paraId="1270844A">
            <w:pPr>
              <w:widowControl w:val="0"/>
              <w:spacing w:line="248" w:lineRule="auto"/>
            </w:pPr>
          </w:p>
          <w:p w14:paraId="107BF2A8">
            <w:pPr>
              <w:widowControl w:val="0"/>
              <w:spacing w:line="248" w:lineRule="auto"/>
            </w:pPr>
          </w:p>
          <w:p w14:paraId="2A538EF5">
            <w:pPr>
              <w:widowControl w:val="0"/>
              <w:spacing w:line="248" w:lineRule="auto"/>
            </w:pPr>
          </w:p>
          <w:p w14:paraId="688BC00C">
            <w:pPr>
              <w:pStyle w:val="26"/>
              <w:widowControl w:val="0"/>
              <w:spacing w:before="78" w:line="220" w:lineRule="auto"/>
              <w:ind w:left="113"/>
            </w:pPr>
            <w:r>
              <w:rPr>
                <w:spacing w:val="-2"/>
              </w:rPr>
              <w:t>质量部</w:t>
            </w:r>
          </w:p>
        </w:tc>
        <w:tc>
          <w:tcPr>
            <w:tcW w:w="6849" w:type="dxa"/>
            <w:shd w:val="clear" w:color="auto" w:fill="auto"/>
          </w:tcPr>
          <w:p w14:paraId="2108596A">
            <w:pPr>
              <w:pStyle w:val="26"/>
              <w:widowControl w:val="0"/>
              <w:spacing w:before="113" w:line="302" w:lineRule="auto"/>
              <w:ind w:left="572" w:right="279" w:hanging="417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4AB8382D">
            <w:pPr>
              <w:pStyle w:val="26"/>
              <w:widowControl w:val="0"/>
              <w:spacing w:before="191" w:line="301" w:lineRule="auto"/>
              <w:ind w:left="570" w:right="103" w:hanging="41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1F56F091">
            <w:pPr>
              <w:pStyle w:val="26"/>
              <w:widowControl w:val="0"/>
              <w:spacing w:before="196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6A691371">
            <w:pPr>
              <w:pStyle w:val="26"/>
              <w:widowControl w:val="0"/>
              <w:spacing w:before="202" w:line="302" w:lineRule="auto"/>
              <w:ind w:left="573" w:right="279" w:hanging="418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3103E75B">
            <w:pPr>
              <w:pStyle w:val="26"/>
              <w:widowControl w:val="0"/>
              <w:spacing w:before="19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4AE1B566">
            <w:pPr>
              <w:pStyle w:val="26"/>
              <w:widowControl w:val="0"/>
              <w:spacing w:before="202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71618B19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对每年运维服务报告进行审查。</w:t>
            </w:r>
          </w:p>
          <w:p w14:paraId="6ACB2BEA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2B91B2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1F03721D">
            <w:pPr>
              <w:widowControl w:val="0"/>
              <w:spacing w:line="247" w:lineRule="auto"/>
            </w:pPr>
          </w:p>
          <w:p w14:paraId="7A6D7F12">
            <w:pPr>
              <w:widowControl w:val="0"/>
              <w:spacing w:line="247" w:lineRule="auto"/>
            </w:pPr>
          </w:p>
          <w:p w14:paraId="61F048A4">
            <w:pPr>
              <w:widowControl w:val="0"/>
              <w:spacing w:line="247" w:lineRule="auto"/>
            </w:pPr>
          </w:p>
          <w:p w14:paraId="2B45AB21">
            <w:pPr>
              <w:widowControl w:val="0"/>
              <w:spacing w:line="247" w:lineRule="auto"/>
            </w:pPr>
          </w:p>
          <w:p w14:paraId="2F154D85">
            <w:pPr>
              <w:widowControl w:val="0"/>
              <w:spacing w:line="247" w:lineRule="auto"/>
            </w:pPr>
          </w:p>
          <w:p w14:paraId="71034ED8">
            <w:pPr>
              <w:widowControl w:val="0"/>
              <w:spacing w:line="247" w:lineRule="auto"/>
            </w:pPr>
          </w:p>
          <w:p w14:paraId="3A02A191">
            <w:pPr>
              <w:widowControl w:val="0"/>
              <w:spacing w:line="247" w:lineRule="auto"/>
            </w:pPr>
          </w:p>
          <w:p w14:paraId="5FB775DC">
            <w:pPr>
              <w:widowControl w:val="0"/>
              <w:spacing w:line="247" w:lineRule="auto"/>
            </w:pPr>
          </w:p>
          <w:p w14:paraId="2242834B">
            <w:pPr>
              <w:widowControl w:val="0"/>
              <w:spacing w:line="248" w:lineRule="auto"/>
            </w:pPr>
          </w:p>
          <w:p w14:paraId="7649CC8A">
            <w:pPr>
              <w:widowControl w:val="0"/>
              <w:spacing w:line="248" w:lineRule="auto"/>
            </w:pPr>
          </w:p>
          <w:p w14:paraId="57B7B922">
            <w:pPr>
              <w:widowControl w:val="0"/>
              <w:spacing w:line="248" w:lineRule="auto"/>
            </w:pPr>
          </w:p>
          <w:p w14:paraId="45012007">
            <w:pPr>
              <w:pStyle w:val="26"/>
              <w:widowControl w:val="0"/>
              <w:spacing w:before="78" w:line="220" w:lineRule="auto"/>
              <w:ind w:left="112"/>
            </w:pPr>
            <w:r>
              <w:rPr>
                <w:spacing w:val="-2"/>
              </w:rPr>
              <w:t>运维部</w:t>
            </w:r>
          </w:p>
        </w:tc>
        <w:tc>
          <w:tcPr>
            <w:tcW w:w="6849" w:type="dxa"/>
            <w:shd w:val="clear" w:color="auto" w:fill="auto"/>
          </w:tcPr>
          <w:p w14:paraId="518BE74A">
            <w:pPr>
              <w:pStyle w:val="26"/>
              <w:widowControl w:val="0"/>
              <w:spacing w:before="117" w:line="301" w:lineRule="auto"/>
              <w:ind w:left="571" w:right="159" w:hanging="416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2E1270D9">
            <w:pPr>
              <w:pStyle w:val="26"/>
              <w:widowControl w:val="0"/>
              <w:spacing w:before="194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1E63F353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07040D77">
            <w:pPr>
              <w:pStyle w:val="26"/>
              <w:widowControl w:val="0"/>
              <w:spacing w:before="202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184C4B22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38670C6F">
            <w:pPr>
              <w:pStyle w:val="26"/>
              <w:widowControl w:val="0"/>
              <w:spacing w:before="203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57F19880">
            <w:pPr>
              <w:pStyle w:val="26"/>
              <w:widowControl w:val="0"/>
              <w:spacing w:before="204" w:line="301" w:lineRule="auto"/>
              <w:ind w:left="573" w:right="279" w:hanging="418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0D92D877">
            <w:pPr>
              <w:pStyle w:val="26"/>
              <w:widowControl w:val="0"/>
              <w:spacing w:before="195" w:line="326" w:lineRule="auto"/>
              <w:ind w:left="571" w:right="279" w:hanging="416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3C1FB6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</w:tcPr>
          <w:p w14:paraId="093011E3">
            <w:pPr>
              <w:widowControl w:val="0"/>
              <w:spacing w:line="269" w:lineRule="auto"/>
            </w:pPr>
          </w:p>
          <w:p w14:paraId="3EC1BEEB">
            <w:pPr>
              <w:widowControl w:val="0"/>
              <w:spacing w:line="269" w:lineRule="auto"/>
            </w:pPr>
          </w:p>
          <w:p w14:paraId="2C38E488">
            <w:pPr>
              <w:pStyle w:val="26"/>
              <w:widowControl w:val="0"/>
              <w:spacing w:before="78" w:line="220" w:lineRule="auto"/>
              <w:ind w:left="113"/>
            </w:pPr>
            <w:r>
              <w:rPr>
                <w:spacing w:val="-2"/>
              </w:rPr>
              <w:t>其他部门</w:t>
            </w:r>
          </w:p>
        </w:tc>
        <w:tc>
          <w:tcPr>
            <w:tcW w:w="6849" w:type="dxa"/>
            <w:shd w:val="clear" w:color="auto" w:fill="auto"/>
          </w:tcPr>
          <w:p w14:paraId="5B677E7E">
            <w:pPr>
              <w:pStyle w:val="26"/>
              <w:widowControl w:val="0"/>
              <w:spacing w:before="121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56256330">
            <w:pPr>
              <w:pStyle w:val="26"/>
              <w:widowControl w:val="0"/>
              <w:spacing w:before="202" w:line="220" w:lineRule="auto"/>
              <w:ind w:left="155"/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251F6B2E">
            <w:pPr>
              <w:pStyle w:val="26"/>
              <w:widowControl w:val="0"/>
              <w:spacing w:before="202" w:line="220" w:lineRule="auto"/>
              <w:ind w:left="155"/>
              <w:rPr>
                <w:spacing w:val="-3"/>
              </w:rPr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接受质量部的监督和检查，并定期汇报计划的实施情况；</w:t>
            </w:r>
          </w:p>
          <w:p w14:paraId="3B9E47B1">
            <w:pPr>
              <w:pStyle w:val="26"/>
              <w:widowControl w:val="0"/>
              <w:spacing w:before="202" w:line="220" w:lineRule="auto"/>
              <w:ind w:left="155"/>
              <w:rPr>
                <w:spacing w:val="-3"/>
              </w:rPr>
            </w:pPr>
            <w:r>
              <w:rPr>
                <w:position w:val="-5"/>
                <w:lang w:eastAsia="zh-CN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6418224B">
      <w:pPr>
        <w:widowControl w:val="0"/>
        <w:spacing w:line="91" w:lineRule="auto"/>
        <w:rPr>
          <w:sz w:val="2"/>
        </w:rPr>
      </w:pPr>
    </w:p>
    <w:p w14:paraId="6982E2B0">
      <w:pPr>
        <w:widowControl w:val="0"/>
        <w:spacing w:line="91" w:lineRule="auto"/>
        <w:rPr>
          <w:sz w:val="2"/>
        </w:rPr>
      </w:pPr>
    </w:p>
    <w:p w14:paraId="2833BCAA">
      <w:pPr>
        <w:pStyle w:val="27"/>
        <w:keepNext w:val="0"/>
        <w:keepLines w:val="0"/>
        <w:widowControl w:val="0"/>
      </w:pPr>
      <w:bookmarkStart w:id="8" w:name="bookmark1"/>
      <w:bookmarkEnd w:id="8"/>
      <w:bookmarkStart w:id="9" w:name="_Toc16861"/>
      <w:r>
        <w:t>服务质量管理活动</w:t>
      </w:r>
      <w:bookmarkEnd w:id="9"/>
    </w:p>
    <w:p w14:paraId="75482D33">
      <w:pPr>
        <w:widowControl w:val="0"/>
        <w:ind w:firstLine="464" w:firstLineChars="200"/>
        <w:rPr>
          <w:rFonts w:ascii="宋体" w:hAnsi="宋体" w:cs="宋体"/>
          <w:spacing w:val="-4"/>
          <w:sz w:val="24"/>
          <w:szCs w:val="24"/>
        </w:rPr>
      </w:pPr>
      <w:r>
        <w:rPr>
          <w:rFonts w:ascii="宋体" w:hAnsi="宋体" w:cs="宋体"/>
          <w:spacing w:val="-4"/>
          <w:sz w:val="24"/>
          <w:szCs w:val="24"/>
        </w:rPr>
        <w:t>为达成服务质量目标，检查运维体系的实施情况，</w:t>
      </w:r>
      <w:r>
        <w:rPr>
          <w:rFonts w:hint="eastAsia" w:ascii="宋体" w:hAnsi="宋体" w:cs="宋体"/>
          <w:spacing w:val="-4"/>
          <w:sz w:val="24"/>
          <w:szCs w:val="24"/>
          <w:lang w:eastAsia="zh-CN"/>
        </w:rPr>
        <w:t>2026</w:t>
      </w:r>
      <w:r>
        <w:rPr>
          <w:rFonts w:ascii="宋体" w:hAnsi="宋体" w:cs="宋体"/>
          <w:spacing w:val="-4"/>
          <w:sz w:val="24"/>
          <w:szCs w:val="24"/>
        </w:rPr>
        <w:t>年度计划执行的服务质量管理活动，具体目标如下：</w:t>
      </w:r>
    </w:p>
    <w:p w14:paraId="2BBBB798">
      <w:pPr>
        <w:pStyle w:val="29"/>
        <w:bidi w:val="0"/>
      </w:pPr>
      <w:bookmarkStart w:id="10" w:name="_Toc17668"/>
      <w:r>
        <w:t>运维服务能力</w:t>
      </w:r>
      <w:r>
        <w:rPr>
          <w:rFonts w:hint="eastAsia"/>
          <w:lang w:eastAsia="zh-CN"/>
        </w:rPr>
        <w:t>内部评审</w:t>
      </w:r>
      <w:bookmarkEnd w:id="10"/>
    </w:p>
    <w:p w14:paraId="1E6E0517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计划在202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6</w:t>
      </w:r>
      <w:r>
        <w:rPr>
          <w:rFonts w:hint="eastAsia" w:ascii="宋体" w:hAnsi="宋体" w:cs="宋体"/>
          <w:spacing w:val="-1"/>
          <w:sz w:val="24"/>
          <w:szCs w:val="24"/>
        </w:rPr>
        <w:t>年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12</w:t>
      </w:r>
      <w:r>
        <w:rPr>
          <w:rFonts w:hint="eastAsia" w:ascii="宋体" w:hAnsi="宋体" w:cs="宋体"/>
          <w:spacing w:val="-1"/>
          <w:sz w:val="24"/>
          <w:szCs w:val="24"/>
        </w:rPr>
        <w:t>月进行</w:t>
      </w:r>
      <w:r>
        <w:rPr>
          <w:rFonts w:hint="eastAsia" w:ascii="宋体" w:hAnsi="宋体" w:cs="宋体"/>
          <w:sz w:val="24"/>
          <w:szCs w:val="24"/>
          <w:lang w:eastAsia="zh-CN"/>
        </w:rPr>
        <w:t>运维服务能力体系内部评审</w:t>
      </w:r>
      <w:r>
        <w:rPr>
          <w:rFonts w:hint="eastAsia" w:ascii="宋体" w:hAnsi="宋体" w:cs="宋体"/>
          <w:spacing w:val="-1"/>
          <w:sz w:val="24"/>
          <w:szCs w:val="24"/>
        </w:rPr>
        <w:t>，由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质量部</w:t>
      </w:r>
      <w:r>
        <w:rPr>
          <w:rFonts w:hint="eastAsia" w:ascii="宋体" w:hAnsi="宋体" w:cs="宋体"/>
          <w:spacing w:val="-1"/>
          <w:sz w:val="24"/>
          <w:szCs w:val="24"/>
        </w:rPr>
        <w:t>牵头组织，主要参与部门包括运维部、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综合部</w:t>
      </w:r>
      <w:r>
        <w:rPr>
          <w:rFonts w:hint="eastAsia" w:ascii="宋体" w:hAnsi="宋体" w:cs="宋体"/>
          <w:spacing w:val="-1"/>
          <w:sz w:val="24"/>
          <w:szCs w:val="24"/>
        </w:rPr>
        <w:t>、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研发部、采购部，</w:t>
      </w:r>
      <w:r>
        <w:rPr>
          <w:rFonts w:hint="eastAsia" w:ascii="宋体" w:hAnsi="宋体" w:cs="宋体"/>
          <w:spacing w:val="-1"/>
          <w:sz w:val="24"/>
          <w:szCs w:val="24"/>
        </w:rPr>
        <w:t>对引进ITSS运维服务能力管理体系的运行情况进行评审。通过对具体工作的过程记录的检查、具体人员的访谈，确定运维服务活动是否符合调整后的运维体系要求，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从而</w:t>
      </w:r>
      <w:r>
        <w:rPr>
          <w:rFonts w:hint="eastAsia" w:ascii="宋体" w:hAnsi="宋体" w:cs="宋体"/>
          <w:spacing w:val="-1"/>
          <w:sz w:val="24"/>
          <w:szCs w:val="24"/>
        </w:rPr>
        <w:t>确定新的运维管理体系是否适合公司的实际工作情况。</w:t>
      </w:r>
    </w:p>
    <w:p w14:paraId="59BFF7E7">
      <w:pPr>
        <w:pStyle w:val="29"/>
        <w:keepNext w:val="0"/>
        <w:keepLines w:val="0"/>
        <w:widowControl w:val="0"/>
      </w:pPr>
      <w:bookmarkStart w:id="11" w:name="_Toc748"/>
      <w:r>
        <w:t>运维服务能力管理评审</w:t>
      </w:r>
      <w:bookmarkEnd w:id="11"/>
    </w:p>
    <w:p w14:paraId="63723EA7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管理评审目的是对公司运维服务管理体系进行系统评审，识别并确定各种改进的机会和需要，确保运维服务管理体系持续的适宜性、充分性和有效性。运维服务能力管理评审由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cs="宋体"/>
          <w:spacing w:val="-1"/>
          <w:sz w:val="24"/>
          <w:szCs w:val="24"/>
        </w:rPr>
        <w:t>负责组织实施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。</w:t>
      </w:r>
    </w:p>
    <w:p w14:paraId="14C6F832">
      <w:pPr>
        <w:pStyle w:val="29"/>
        <w:keepNext w:val="0"/>
        <w:keepLines w:val="0"/>
        <w:widowControl w:val="0"/>
      </w:pPr>
      <w:bookmarkStart w:id="12" w:name="_Toc4681"/>
      <w:r>
        <w:t>客户满意度调查</w:t>
      </w:r>
      <w:r>
        <w:rPr>
          <w:rFonts w:hint="eastAsia"/>
          <w:lang w:eastAsia="zh-CN"/>
        </w:rPr>
        <w:t>与分析</w:t>
      </w:r>
      <w:bookmarkEnd w:id="12"/>
    </w:p>
    <w:p w14:paraId="202722A5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客户满意度调查工作由服务台和质量部组织完成，其中，服务台负责项目级客户满意度调查，质量部负责公司级客户满意度调查。客户满意度调查可采取邮件、问卷、电话、面谈等多种方式。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2026</w:t>
      </w:r>
      <w:r>
        <w:rPr>
          <w:rFonts w:ascii="宋体" w:hAnsi="宋体" w:cs="宋体"/>
          <w:spacing w:val="-1"/>
          <w:sz w:val="24"/>
          <w:szCs w:val="24"/>
        </w:rPr>
        <w:t>年至少进行一次公司级客户满意度调查，并进行汇总分析。</w:t>
      </w:r>
    </w:p>
    <w:p w14:paraId="1639DC3B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项目级的客户满意度调查是对每个已解决的事件或问题在24小时内进行电话回访，确认工程师是否成功解决问题，了解客户对处理结果的满意度。</w:t>
      </w:r>
    </w:p>
    <w:p w14:paraId="4A9CCD13">
      <w:pPr>
        <w:pStyle w:val="29"/>
        <w:bidi w:val="0"/>
        <w:rPr>
          <w:rFonts w:hint="eastAsia"/>
        </w:rPr>
      </w:pPr>
      <w:bookmarkStart w:id="13" w:name="_Toc27488"/>
      <w:r>
        <w:rPr>
          <w:rFonts w:hint="eastAsia"/>
        </w:rPr>
        <w:t>KPI指标跟踪与预警</w:t>
      </w:r>
      <w:bookmarkEnd w:id="13"/>
    </w:p>
    <w:p w14:paraId="05922195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为保障《202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6</w:t>
      </w:r>
      <w:r>
        <w:rPr>
          <w:rFonts w:hint="eastAsia" w:ascii="宋体" w:hAnsi="宋体" w:cs="宋体"/>
          <w:spacing w:val="-1"/>
          <w:sz w:val="24"/>
          <w:szCs w:val="24"/>
        </w:rPr>
        <w:t>年度运维服务能力管理指标体系》中各项关键绩效指标（KPI）的达成，建立常态化跟踪机制，确保服务质量目标可测量、可追溯、可改进。</w:t>
      </w:r>
    </w:p>
    <w:p w14:paraId="5471C740">
      <w:pPr>
        <w:pStyle w:val="30"/>
        <w:bidi w:val="0"/>
        <w:rPr>
          <w:rFonts w:hint="eastAsia"/>
        </w:rPr>
      </w:pPr>
      <w:bookmarkStart w:id="14" w:name="_Toc25409"/>
      <w:r>
        <w:rPr>
          <w:rFonts w:hint="eastAsia"/>
        </w:rPr>
        <w:t>跟踪频次与责任分工</w:t>
      </w:r>
      <w:bookmarkEnd w:id="14"/>
    </w:p>
    <w:p w14:paraId="77C89422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人员类指标（招聘到岗率、培训达成率、考核合格率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等</w:t>
      </w:r>
      <w:r>
        <w:rPr>
          <w:rFonts w:hint="eastAsia" w:ascii="宋体" w:hAnsi="宋体" w:cs="宋体"/>
          <w:spacing w:val="-1"/>
          <w:sz w:val="24"/>
          <w:szCs w:val="24"/>
        </w:rPr>
        <w:t>）：跟踪频次为月度/季度，责任部门为综合部，数据来源为人员管理记录。</w:t>
      </w:r>
    </w:p>
    <w:p w14:paraId="0DCBD031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资源类指标（备件准确率、知识条目数、服务台录入完整</w:t>
      </w:r>
      <w:bookmarkStart w:id="19" w:name="_GoBack"/>
      <w:r>
        <w:rPr>
          <w:rFonts w:hint="eastAsia" w:ascii="宋体" w:hAnsi="宋体" w:cs="宋体"/>
          <w:spacing w:val="-1"/>
          <w:sz w:val="24"/>
          <w:szCs w:val="24"/>
        </w:rPr>
        <w:t>性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cs="宋体"/>
          <w:spacing w:val="-1"/>
          <w:sz w:val="24"/>
          <w:szCs w:val="24"/>
        </w:rPr>
        <w:t>最终软件库版本正确率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等</w:t>
      </w:r>
      <w:r>
        <w:rPr>
          <w:rFonts w:hint="eastAsia" w:ascii="宋体" w:hAnsi="宋体" w:cs="宋体"/>
          <w:spacing w:val="-1"/>
          <w:sz w:val="24"/>
          <w:szCs w:val="24"/>
        </w:rPr>
        <w:t>）：跟踪频次为季度，责任部门为运维部，数据来源为备件库/知识库/服务台账。</w:t>
      </w:r>
      <w:bookmarkEnd w:id="19"/>
    </w:p>
    <w:p w14:paraId="47E5B9DD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过程类指标（SLA达成率、事件解决率、变功率、配置准确率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等</w:t>
      </w:r>
      <w:r>
        <w:rPr>
          <w:rFonts w:hint="eastAsia" w:ascii="宋体" w:hAnsi="宋体" w:cs="宋体"/>
          <w:spacing w:val="-1"/>
          <w:sz w:val="24"/>
          <w:szCs w:val="24"/>
        </w:rPr>
        <w:t>）：跟踪频次为月度/季度，责任部门为运维部，数据来源为运维管理工具/工单系统。</w:t>
      </w:r>
    </w:p>
    <w:p w14:paraId="37A545E7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交付类指标（交付文档合规性）：跟踪频次为季度，责任部门为运维部，数据来源为项目验收记录。</w:t>
      </w:r>
    </w:p>
    <w:p w14:paraId="78CE618C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应急类指标（应急演练次数）：跟踪频次为半年，责任部门为运维部，数据来源为演练记录。</w:t>
      </w:r>
    </w:p>
    <w:p w14:paraId="47AB8CFB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质量类指标（客户满意度平均分、内审/管评次数）：跟踪频次为年度，责任部门为质量部，数据来源为满意度报告/内审管评报告。</w:t>
      </w:r>
    </w:p>
    <w:p w14:paraId="4075A967">
      <w:pPr>
        <w:pStyle w:val="30"/>
        <w:bidi w:val="0"/>
        <w:rPr>
          <w:rFonts w:hint="eastAsia"/>
        </w:rPr>
      </w:pPr>
      <w:bookmarkStart w:id="15" w:name="_Toc26656"/>
      <w:r>
        <w:rPr>
          <w:rFonts w:hint="eastAsia"/>
        </w:rPr>
        <w:t>数据收集与核实</w:t>
      </w:r>
      <w:bookmarkEnd w:id="15"/>
    </w:p>
    <w:p w14:paraId="0D35E563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(1) 数据报送：各责任部门按跟踪频度要求，在规定时间内向质量部报送指标数据及支撑材料，确保数据真实、准确、可追溯。</w:t>
      </w:r>
    </w:p>
    <w:p w14:paraId="743479B2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(2) 数据核实：质量部对报送数据进行逻辑校验和抽样复核，识别异常数据或未达标指标，必要时追溯原始记录。</w:t>
      </w:r>
    </w:p>
    <w:p w14:paraId="69A3787D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(3) 台账管理：质量部建立《KPI数据收集台账》，记录各项指标的达成情况、趋势变化和异常说明。</w:t>
      </w:r>
    </w:p>
    <w:p w14:paraId="14E92EE6">
      <w:pPr>
        <w:pStyle w:val="30"/>
        <w:bidi w:val="0"/>
        <w:rPr>
          <w:rFonts w:hint="eastAsia"/>
        </w:rPr>
      </w:pPr>
      <w:bookmarkStart w:id="16" w:name="_Toc29228"/>
      <w:r>
        <w:rPr>
          <w:rFonts w:hint="eastAsia"/>
        </w:rPr>
        <w:t>预警与改进机制</w:t>
      </w:r>
      <w:bookmarkEnd w:id="16"/>
    </w:p>
    <w:p w14:paraId="59C0B42F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(1) 预警触发条件：当关键KPI指标连续两个月低于目标值90%时，或单项指标低于目标值80%时，触发预警机制。</w:t>
      </w:r>
    </w:p>
    <w:p w14:paraId="65B67FFF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(2) 预警处理流程：质量部向责任部门发出《KPI预警通知单》，责任部门在5个工作日内分析原因、制定改进措施，质量部跟踪改进措施的落实情况并验证改进效果。</w:t>
      </w:r>
    </w:p>
    <w:p w14:paraId="331BA2F6">
      <w:pPr>
        <w:widowControl w:val="0"/>
        <w:ind w:firstLine="476" w:firstLineChars="200"/>
        <w:rPr>
          <w:rFonts w:hint="eastAsia"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(3) 季度回顾：每季度召开质量分析会，回顾KPI指标达成情况，对未达标项进行根因分析，形成《季度KPI监控报告》，将改进事项纳入质量改进跟踪台账。</w:t>
      </w:r>
    </w:p>
    <w:p w14:paraId="10832215">
      <w:pPr>
        <w:pStyle w:val="30"/>
        <w:bidi w:val="0"/>
        <w:rPr>
          <w:rFonts w:hint="eastAsia"/>
        </w:rPr>
      </w:pPr>
      <w:bookmarkStart w:id="17" w:name="_Toc12153"/>
      <w:r>
        <w:rPr>
          <w:rFonts w:hint="eastAsia"/>
        </w:rPr>
        <w:t>与质量报告的衔接</w:t>
      </w:r>
      <w:bookmarkEnd w:id="17"/>
    </w:p>
    <w:p w14:paraId="7EB5DF20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</w:rPr>
      </w:pPr>
      <w:r>
        <w:rPr>
          <w:rFonts w:hint="eastAsia" w:ascii="宋体" w:hAnsi="宋体" w:cs="宋体"/>
          <w:spacing w:val="-1"/>
          <w:sz w:val="24"/>
          <w:szCs w:val="24"/>
        </w:rPr>
        <w:t>年度运维服务质量管理报告必须包含以下KPI相关内容：各项KPI指标的年度达成情况汇总、未达标指标的原因分析、针对性改进措施及责任分工、下一年度KPI目标调整建议。</w:t>
      </w:r>
    </w:p>
    <w:p w14:paraId="64C6F650">
      <w:pPr>
        <w:pStyle w:val="29"/>
        <w:keepNext w:val="0"/>
        <w:keepLines w:val="0"/>
        <w:widowControl w:val="0"/>
        <w:rPr>
          <w:lang w:eastAsia="zh-CN"/>
        </w:rPr>
      </w:pPr>
      <w:bookmarkStart w:id="18" w:name="_Toc13555"/>
      <w:r>
        <w:rPr>
          <w:rFonts w:hint="eastAsia"/>
          <w:lang w:eastAsia="zh-CN"/>
        </w:rPr>
        <w:t>运维服务质量总结、改进</w:t>
      </w:r>
      <w:bookmarkEnd w:id="18"/>
    </w:p>
    <w:p w14:paraId="39FA89A8">
      <w:pPr>
        <w:widowControl w:val="0"/>
        <w:ind w:firstLine="476" w:firstLineChars="200"/>
        <w:rPr>
          <w:rFonts w:ascii="宋体" w:hAnsi="宋体" w:cs="宋体"/>
          <w:spacing w:val="-1"/>
          <w:sz w:val="24"/>
          <w:szCs w:val="24"/>
          <w:lang w:eastAsia="zh-CN"/>
        </w:rPr>
      </w:pPr>
      <w:r>
        <w:rPr>
          <w:rFonts w:ascii="宋体" w:hAnsi="宋体" w:cs="宋体"/>
          <w:spacing w:val="-1"/>
          <w:sz w:val="24"/>
          <w:szCs w:val="24"/>
        </w:rPr>
        <w:t>通过实施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内部审核</w:t>
      </w:r>
      <w:r>
        <w:rPr>
          <w:rFonts w:ascii="宋体" w:hAnsi="宋体" w:cs="宋体"/>
          <w:spacing w:val="-1"/>
          <w:sz w:val="24"/>
          <w:szCs w:val="24"/>
        </w:rPr>
        <w:t>、管理评审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KPI指标完成情况跟踪</w:t>
      </w:r>
      <w:r>
        <w:rPr>
          <w:rFonts w:ascii="宋体" w:hAnsi="宋体" w:cs="宋体"/>
          <w:spacing w:val="-1"/>
          <w:sz w:val="24"/>
          <w:szCs w:val="24"/>
        </w:rPr>
        <w:t>和客户满意度调查进行系统考核，综合分析发现的问题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并</w:t>
      </w:r>
      <w:r>
        <w:rPr>
          <w:rFonts w:ascii="宋体" w:hAnsi="宋体" w:cs="宋体"/>
          <w:spacing w:val="-1"/>
          <w:sz w:val="24"/>
          <w:szCs w:val="24"/>
        </w:rPr>
        <w:t>反馈，以此驱动运维服务流程的持续优化与服务质量的有效改进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，提高客户满意度</w:t>
      </w:r>
      <w:r>
        <w:rPr>
          <w:rFonts w:ascii="宋体" w:hAnsi="宋体" w:cs="宋体"/>
          <w:spacing w:val="-1"/>
          <w:sz w:val="24"/>
          <w:szCs w:val="24"/>
        </w:rPr>
        <w:t>。</w:t>
      </w:r>
    </w:p>
    <w:sectPr>
      <w:footerReference r:id="rId5" w:type="default"/>
      <w:pgSz w:w="11906" w:h="16839"/>
      <w:pgMar w:top="1431" w:right="634" w:bottom="1375" w:left="1417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003445">
    <w:pPr>
      <w:spacing w:line="167" w:lineRule="auto"/>
      <w:ind w:left="528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DA7343"/>
    <w:rsid w:val="00AD6D32"/>
    <w:rsid w:val="00DA7343"/>
    <w:rsid w:val="00DD5790"/>
    <w:rsid w:val="01D86637"/>
    <w:rsid w:val="08A059D4"/>
    <w:rsid w:val="0D680CE0"/>
    <w:rsid w:val="13C81DFB"/>
    <w:rsid w:val="1B603868"/>
    <w:rsid w:val="212C3FD0"/>
    <w:rsid w:val="2650413E"/>
    <w:rsid w:val="29CA2D09"/>
    <w:rsid w:val="29E256AC"/>
    <w:rsid w:val="2B2F6A18"/>
    <w:rsid w:val="2C332538"/>
    <w:rsid w:val="2C361D24"/>
    <w:rsid w:val="4407106E"/>
    <w:rsid w:val="444C050A"/>
    <w:rsid w:val="463D6035"/>
    <w:rsid w:val="46ED1809"/>
    <w:rsid w:val="491004AC"/>
    <w:rsid w:val="56434A2F"/>
    <w:rsid w:val="5A6563B3"/>
    <w:rsid w:val="5F234650"/>
    <w:rsid w:val="5FE315A4"/>
    <w:rsid w:val="63F04AEC"/>
    <w:rsid w:val="69E03194"/>
    <w:rsid w:val="6BFF2027"/>
    <w:rsid w:val="6EF2535F"/>
    <w:rsid w:val="6F524050"/>
    <w:rsid w:val="75474D46"/>
    <w:rsid w:val="7F0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23">
    <w:name w:val="Default Paragraph Font"/>
    <w:semiHidden/>
    <w:unhideWhenUsed/>
    <w:qFormat/>
    <w:uiPriority w:val="1"/>
  </w:style>
  <w:style w:type="table" w:default="1" w:styleId="2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Balloon Text"/>
    <w:basedOn w:val="1"/>
    <w:link w:val="43"/>
    <w:qFormat/>
    <w:uiPriority w:val="0"/>
    <w:pPr>
      <w:spacing w:line="240" w:lineRule="auto"/>
    </w:pPr>
    <w:rPr>
      <w:sz w:val="18"/>
      <w:szCs w:val="18"/>
    </w:r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jc w:val="center"/>
      <w:outlineLvl w:val="0"/>
    </w:pPr>
    <w:rPr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4">
    <w:name w:val="Strong"/>
    <w:basedOn w:val="23"/>
    <w:qFormat/>
    <w:uiPriority w:val="0"/>
    <w:rPr>
      <w:b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7">
    <w:name w:val="柴_标题1"/>
    <w:basedOn w:val="2"/>
    <w:next w:val="28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28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29">
    <w:name w:val="柴_标题2"/>
    <w:basedOn w:val="3"/>
    <w:next w:val="28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0">
    <w:name w:val="柴_标题3"/>
    <w:basedOn w:val="4"/>
    <w:next w:val="28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1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2">
    <w:name w:val="柴_公司名"/>
    <w:basedOn w:val="20"/>
    <w:qFormat/>
    <w:uiPriority w:val="0"/>
    <w:pPr>
      <w:spacing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33">
    <w:name w:val="柴_文档名"/>
    <w:basedOn w:val="20"/>
    <w:qFormat/>
    <w:uiPriority w:val="0"/>
    <w:pPr>
      <w:spacing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7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rPr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8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批注框文本 Char"/>
    <w:basedOn w:val="23"/>
    <w:link w:val="14"/>
    <w:qFormat/>
    <w:uiPriority w:val="0"/>
    <w:rPr>
      <w:rFonts w:ascii="Arial" w:hAnsi="Arial" w:cs="Arial"/>
      <w:snapToGrid w:val="0"/>
      <w:color w:val="000000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2475</Words>
  <Characters>2683</Characters>
  <Lines>18</Lines>
  <Paragraphs>5</Paragraphs>
  <TotalTime>1</TotalTime>
  <ScaleCrop>false</ScaleCrop>
  <LinksUpToDate>false</LinksUpToDate>
  <CharactersWithSpaces>2829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2025-08-16T01:17:00Z</dcterms:created>
  <dc:creator>谢永刚</dc:creator>
  <cp:lastModifiedBy>郝宇</cp:lastModifiedBy>
  <dcterms:modified xsi:type="dcterms:W3CDTF">2026-04-27T06:38:53Z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2025-08-21T01:08:30Z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44EA6E5388B84B6188DC21AEC5BCE972_12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