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0307E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spacing w:after="1440"/>
        <w:rPr>
          <w:rFonts w:hint="default"/>
        </w:rPr>
      </w:pPr>
    </w:p>
    <w:p w14:paraId="4B17CD88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spacing w:after="1440"/>
        <w:rPr>
          <w:rFonts w:hint="eastAsia" w:eastAsia="宋体"/>
          <w:lang w:val="en-US" w:eastAsia="zh-CN"/>
        </w:rPr>
      </w:pPr>
      <w:bookmarkStart w:id="0" w:name="_Toc2632"/>
      <w:r>
        <w:rPr>
          <w:rFonts w:hint="eastAsia"/>
          <w:lang w:val="en-US" w:eastAsia="zh-CN"/>
        </w:rPr>
        <w:t>2026年</w:t>
      </w:r>
      <w:r>
        <w:t>运维服务质量管理报告</w:t>
      </w:r>
      <w:r>
        <w:br w:type="textWrapping"/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第一季度</w:t>
      </w:r>
      <w:r>
        <w:rPr>
          <w:rFonts w:hint="eastAsia"/>
          <w:lang w:eastAsia="zh-CN"/>
        </w:rPr>
        <w:t>）</w:t>
      </w:r>
      <w:bookmarkEnd w:id="0"/>
    </w:p>
    <w:p w14:paraId="719E562A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spacing w:after="2160"/>
      </w:pPr>
      <w:bookmarkStart w:id="1" w:name="_Toc12203"/>
      <w:r>
        <w:t>江苏云储智能科技有限公司</w:t>
      </w:r>
      <w:bookmarkEnd w:id="1"/>
    </w:p>
    <w:p w14:paraId="020110C3">
      <w:pPr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spacing w:before="295" w:line="220" w:lineRule="auto"/>
        <w:ind w:left="3019"/>
        <w:rPr>
          <w:rFonts w:ascii="宋体" w:hAnsi="宋体" w:cs="宋体"/>
          <w:sz w:val="30"/>
          <w:szCs w:val="30"/>
        </w:rPr>
      </w:pPr>
      <w:r>
        <w:rPr>
          <w:rFonts w:ascii="宋体" w:hAnsi="宋体" w:cs="宋体"/>
          <w:spacing w:val="-9"/>
          <w:sz w:val="30"/>
          <w:szCs w:val="30"/>
        </w:rPr>
        <w:t>202</w:t>
      </w:r>
      <w:r>
        <w:rPr>
          <w:rFonts w:hint="eastAsia" w:ascii="宋体" w:hAnsi="宋体" w:cs="宋体"/>
          <w:spacing w:val="-9"/>
          <w:sz w:val="30"/>
          <w:szCs w:val="30"/>
          <w:lang w:val="en-US" w:eastAsia="zh-CN"/>
        </w:rPr>
        <w:t>6</w:t>
      </w:r>
      <w:bookmarkStart w:id="20" w:name="_GoBack"/>
      <w:bookmarkEnd w:id="20"/>
      <w:r>
        <w:rPr>
          <w:rFonts w:ascii="宋体" w:hAnsi="宋体" w:cs="宋体"/>
          <w:spacing w:val="-9"/>
          <w:sz w:val="30"/>
          <w:szCs w:val="30"/>
        </w:rPr>
        <w:t>年</w:t>
      </w:r>
      <w:r>
        <w:rPr>
          <w:rFonts w:hint="eastAsia" w:ascii="宋体" w:hAnsi="宋体" w:cs="宋体"/>
          <w:spacing w:val="-9"/>
          <w:sz w:val="30"/>
          <w:szCs w:val="30"/>
          <w:lang w:val="en-US" w:eastAsia="zh-CN"/>
        </w:rPr>
        <w:t>4</w:t>
      </w:r>
      <w:r>
        <w:rPr>
          <w:rFonts w:ascii="宋体" w:hAnsi="宋体" w:cs="宋体"/>
          <w:spacing w:val="-9"/>
          <w:sz w:val="30"/>
          <w:szCs w:val="30"/>
        </w:rPr>
        <w:t>月</w:t>
      </w:r>
      <w:r>
        <w:rPr>
          <w:rFonts w:hint="eastAsia" w:ascii="宋体" w:hAnsi="宋体" w:cs="宋体"/>
          <w:spacing w:val="-9"/>
          <w:sz w:val="30"/>
          <w:szCs w:val="30"/>
          <w:lang w:val="en-US" w:eastAsia="zh-CN"/>
        </w:rPr>
        <w:t>3</w:t>
      </w:r>
      <w:r>
        <w:rPr>
          <w:rFonts w:ascii="宋体" w:hAnsi="宋体" w:cs="宋体"/>
          <w:spacing w:val="-9"/>
          <w:sz w:val="30"/>
          <w:szCs w:val="30"/>
        </w:rPr>
        <w:t>日</w:t>
      </w:r>
    </w:p>
    <w:p w14:paraId="3ECA3314">
      <w:pPr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spacing w:line="220" w:lineRule="auto"/>
        <w:rPr>
          <w:rFonts w:ascii="宋体" w:hAnsi="宋体" w:cs="宋体"/>
          <w:sz w:val="30"/>
          <w:szCs w:val="30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4B9A99D5">
      <w:pPr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spacing w:before="91" w:line="220" w:lineRule="auto"/>
        <w:ind w:left="3710"/>
        <w:outlineLvl w:val="0"/>
        <w:rPr>
          <w:rFonts w:ascii="宋体" w:hAnsi="宋体" w:cs="宋体"/>
          <w:sz w:val="28"/>
          <w:szCs w:val="28"/>
        </w:rPr>
      </w:pPr>
      <w:bookmarkStart w:id="2" w:name="_Toc11323"/>
      <w:r>
        <w:rPr>
          <w:rFonts w:ascii="宋体" w:hAnsi="宋体" w:cs="宋体"/>
          <w:spacing w:val="-3"/>
          <w:sz w:val="28"/>
          <w:szCs w:val="28"/>
        </w:rPr>
        <w:t>文档信息</w:t>
      </w:r>
      <w:bookmarkEnd w:id="2"/>
    </w:p>
    <w:tbl>
      <w:tblPr>
        <w:tblStyle w:val="25"/>
        <w:tblW w:w="907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3"/>
        <w:gridCol w:w="1557"/>
        <w:gridCol w:w="1953"/>
      </w:tblGrid>
      <w:tr w14:paraId="71F811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775B3809">
            <w:pPr>
              <w:pStyle w:val="26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  <w:spacing w:before="185" w:line="220" w:lineRule="auto"/>
              <w:ind w:left="207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6" w:type="dxa"/>
            <w:gridSpan w:val="4"/>
          </w:tcPr>
          <w:p w14:paraId="27E49C3C">
            <w:pPr>
              <w:pStyle w:val="26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  <w:spacing w:before="185" w:line="218" w:lineRule="auto"/>
              <w:ind w:left="112"/>
            </w:pPr>
            <w:r>
              <w:rPr>
                <w:spacing w:val="-1"/>
              </w:rPr>
              <w:t>运维服务质量管理报告（JSYC</w:t>
            </w:r>
            <w:r>
              <w:rPr>
                <w:spacing w:val="-2"/>
              </w:rPr>
              <w:t>-ITSS-ZLGLBG）</w:t>
            </w:r>
          </w:p>
        </w:tc>
      </w:tr>
      <w:tr w14:paraId="0F4E72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4A7BB622">
            <w:pPr>
              <w:pStyle w:val="26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  <w:spacing w:before="182" w:line="220" w:lineRule="auto"/>
              <w:ind w:left="447"/>
            </w:pPr>
            <w:r>
              <w:rPr>
                <w:spacing w:val="-3"/>
              </w:rPr>
              <w:t>编制单位</w:t>
            </w:r>
          </w:p>
        </w:tc>
        <w:tc>
          <w:tcPr>
            <w:tcW w:w="7226" w:type="dxa"/>
            <w:gridSpan w:val="4"/>
          </w:tcPr>
          <w:p w14:paraId="43771CBE">
            <w:pPr>
              <w:pStyle w:val="26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  <w:spacing w:before="182" w:line="219" w:lineRule="auto"/>
              <w:ind w:left="109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7CB79F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36D18457">
            <w:pPr>
              <w:pStyle w:val="26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  <w:spacing w:before="184" w:line="219" w:lineRule="auto"/>
              <w:ind w:left="447"/>
            </w:pPr>
            <w:r>
              <w:rPr>
                <w:spacing w:val="-3"/>
              </w:rPr>
              <w:t>文档版本</w:t>
            </w:r>
          </w:p>
        </w:tc>
        <w:tc>
          <w:tcPr>
            <w:tcW w:w="1413" w:type="dxa"/>
          </w:tcPr>
          <w:p w14:paraId="64A1075C">
            <w:pPr>
              <w:pStyle w:val="26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  <w:spacing w:before="184" w:line="219" w:lineRule="auto"/>
              <w:ind w:left="22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3" w:type="dxa"/>
          </w:tcPr>
          <w:p w14:paraId="3832FF6F">
            <w:pPr>
              <w:pStyle w:val="26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  <w:spacing w:before="184" w:line="219" w:lineRule="auto"/>
              <w:ind w:left="676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551002EA">
            <w:pPr>
              <w:pStyle w:val="26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  <w:spacing w:before="185" w:line="220" w:lineRule="auto"/>
              <w:ind w:left="54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211BE010">
            <w:pPr>
              <w:pStyle w:val="26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  <w:spacing w:before="185" w:line="220" w:lineRule="auto"/>
              <w:ind w:left="754"/>
            </w:pPr>
            <w:r>
              <w:rPr>
                <w:spacing w:val="-6"/>
              </w:rPr>
              <w:t>审核</w:t>
            </w:r>
          </w:p>
        </w:tc>
      </w:tr>
      <w:tr w14:paraId="1FFA22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6141CA62">
            <w:pPr>
              <w:pStyle w:val="26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  <w:spacing w:before="154" w:line="238" w:lineRule="auto"/>
              <w:ind w:left="680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72A01699">
            <w:pPr>
              <w:pStyle w:val="26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  <w:spacing w:before="154" w:line="238" w:lineRule="auto"/>
              <w:ind w:left="231"/>
              <w:rPr>
                <w:rFonts w:hint="eastAsia" w:eastAsia="宋体"/>
                <w:lang w:val="en-US"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6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3</w:t>
            </w:r>
          </w:p>
        </w:tc>
        <w:tc>
          <w:tcPr>
            <w:tcW w:w="2303" w:type="dxa"/>
          </w:tcPr>
          <w:p w14:paraId="6E13B7EC">
            <w:pPr>
              <w:pStyle w:val="26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  <w:spacing w:before="119" w:line="219" w:lineRule="auto"/>
              <w:ind w:left="679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558C87DC">
            <w:pPr>
              <w:pStyle w:val="26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  <w:spacing w:before="119" w:line="220" w:lineRule="auto"/>
              <w:ind w:left="426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郑云</w:t>
            </w:r>
          </w:p>
        </w:tc>
        <w:tc>
          <w:tcPr>
            <w:tcW w:w="1953" w:type="dxa"/>
          </w:tcPr>
          <w:p w14:paraId="5E761BE2">
            <w:pPr>
              <w:pStyle w:val="26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  <w:spacing w:before="119" w:line="220" w:lineRule="auto"/>
              <w:ind w:left="628"/>
            </w:pPr>
            <w:r>
              <w:rPr>
                <w:spacing w:val="-4"/>
              </w:rPr>
              <w:t>史晓玲</w:t>
            </w:r>
          </w:p>
        </w:tc>
      </w:tr>
      <w:tr w14:paraId="31A763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050C7E6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</w:pPr>
          </w:p>
        </w:tc>
        <w:tc>
          <w:tcPr>
            <w:tcW w:w="1413" w:type="dxa"/>
          </w:tcPr>
          <w:p w14:paraId="0BD6573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</w:pPr>
          </w:p>
        </w:tc>
        <w:tc>
          <w:tcPr>
            <w:tcW w:w="2303" w:type="dxa"/>
          </w:tcPr>
          <w:p w14:paraId="240DBDD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</w:pPr>
          </w:p>
        </w:tc>
        <w:tc>
          <w:tcPr>
            <w:tcW w:w="1557" w:type="dxa"/>
          </w:tcPr>
          <w:p w14:paraId="6994CBD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</w:pPr>
          </w:p>
        </w:tc>
        <w:tc>
          <w:tcPr>
            <w:tcW w:w="1953" w:type="dxa"/>
          </w:tcPr>
          <w:p w14:paraId="44C2789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</w:pPr>
          </w:p>
        </w:tc>
      </w:tr>
      <w:tr w14:paraId="26E052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846" w:type="dxa"/>
          </w:tcPr>
          <w:p w14:paraId="53CB678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</w:pPr>
          </w:p>
        </w:tc>
        <w:tc>
          <w:tcPr>
            <w:tcW w:w="1413" w:type="dxa"/>
          </w:tcPr>
          <w:p w14:paraId="3ECD4B0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</w:pPr>
          </w:p>
        </w:tc>
        <w:tc>
          <w:tcPr>
            <w:tcW w:w="2303" w:type="dxa"/>
          </w:tcPr>
          <w:p w14:paraId="43353E0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</w:pPr>
          </w:p>
        </w:tc>
        <w:tc>
          <w:tcPr>
            <w:tcW w:w="1557" w:type="dxa"/>
          </w:tcPr>
          <w:p w14:paraId="08DF4B1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</w:pPr>
          </w:p>
        </w:tc>
        <w:tc>
          <w:tcPr>
            <w:tcW w:w="1953" w:type="dxa"/>
          </w:tcPr>
          <w:p w14:paraId="04198A1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autoSpaceDE w:val="0"/>
              <w:autoSpaceDN w:val="0"/>
              <w:bidi w:val="0"/>
            </w:pPr>
          </w:p>
        </w:tc>
      </w:tr>
    </w:tbl>
    <w:p w14:paraId="69E133D0">
      <w:pPr>
        <w:pStyle w:val="12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</w:pPr>
    </w:p>
    <w:p w14:paraId="6A14C2A4">
      <w:pPr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sectPr>
          <w:pgSz w:w="11906" w:h="16839"/>
          <w:pgMar w:top="1431" w:right="1127" w:bottom="0" w:left="1696" w:header="0" w:footer="0" w:gutter="0"/>
          <w:cols w:space="720" w:num="1"/>
        </w:sectPr>
      </w:pPr>
    </w:p>
    <w:sdt>
      <w:sdtPr>
        <w:rPr>
          <w:rFonts w:ascii="宋体" w:hAnsi="宋体"/>
        </w:rPr>
        <w:id w:val="147456429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z w:val="24"/>
          <w:szCs w:val="24"/>
        </w:rPr>
      </w:sdtEndPr>
      <w:sdtContent>
        <w:p w14:paraId="65BA25CF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autoSpaceDE w:val="0"/>
            <w:autoSpaceDN w:val="0"/>
            <w:bidi w:val="0"/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14:paraId="0BEC0D37">
          <w:pPr>
            <w:pStyle w:val="17"/>
            <w:tabs>
              <w:tab w:val="right" w:leader="dot" w:pos="8497"/>
            </w:tabs>
          </w:pPr>
          <w:r>
            <w:rPr>
              <w:rFonts w:hint="eastAsia" w:ascii="Microsoft JhengHei" w:hAnsi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cs="Microsoft JhengHei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cs="Microsoft JhengHei"/>
              <w:szCs w:val="24"/>
            </w:rPr>
            <w:fldChar w:fldCharType="separate"/>
          </w:r>
          <w:r>
            <w:rPr>
              <w:rFonts w:hint="eastAsia" w:ascii="Microsoft JhengHei" w:hAnsi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cs="Microsoft JhengHei"/>
              <w:szCs w:val="24"/>
            </w:rPr>
            <w:instrText xml:space="preserve"> HYPERLINK \l _Toc2632 </w:instrText>
          </w:r>
          <w:r>
            <w:rPr>
              <w:rFonts w:hint="eastAsia" w:ascii="Microsoft JhengHei" w:hAnsi="Microsoft JhengHei" w:cs="Microsoft JhengHei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</w:t>
          </w:r>
          <w:r>
            <w:t xml:space="preserve">运维服务质量管理报告 </w:t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第一季度</w:t>
          </w:r>
          <w:r>
            <w:rPr>
              <w:rFonts w:hint="eastAsia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_Toc2632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cs="Microsoft JhengHei"/>
              <w:szCs w:val="24"/>
            </w:rPr>
            <w:fldChar w:fldCharType="end"/>
          </w:r>
        </w:p>
        <w:p w14:paraId="459089AB">
          <w:pPr>
            <w:pStyle w:val="17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_Toc12203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_Toc12203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4DD0008">
          <w:pPr>
            <w:pStyle w:val="17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_Toc11323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_Toc11323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AED6759">
          <w:pPr>
            <w:pStyle w:val="17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_Toc15247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_Toc15247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4914332">
          <w:pPr>
            <w:pStyle w:val="17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_Toc23797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_Toc23797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5CD4615">
          <w:pPr>
            <w:pStyle w:val="17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_Toc12110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引用文件</w:t>
          </w:r>
          <w:r>
            <w:tab/>
          </w:r>
          <w:r>
            <w:fldChar w:fldCharType="begin"/>
          </w:r>
          <w:r>
            <w:instrText xml:space="preserve"> PAGEREF _Toc12110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E8EC1D1">
          <w:pPr>
            <w:pStyle w:val="17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_Toc26257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术语与定义</w:t>
          </w:r>
          <w:r>
            <w:tab/>
          </w:r>
          <w:r>
            <w:fldChar w:fldCharType="begin"/>
          </w:r>
          <w:r>
            <w:instrText xml:space="preserve"> PAGEREF _Toc26257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02295A1">
          <w:pPr>
            <w:pStyle w:val="17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角色与职责</w:t>
          </w:r>
          <w:r>
            <w:tab/>
          </w:r>
          <w:r>
            <w:fldChar w:fldCharType="begin"/>
          </w:r>
          <w:r>
            <w:instrText xml:space="preserve"> PAGEREF _Toc18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2E1997E">
          <w:pPr>
            <w:pStyle w:val="18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_Toc22305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5.1. </w:t>
          </w:r>
          <w:r>
            <w:rPr>
              <w:rFonts w:hint="eastAsia"/>
              <w:lang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_Toc22305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023CABE">
          <w:pPr>
            <w:pStyle w:val="18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_Toc748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5.2. </w:t>
          </w:r>
          <w:r>
            <w:rPr>
              <w:rFonts w:hint="eastAsia"/>
              <w:lang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_Toc748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D40D8B8">
          <w:pPr>
            <w:pStyle w:val="18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_Toc22935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5.3. </w:t>
          </w:r>
          <w:r>
            <w:rPr>
              <w:rFonts w:hint="eastAsia"/>
              <w:lang w:eastAsia="zh-CN"/>
            </w:rPr>
            <w:t>其他运维部门</w:t>
          </w:r>
          <w:r>
            <w:tab/>
          </w:r>
          <w:r>
            <w:fldChar w:fldCharType="begin"/>
          </w:r>
          <w:r>
            <w:instrText xml:space="preserve"> PAGEREF _Toc22935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E49C311">
          <w:pPr>
            <w:pStyle w:val="17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_Toc16544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6. </w:t>
          </w:r>
          <w:r>
            <w:rPr>
              <w:rFonts w:hint="eastAsia"/>
              <w:lang w:eastAsia="zh-CN"/>
            </w:rPr>
            <w:t>服务质量活动管理</w:t>
          </w:r>
          <w:r>
            <w:tab/>
          </w:r>
          <w:r>
            <w:fldChar w:fldCharType="begin"/>
          </w:r>
          <w:r>
            <w:instrText xml:space="preserve"> PAGEREF _Toc16544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202EC9E">
          <w:pPr>
            <w:pStyle w:val="18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_Toc7894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rPr>
              <w:rFonts w:hint="eastAsia"/>
              <w:lang w:eastAsia="zh-CN"/>
            </w:rPr>
            <w:t>内部评审</w:t>
          </w:r>
          <w:r>
            <w:tab/>
          </w:r>
          <w:r>
            <w:fldChar w:fldCharType="begin"/>
          </w:r>
          <w:r>
            <w:instrText xml:space="preserve"> PAGEREF _Toc7894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84A3E27">
          <w:pPr>
            <w:pStyle w:val="18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_Toc3313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rPr>
              <w:rFonts w:hint="eastAsia"/>
              <w:lang w:eastAsia="zh-CN"/>
            </w:rPr>
            <w:t>管理评审</w:t>
          </w:r>
          <w:r>
            <w:tab/>
          </w:r>
          <w:r>
            <w:fldChar w:fldCharType="begin"/>
          </w:r>
          <w:r>
            <w:instrText xml:space="preserve"> PAGEREF _Toc3313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A80601B">
          <w:pPr>
            <w:pStyle w:val="18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_Toc8281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满意度调查</w:t>
          </w:r>
          <w:r>
            <w:tab/>
          </w:r>
          <w:r>
            <w:fldChar w:fldCharType="begin"/>
          </w:r>
          <w:r>
            <w:instrText xml:space="preserve"> PAGEREF _Toc8281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BF73A61">
          <w:pPr>
            <w:pStyle w:val="18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_Toc9511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KPI完成情况跟踪</w:t>
          </w:r>
          <w:r>
            <w:tab/>
          </w:r>
          <w:r>
            <w:fldChar w:fldCharType="begin"/>
          </w:r>
          <w:r>
            <w:instrText xml:space="preserve"> PAGEREF _Toc9511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43DAAC6">
          <w:pPr>
            <w:pStyle w:val="13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_Toc4377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6.4.1. </w:t>
          </w:r>
          <w:r>
            <w:rPr>
              <w:rFonts w:hint="eastAsia"/>
              <w:lang w:val="en-US" w:eastAsia="zh-CN"/>
            </w:rPr>
            <w:t>主要KPI完成情况</w:t>
          </w:r>
          <w:r>
            <w:tab/>
          </w:r>
          <w:r>
            <w:fldChar w:fldCharType="begin"/>
          </w:r>
          <w:r>
            <w:instrText xml:space="preserve"> PAGEREF _Toc4377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7C0060C">
          <w:pPr>
            <w:pStyle w:val="13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_Toc30691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6.4.2. </w:t>
          </w:r>
          <w:r>
            <w:rPr>
              <w:rFonts w:hint="eastAsia"/>
              <w:lang w:val="en-US" w:eastAsia="zh-CN"/>
            </w:rPr>
            <w:t>未达标指标分析</w:t>
          </w:r>
          <w:r>
            <w:tab/>
          </w:r>
          <w:r>
            <w:fldChar w:fldCharType="begin"/>
          </w:r>
          <w:r>
            <w:instrText xml:space="preserve"> PAGEREF _Toc30691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B8CB566">
          <w:pPr>
            <w:pStyle w:val="13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_Toc13972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6.4.3. </w:t>
          </w:r>
          <w:r>
            <w:rPr>
              <w:rFonts w:hint="eastAsia"/>
              <w:lang w:val="en-US" w:eastAsia="zh-CN"/>
            </w:rPr>
            <w:t>改进与执行情况</w:t>
          </w:r>
          <w:r>
            <w:tab/>
          </w:r>
          <w:r>
            <w:fldChar w:fldCharType="begin"/>
          </w:r>
          <w:r>
            <w:instrText xml:space="preserve"> PAGEREF _Toc13972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8AE2944">
          <w:pPr>
            <w:pStyle w:val="18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_Toc2178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6.5. </w:t>
          </w:r>
          <w:r>
            <w:t>运维服务</w:t>
          </w:r>
          <w:r>
            <w:rPr>
              <w:rFonts w:hint="eastAsia"/>
              <w:lang w:eastAsia="zh-CN"/>
            </w:rPr>
            <w:t>质量总结、改进</w:t>
          </w:r>
          <w:r>
            <w:tab/>
          </w:r>
          <w:r>
            <w:fldChar w:fldCharType="begin"/>
          </w:r>
          <w:r>
            <w:instrText xml:space="preserve"> PAGEREF _Toc2178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8FE5D6D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autoSpaceDE w:val="0"/>
            <w:autoSpaceDN w:val="0"/>
            <w:bidi w:val="0"/>
            <w:spacing w:line="220" w:lineRule="auto"/>
            <w:rPr>
              <w:rFonts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08632ECA">
      <w:pPr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spacing w:line="220" w:lineRule="auto"/>
        <w:rPr>
          <w:rFonts w:ascii="Times New Roman" w:hAnsi="Times New Roman" w:eastAsia="Times New Roman" w:cs="Times New Roman"/>
          <w:szCs w:val="24"/>
        </w:rPr>
        <w:sectPr>
          <w:pgSz w:w="11906" w:h="16839"/>
          <w:pgMar w:top="1431" w:right="1700" w:bottom="0" w:left="1709" w:header="0" w:footer="0" w:gutter="0"/>
          <w:cols w:space="720" w:num="1"/>
        </w:sectPr>
      </w:pPr>
    </w:p>
    <w:p w14:paraId="486B96E3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</w:pPr>
      <w:bookmarkStart w:id="3" w:name="_Toc15247"/>
      <w:r>
        <w:t>目的</w:t>
      </w:r>
      <w:bookmarkEnd w:id="3"/>
    </w:p>
    <w:p w14:paraId="6F0820FE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ind w:firstLine="480"/>
      </w:pPr>
      <w:r>
        <w:rPr>
          <w:rFonts w:hint="eastAsia"/>
        </w:rPr>
        <w:t>为确保公司运维服务能力体系持续符合国家标准及客户要求，系统性地监控、评估并改进服务质量，依据公司运维服务业务定位和能力，特编制本年度运维服务质量管理报告。旨在通过总结质量活动的实施情况，识别改进机会，提升客户满意度，保障运维服务交付的可靠性与有效性。</w:t>
      </w:r>
    </w:p>
    <w:p w14:paraId="7E81D549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</w:pPr>
      <w:bookmarkStart w:id="4" w:name="_Toc23797"/>
      <w:r>
        <w:t>适用范围</w:t>
      </w:r>
      <w:bookmarkEnd w:id="4"/>
    </w:p>
    <w:p w14:paraId="57B17384">
      <w:pPr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ind w:firstLine="464" w:firstLineChars="200"/>
        <w:rPr>
          <w:rFonts w:ascii="宋体" w:hAnsi="宋体" w:cs="宋体"/>
          <w:spacing w:val="-4"/>
          <w:sz w:val="24"/>
          <w:szCs w:val="24"/>
        </w:rPr>
      </w:pPr>
      <w:r>
        <w:rPr>
          <w:rFonts w:ascii="宋体" w:hAnsi="宋体" w:cs="宋体"/>
          <w:spacing w:val="-4"/>
          <w:sz w:val="24"/>
          <w:szCs w:val="24"/>
        </w:rPr>
        <w:t>本手册适用于本公司参与运维服务业务的部门和人员</w:t>
      </w:r>
    </w:p>
    <w:p w14:paraId="4DF8B5D3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</w:pPr>
      <w:bookmarkStart w:id="5" w:name="_Toc12110"/>
      <w:r>
        <w:t>引用文件</w:t>
      </w:r>
      <w:bookmarkEnd w:id="5"/>
    </w:p>
    <w:p w14:paraId="09F8A4D8">
      <w:pPr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ind w:left="478" w:hanging="476" w:hangingChars="20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pacing w:val="-1"/>
          <w:sz w:val="24"/>
          <w:szCs w:val="24"/>
        </w:rPr>
        <w:t>1.</w:t>
      </w:r>
      <w:r>
        <w:rPr>
          <w:rFonts w:ascii="宋体" w:hAnsi="宋体" w:cs="宋体"/>
          <w:spacing w:val="82"/>
          <w:sz w:val="24"/>
          <w:szCs w:val="24"/>
        </w:rPr>
        <w:t xml:space="preserve"> </w:t>
      </w:r>
      <w:r>
        <w:rPr>
          <w:rFonts w:hint="eastAsia" w:ascii="宋体" w:hAnsi="宋体" w:cs="宋体"/>
          <w:spacing w:val="-1"/>
          <w:sz w:val="24"/>
          <w:szCs w:val="24"/>
        </w:rPr>
        <w:t>T/CESA 1299—2023</w:t>
      </w:r>
      <w:r>
        <w:rPr>
          <w:rFonts w:ascii="宋体" w:hAnsi="宋体" w:cs="宋体"/>
          <w:spacing w:val="-1"/>
          <w:sz w:val="24"/>
          <w:szCs w:val="24"/>
        </w:rPr>
        <w:t xml:space="preserve"> 《信息技术服务</w:t>
      </w:r>
      <w:r>
        <w:rPr>
          <w:rFonts w:ascii="宋体" w:hAnsi="宋体" w:cs="宋体"/>
          <w:spacing w:val="-2"/>
          <w:sz w:val="24"/>
          <w:szCs w:val="24"/>
        </w:rPr>
        <w:t xml:space="preserve"> 运行维护服务能力成熟度模型》</w:t>
      </w:r>
    </w:p>
    <w:p w14:paraId="4DBD4F09">
      <w:pPr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ind w:left="478" w:hanging="476" w:hangingChars="20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pacing w:val="-1"/>
          <w:sz w:val="24"/>
          <w:szCs w:val="24"/>
        </w:rPr>
        <w:t>2.</w:t>
      </w:r>
      <w:r>
        <w:rPr>
          <w:rFonts w:ascii="宋体" w:hAnsi="宋体" w:cs="宋体"/>
          <w:spacing w:val="67"/>
          <w:sz w:val="24"/>
          <w:szCs w:val="24"/>
        </w:rPr>
        <w:t xml:space="preserve"> </w:t>
      </w:r>
      <w:r>
        <w:rPr>
          <w:rFonts w:ascii="宋体" w:hAnsi="宋体" w:cs="宋体"/>
          <w:spacing w:val="-1"/>
          <w:sz w:val="24"/>
          <w:szCs w:val="24"/>
        </w:rPr>
        <w:t>GB/T 28827.1-20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2</w:t>
      </w:r>
      <w:r>
        <w:rPr>
          <w:rFonts w:ascii="宋体" w:hAnsi="宋体" w:cs="宋体"/>
          <w:spacing w:val="-1"/>
          <w:sz w:val="24"/>
          <w:szCs w:val="24"/>
        </w:rPr>
        <w:t>2 《信息技术服</w:t>
      </w:r>
      <w:r>
        <w:rPr>
          <w:rFonts w:ascii="宋体" w:hAnsi="宋体" w:cs="宋体"/>
          <w:spacing w:val="-2"/>
          <w:sz w:val="24"/>
          <w:szCs w:val="24"/>
        </w:rPr>
        <w:t>务 运行维护 第</w:t>
      </w:r>
      <w:r>
        <w:rPr>
          <w:rFonts w:ascii="宋体" w:hAnsi="宋体" w:cs="宋体"/>
          <w:spacing w:val="-33"/>
          <w:sz w:val="24"/>
          <w:szCs w:val="24"/>
        </w:rPr>
        <w:t xml:space="preserve"> </w:t>
      </w:r>
      <w:r>
        <w:rPr>
          <w:rFonts w:ascii="宋体" w:hAnsi="宋体" w:cs="宋体"/>
          <w:spacing w:val="-2"/>
          <w:sz w:val="24"/>
          <w:szCs w:val="24"/>
        </w:rPr>
        <w:t>1</w:t>
      </w:r>
      <w:r>
        <w:rPr>
          <w:rFonts w:ascii="宋体" w:hAnsi="宋体" w:cs="宋体"/>
          <w:spacing w:val="-48"/>
          <w:sz w:val="24"/>
          <w:szCs w:val="24"/>
        </w:rPr>
        <w:t xml:space="preserve"> </w:t>
      </w:r>
      <w:r>
        <w:rPr>
          <w:rFonts w:ascii="宋体" w:hAnsi="宋体" w:cs="宋体"/>
          <w:spacing w:val="-2"/>
          <w:sz w:val="24"/>
          <w:szCs w:val="24"/>
        </w:rPr>
        <w:t>部分：通用要求》</w:t>
      </w:r>
    </w:p>
    <w:p w14:paraId="64087AD3">
      <w:pPr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ind w:left="478" w:hanging="476" w:hangingChars="20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pacing w:val="-1"/>
          <w:sz w:val="24"/>
          <w:szCs w:val="24"/>
        </w:rPr>
        <w:t>3.</w:t>
      </w:r>
      <w:r>
        <w:rPr>
          <w:rFonts w:ascii="宋体" w:hAnsi="宋体" w:cs="宋体"/>
          <w:spacing w:val="67"/>
          <w:sz w:val="24"/>
          <w:szCs w:val="24"/>
        </w:rPr>
        <w:t xml:space="preserve"> </w:t>
      </w:r>
      <w:r>
        <w:rPr>
          <w:rFonts w:ascii="宋体" w:hAnsi="宋体" w:cs="宋体"/>
          <w:spacing w:val="-1"/>
          <w:sz w:val="24"/>
          <w:szCs w:val="24"/>
        </w:rPr>
        <w:t>GB/T 28827.2-2012 《信息技术服务 运行维护 第</w:t>
      </w:r>
      <w:r>
        <w:rPr>
          <w:rFonts w:ascii="宋体" w:hAnsi="宋体" w:cs="宋体"/>
          <w:spacing w:val="-48"/>
          <w:sz w:val="24"/>
          <w:szCs w:val="24"/>
        </w:rPr>
        <w:t xml:space="preserve"> </w:t>
      </w:r>
      <w:r>
        <w:rPr>
          <w:rFonts w:ascii="宋体" w:hAnsi="宋体" w:cs="宋体"/>
          <w:spacing w:val="-1"/>
          <w:sz w:val="24"/>
          <w:szCs w:val="24"/>
        </w:rPr>
        <w:t>2</w:t>
      </w:r>
      <w:r>
        <w:rPr>
          <w:rFonts w:ascii="宋体" w:hAnsi="宋体" w:cs="宋体"/>
          <w:spacing w:val="-48"/>
          <w:sz w:val="24"/>
          <w:szCs w:val="24"/>
        </w:rPr>
        <w:t xml:space="preserve"> </w:t>
      </w:r>
      <w:r>
        <w:rPr>
          <w:rFonts w:ascii="宋体" w:hAnsi="宋体" w:cs="宋体"/>
          <w:spacing w:val="-1"/>
          <w:sz w:val="24"/>
          <w:szCs w:val="24"/>
        </w:rPr>
        <w:t>部分:交</w:t>
      </w:r>
      <w:r>
        <w:rPr>
          <w:rFonts w:ascii="宋体" w:hAnsi="宋体" w:cs="宋体"/>
          <w:spacing w:val="-2"/>
          <w:sz w:val="24"/>
          <w:szCs w:val="24"/>
        </w:rPr>
        <w:t>付规范》</w:t>
      </w:r>
    </w:p>
    <w:p w14:paraId="6C20FE9D">
      <w:pPr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ind w:left="478" w:hanging="476" w:hangingChars="20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pacing w:val="-1"/>
          <w:sz w:val="24"/>
          <w:szCs w:val="24"/>
        </w:rPr>
        <w:t>4.</w:t>
      </w:r>
      <w:r>
        <w:rPr>
          <w:rFonts w:ascii="宋体" w:hAnsi="宋体" w:cs="宋体"/>
          <w:spacing w:val="66"/>
          <w:sz w:val="24"/>
          <w:szCs w:val="24"/>
        </w:rPr>
        <w:t xml:space="preserve"> </w:t>
      </w:r>
      <w:r>
        <w:rPr>
          <w:rFonts w:ascii="宋体" w:hAnsi="宋体" w:cs="宋体"/>
          <w:spacing w:val="-1"/>
          <w:sz w:val="24"/>
          <w:szCs w:val="24"/>
        </w:rPr>
        <w:t>GB/T</w:t>
      </w:r>
      <w:r>
        <w:rPr>
          <w:rFonts w:ascii="宋体" w:hAnsi="宋体" w:cs="宋体"/>
          <w:spacing w:val="34"/>
          <w:sz w:val="24"/>
          <w:szCs w:val="24"/>
        </w:rPr>
        <w:t xml:space="preserve"> </w:t>
      </w:r>
      <w:r>
        <w:rPr>
          <w:rFonts w:ascii="宋体" w:hAnsi="宋体" w:cs="宋体"/>
          <w:spacing w:val="-1"/>
          <w:sz w:val="24"/>
          <w:szCs w:val="24"/>
        </w:rPr>
        <w:t>28827.3-2012 《信息技术服务</w:t>
      </w:r>
      <w:r>
        <w:rPr>
          <w:rFonts w:ascii="宋体" w:hAnsi="宋体" w:cs="宋体"/>
          <w:spacing w:val="31"/>
          <w:sz w:val="24"/>
          <w:szCs w:val="24"/>
        </w:rPr>
        <w:t xml:space="preserve"> </w:t>
      </w:r>
      <w:r>
        <w:rPr>
          <w:rFonts w:ascii="宋体" w:hAnsi="宋体" w:cs="宋体"/>
          <w:spacing w:val="-1"/>
          <w:sz w:val="24"/>
          <w:szCs w:val="24"/>
        </w:rPr>
        <w:t>运行</w:t>
      </w:r>
      <w:r>
        <w:rPr>
          <w:rFonts w:ascii="宋体" w:hAnsi="宋体" w:cs="宋体"/>
          <w:spacing w:val="-2"/>
          <w:sz w:val="24"/>
          <w:szCs w:val="24"/>
        </w:rPr>
        <w:t>维护</w:t>
      </w:r>
      <w:r>
        <w:rPr>
          <w:rFonts w:ascii="宋体" w:hAnsi="宋体" w:cs="宋体"/>
          <w:spacing w:val="31"/>
          <w:sz w:val="24"/>
          <w:szCs w:val="24"/>
        </w:rPr>
        <w:t xml:space="preserve"> </w:t>
      </w:r>
      <w:r>
        <w:rPr>
          <w:rFonts w:ascii="宋体" w:hAnsi="宋体" w:cs="宋体"/>
          <w:spacing w:val="-2"/>
          <w:sz w:val="24"/>
          <w:szCs w:val="24"/>
        </w:rPr>
        <w:t>第</w:t>
      </w:r>
      <w:r>
        <w:rPr>
          <w:rFonts w:ascii="宋体" w:hAnsi="宋体" w:cs="宋体"/>
          <w:spacing w:val="-46"/>
          <w:sz w:val="24"/>
          <w:szCs w:val="24"/>
        </w:rPr>
        <w:t xml:space="preserve"> </w:t>
      </w:r>
      <w:r>
        <w:rPr>
          <w:rFonts w:ascii="宋体" w:hAnsi="宋体" w:cs="宋体"/>
          <w:spacing w:val="-2"/>
          <w:sz w:val="24"/>
          <w:szCs w:val="24"/>
        </w:rPr>
        <w:t>3</w:t>
      </w:r>
      <w:r>
        <w:rPr>
          <w:rFonts w:ascii="宋体" w:hAnsi="宋体" w:cs="宋体"/>
          <w:spacing w:val="-48"/>
          <w:sz w:val="24"/>
          <w:szCs w:val="24"/>
        </w:rPr>
        <w:t xml:space="preserve"> </w:t>
      </w:r>
      <w:r>
        <w:rPr>
          <w:rFonts w:ascii="宋体" w:hAnsi="宋体" w:cs="宋体"/>
          <w:spacing w:val="-2"/>
          <w:sz w:val="24"/>
          <w:szCs w:val="24"/>
        </w:rPr>
        <w:t>部分:应急响应规</w:t>
      </w:r>
      <w:r>
        <w:rPr>
          <w:rFonts w:ascii="宋体" w:hAnsi="宋体" w:cs="宋体"/>
          <w:spacing w:val="-8"/>
          <w:sz w:val="24"/>
          <w:szCs w:val="24"/>
        </w:rPr>
        <w:t>范》</w:t>
      </w:r>
    </w:p>
    <w:p w14:paraId="409710AE">
      <w:pPr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ind w:left="478" w:hanging="476" w:hangingChars="20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pacing w:val="-1"/>
          <w:sz w:val="24"/>
          <w:szCs w:val="24"/>
        </w:rPr>
        <w:t>5.</w:t>
      </w:r>
      <w:r>
        <w:rPr>
          <w:rFonts w:ascii="宋体" w:hAnsi="宋体" w:cs="宋体"/>
          <w:spacing w:val="76"/>
          <w:sz w:val="24"/>
          <w:szCs w:val="24"/>
        </w:rPr>
        <w:t xml:space="preserve"> </w:t>
      </w:r>
      <w:r>
        <w:rPr>
          <w:rFonts w:ascii="宋体" w:hAnsi="宋体" w:cs="宋体"/>
          <w:spacing w:val="-1"/>
          <w:sz w:val="24"/>
          <w:szCs w:val="24"/>
        </w:rPr>
        <w:t>GB/T 29264-2012 《信息技术服务 分类与代码》</w:t>
      </w:r>
    </w:p>
    <w:p w14:paraId="2376D7B5">
      <w:pPr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ind w:left="474" w:hanging="468" w:hangingChars="200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6</w:t>
      </w:r>
      <w:r>
        <w:rPr>
          <w:rFonts w:ascii="宋体" w:hAnsi="宋体" w:cs="宋体"/>
          <w:spacing w:val="-3"/>
          <w:sz w:val="24"/>
          <w:szCs w:val="24"/>
        </w:rPr>
        <w:t>.</w:t>
      </w:r>
      <w:r>
        <w:rPr>
          <w:rFonts w:ascii="宋体" w:hAnsi="宋体" w:cs="宋体"/>
          <w:spacing w:val="99"/>
          <w:sz w:val="24"/>
          <w:szCs w:val="24"/>
        </w:rPr>
        <w:t xml:space="preserve"> </w:t>
      </w:r>
      <w:r>
        <w:rPr>
          <w:rFonts w:ascii="宋体" w:hAnsi="宋体" w:cs="宋体"/>
          <w:spacing w:val="-3"/>
          <w:sz w:val="24"/>
          <w:szCs w:val="24"/>
        </w:rPr>
        <w:t>国家有关法律、法规及行业标准</w:t>
      </w:r>
    </w:p>
    <w:p w14:paraId="562F5B52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</w:pPr>
      <w:bookmarkStart w:id="6" w:name="_Toc26257"/>
      <w:r>
        <w:t>术语与定义</w:t>
      </w:r>
      <w:bookmarkEnd w:id="6"/>
    </w:p>
    <w:p w14:paraId="611A0E01">
      <w:pPr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spacing w:before="120" w:line="220" w:lineRule="auto"/>
        <w:ind w:left="724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无</w:t>
      </w:r>
    </w:p>
    <w:p w14:paraId="6A5B9CAE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</w:pPr>
      <w:bookmarkStart w:id="7" w:name="_Toc18"/>
      <w:r>
        <w:t>角色与职责</w:t>
      </w:r>
      <w:bookmarkEnd w:id="7"/>
    </w:p>
    <w:p w14:paraId="296671B8">
      <w:pPr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spacing w:line="76" w:lineRule="exact"/>
      </w:pPr>
    </w:p>
    <w:p w14:paraId="2EB4B083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rPr>
          <w:lang w:eastAsia="zh-CN"/>
        </w:rPr>
      </w:pPr>
      <w:bookmarkStart w:id="8" w:name="_Toc22305"/>
      <w:r>
        <w:rPr>
          <w:rFonts w:hint="eastAsia"/>
          <w:lang w:eastAsia="zh-CN"/>
        </w:rPr>
        <w:t>质量部</w:t>
      </w:r>
      <w:bookmarkEnd w:id="8"/>
    </w:p>
    <w:p w14:paraId="37D2A88F">
      <w:pPr>
        <w:pStyle w:val="28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autoSpaceDE w:val="0"/>
        <w:autoSpaceDN w:val="0"/>
        <w:bidi w:val="0"/>
        <w:ind w:firstLineChars="0"/>
      </w:pPr>
      <w:r>
        <w:rPr>
          <w:rFonts w:hint="eastAsia"/>
        </w:rPr>
        <w:t>负责公司级质量保证，制定并组织实施本服务质量管理计划。</w:t>
      </w:r>
    </w:p>
    <w:p w14:paraId="16F82E54">
      <w:pPr>
        <w:pStyle w:val="28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autoSpaceDE w:val="0"/>
        <w:autoSpaceDN w:val="0"/>
        <w:bidi w:val="0"/>
        <w:ind w:firstLineChars="0"/>
      </w:pPr>
      <w:r>
        <w:rPr>
          <w:rFonts w:hint="eastAsia"/>
        </w:rPr>
        <w:t>监控运维服务质量，定期（如每季度）组织质量分析会议，评估运维业务开展情况。</w:t>
      </w:r>
    </w:p>
    <w:p w14:paraId="2D7DC08A">
      <w:pPr>
        <w:pStyle w:val="28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autoSpaceDE w:val="0"/>
        <w:autoSpaceDN w:val="0"/>
        <w:bidi w:val="0"/>
        <w:ind w:firstLineChars="0"/>
      </w:pPr>
      <w:r>
        <w:rPr>
          <w:rFonts w:hint="eastAsia"/>
        </w:rPr>
        <w:t>负责策划并组织实施年度运维服务能力体系内部审核，跟踪验证不符合项的纠正措施。</w:t>
      </w:r>
    </w:p>
    <w:p w14:paraId="10FEB35B">
      <w:pPr>
        <w:pStyle w:val="28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autoSpaceDE w:val="0"/>
        <w:autoSpaceDN w:val="0"/>
        <w:bidi w:val="0"/>
        <w:ind w:firstLineChars="0"/>
      </w:pPr>
      <w:r>
        <w:rPr>
          <w:rFonts w:hint="eastAsia"/>
        </w:rPr>
        <w:t>负责组织实施公司级客户满意度调查，并牵头进行结果分析。</w:t>
      </w:r>
    </w:p>
    <w:p w14:paraId="453C7CE7">
      <w:pPr>
        <w:pStyle w:val="28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autoSpaceDE w:val="0"/>
        <w:autoSpaceDN w:val="0"/>
        <w:bidi w:val="0"/>
        <w:ind w:firstLineChars="0"/>
      </w:pPr>
      <w:r>
        <w:rPr>
          <w:rFonts w:hint="eastAsia"/>
        </w:rPr>
        <w:t>负责管理评审的筹备、组织及改进措施的跟踪验证。</w:t>
      </w:r>
    </w:p>
    <w:p w14:paraId="2DD0F266">
      <w:pPr>
        <w:pStyle w:val="28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autoSpaceDE w:val="0"/>
        <w:autoSpaceDN w:val="0"/>
        <w:bidi w:val="0"/>
        <w:ind w:firstLineChars="0"/>
      </w:pPr>
      <w:r>
        <w:rPr>
          <w:rFonts w:hint="eastAsia"/>
        </w:rPr>
        <w:t>对重大客户投诉进行根本原因分析、处理协调与效果回访。</w:t>
      </w:r>
    </w:p>
    <w:p w14:paraId="01261D96">
      <w:pPr>
        <w:pStyle w:val="28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autoSpaceDE w:val="0"/>
        <w:autoSpaceDN w:val="0"/>
        <w:bidi w:val="0"/>
        <w:ind w:firstLineChars="0"/>
      </w:pPr>
      <w:r>
        <w:rPr>
          <w:rFonts w:hint="eastAsia"/>
        </w:rPr>
        <w:t>监督、检查各部门质量改进措施的实施情况。</w:t>
      </w:r>
    </w:p>
    <w:p w14:paraId="4BD5DB11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rPr>
          <w:lang w:eastAsia="zh-CN"/>
        </w:rPr>
      </w:pPr>
      <w:bookmarkStart w:id="9" w:name="_Toc748"/>
      <w:r>
        <w:rPr>
          <w:rFonts w:hint="eastAsia"/>
          <w:lang w:eastAsia="zh-CN"/>
        </w:rPr>
        <w:t>运维部</w:t>
      </w:r>
      <w:bookmarkEnd w:id="9"/>
    </w:p>
    <w:p w14:paraId="3476F7CE">
      <w:pPr>
        <w:pStyle w:val="28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autoSpaceDE w:val="0"/>
        <w:autoSpaceDN w:val="0"/>
        <w:bidi w:val="0"/>
        <w:ind w:firstLineChars="0"/>
      </w:pPr>
      <w:r>
        <w:rPr>
          <w:rFonts w:hint="eastAsia"/>
        </w:rPr>
        <w:t>负责所辖运维业务的具体质量控制，执行服务流程与规范。</w:t>
      </w:r>
    </w:p>
    <w:p w14:paraId="6706616E">
      <w:pPr>
        <w:pStyle w:val="28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autoSpaceDE w:val="0"/>
        <w:autoSpaceDN w:val="0"/>
        <w:bidi w:val="0"/>
        <w:ind w:firstLineChars="0"/>
      </w:pPr>
      <w:r>
        <w:rPr>
          <w:rFonts w:hint="eastAsia"/>
        </w:rPr>
        <w:t>对质量部和服务台提供的客户反馈（包括满意度调查、投诉）进行分析，并制定、实施部门级改进措施。</w:t>
      </w:r>
    </w:p>
    <w:p w14:paraId="6446C6B7">
      <w:pPr>
        <w:pStyle w:val="28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autoSpaceDE w:val="0"/>
        <w:autoSpaceDN w:val="0"/>
        <w:bidi w:val="0"/>
        <w:ind w:firstLineChars="0"/>
      </w:pPr>
      <w:r>
        <w:rPr>
          <w:rFonts w:hint="eastAsia"/>
        </w:rPr>
        <w:t>定期（如每月）召开部门质量分析会，审视服务过程与结果。</w:t>
      </w:r>
    </w:p>
    <w:p w14:paraId="4D0C9176">
      <w:pPr>
        <w:pStyle w:val="28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autoSpaceDE w:val="0"/>
        <w:autoSpaceDN w:val="0"/>
        <w:bidi w:val="0"/>
        <w:ind w:firstLineChars="0"/>
      </w:pPr>
      <w:r>
        <w:rPr>
          <w:rFonts w:hint="eastAsia"/>
        </w:rPr>
        <w:t>负责监控服务请求/事件的处理过程与时效，并对已解决事件进行必要的客户回访。</w:t>
      </w:r>
    </w:p>
    <w:p w14:paraId="6C958511">
      <w:pPr>
        <w:pStyle w:val="28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autoSpaceDE w:val="0"/>
        <w:autoSpaceDN w:val="0"/>
        <w:bidi w:val="0"/>
        <w:ind w:firstLineChars="0"/>
      </w:pPr>
      <w:r>
        <w:rPr>
          <w:rFonts w:hint="eastAsia"/>
        </w:rPr>
        <w:t>负责服务知识的识别、评审、归档与应用，确保知识库内容的质量与适宜性（依据内审发现，需加强评审记录管理）。</w:t>
      </w:r>
    </w:p>
    <w:p w14:paraId="3C0042E3">
      <w:pPr>
        <w:pStyle w:val="28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autoSpaceDE w:val="0"/>
        <w:autoSpaceDN w:val="0"/>
        <w:bidi w:val="0"/>
        <w:ind w:firstLineChars="0"/>
      </w:pPr>
      <w:r>
        <w:rPr>
          <w:rFonts w:hint="eastAsia"/>
        </w:rPr>
        <w:t>接收并初步处理客户投诉，及时向相关部门反馈重要信息。</w:t>
      </w:r>
    </w:p>
    <w:p w14:paraId="2E85361F">
      <w:pPr>
        <w:pStyle w:val="28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autoSpaceDE w:val="0"/>
        <w:autoSpaceDN w:val="0"/>
        <w:bidi w:val="0"/>
        <w:ind w:firstLineChars="0"/>
      </w:pPr>
      <w:r>
        <w:rPr>
          <w:rFonts w:hint="eastAsia"/>
        </w:rPr>
        <w:t>定期编写运维服务总结报告，持续完善服务能力与质量。</w:t>
      </w:r>
    </w:p>
    <w:p w14:paraId="2ED8E037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rPr>
          <w:lang w:eastAsia="zh-CN"/>
        </w:rPr>
      </w:pPr>
      <w:bookmarkStart w:id="10" w:name="_Toc22935"/>
      <w:r>
        <w:rPr>
          <w:rFonts w:hint="eastAsia"/>
          <w:lang w:eastAsia="zh-CN"/>
        </w:rPr>
        <w:t>其他运维部门</w:t>
      </w:r>
      <w:bookmarkEnd w:id="10"/>
    </w:p>
    <w:p w14:paraId="0005C703">
      <w:pPr>
        <w:pStyle w:val="28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autoSpaceDE w:val="0"/>
        <w:autoSpaceDN w:val="0"/>
        <w:bidi w:val="0"/>
        <w:ind w:firstLineChars="0"/>
      </w:pPr>
      <w:r>
        <w:t>参与能力管理计划及相关质量改进计划的制定。</w:t>
      </w:r>
    </w:p>
    <w:p w14:paraId="3D61CFD4">
      <w:pPr>
        <w:pStyle w:val="28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autoSpaceDE w:val="0"/>
        <w:autoSpaceDN w:val="0"/>
        <w:bidi w:val="0"/>
        <w:ind w:firstLineChars="0"/>
      </w:pPr>
      <w:r>
        <w:t>按照计划要求，在本部门职责范围内实施质量保证与改进活动（如：研发部需确保交付软件质量，采购部需优化供应商管理流程以支持服务交付）。</w:t>
      </w:r>
    </w:p>
    <w:p w14:paraId="129ED9A7">
      <w:pPr>
        <w:pStyle w:val="28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autoSpaceDE w:val="0"/>
        <w:autoSpaceDN w:val="0"/>
        <w:bidi w:val="0"/>
        <w:ind w:firstLineChars="0"/>
      </w:pPr>
      <w:r>
        <w:t>接受质量部的质量监督与检查，并按要求汇报计划实施情况。</w:t>
      </w:r>
    </w:p>
    <w:p w14:paraId="31A303DE">
      <w:pPr>
        <w:pStyle w:val="28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autoSpaceDE w:val="0"/>
        <w:autoSpaceDN w:val="0"/>
        <w:bidi w:val="0"/>
        <w:ind w:firstLineChars="0"/>
      </w:pPr>
      <w:r>
        <w:t>针对本部门在服务支撑过程中发现的问题，主动采取并落实改进措施。</w:t>
      </w:r>
    </w:p>
    <w:p w14:paraId="690BF7D3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rPr>
          <w:lang w:eastAsia="zh-CN"/>
        </w:rPr>
      </w:pPr>
      <w:bookmarkStart w:id="11" w:name="_Toc16544"/>
      <w:r>
        <w:rPr>
          <w:rFonts w:hint="eastAsia"/>
          <w:lang w:eastAsia="zh-CN"/>
        </w:rPr>
        <w:t>服务质量活动管理</w:t>
      </w:r>
      <w:bookmarkEnd w:id="11"/>
    </w:p>
    <w:p w14:paraId="5BEF56EC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  <w:ind w:firstLine="480"/>
      </w:pPr>
      <w:r>
        <w:rPr>
          <w:rFonts w:hint="eastAsia"/>
          <w:lang w:val="en-US" w:eastAsia="zh-CN"/>
        </w:rPr>
        <w:t>截止2026年第一季度</w:t>
      </w:r>
      <w:r>
        <w:t>，公司严格按照《202</w:t>
      </w:r>
      <w:r>
        <w:rPr>
          <w:rFonts w:hint="eastAsia"/>
          <w:lang w:val="en-US" w:eastAsia="zh-CN"/>
        </w:rPr>
        <w:t>6</w:t>
      </w:r>
      <w:r>
        <w:t>年运维服务质量管理计划》开展各项质量活动，体系运行平稳有效，服务质量目标基本达成。现将主要活动总结如下：</w:t>
      </w:r>
    </w:p>
    <w:p w14:paraId="15C35B43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</w:pPr>
      <w:bookmarkStart w:id="12" w:name="_Toc7894"/>
      <w:r>
        <w:rPr>
          <w:rFonts w:hint="eastAsia"/>
          <w:lang w:eastAsia="zh-CN"/>
        </w:rPr>
        <w:t>内部评审</w:t>
      </w:r>
      <w:bookmarkEnd w:id="12"/>
    </w:p>
    <w:p w14:paraId="4945B21E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</w:pPr>
      <w:r>
        <w:t>根据2026年度质量管理计划，内部评审计划于2026年12月进行，目前尚未开展。公司将在2026年12月组织内审活动，对运维服务能力体系的运行情况进行全面审核，届时将形成内部审核报告。</w:t>
      </w:r>
    </w:p>
    <w:p w14:paraId="129229CA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</w:pPr>
      <w:bookmarkStart w:id="13" w:name="_Toc3313"/>
      <w:r>
        <w:rPr>
          <w:rFonts w:hint="eastAsia"/>
          <w:lang w:eastAsia="zh-CN"/>
        </w:rPr>
        <w:t>管理评审</w:t>
      </w:r>
      <w:bookmarkEnd w:id="13"/>
    </w:p>
    <w:p w14:paraId="7C67E09C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</w:pPr>
      <w:r>
        <w:t>根据2026年度质量管理计划，管理评审计划于2026年12月进行，在内部评审完成后组织实施，目前尚未开展。届时将基于内审结果、KPI达成情况、客户满意度调查结果等输入材料，对运维服务体系的适宜性、充分性和有效性进行评价。</w:t>
      </w:r>
    </w:p>
    <w:p w14:paraId="62C76344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</w:pPr>
      <w:bookmarkStart w:id="14" w:name="_Toc8281"/>
      <w:r>
        <w:t>满意度调查</w:t>
      </w:r>
      <w:bookmarkEnd w:id="14"/>
    </w:p>
    <w:p w14:paraId="47E43C27">
      <w:pPr>
        <w:pStyle w:val="28"/>
        <w:bidi w:val="0"/>
      </w:pPr>
      <w:r>
        <w:t>根据2026年度质量管理计划，公司级客户满意度调查计划于2026年12月进行，目前尚未开展。项目级的客户满意度调查持续进行，对每个已解决的事件或问题在24小时内进行电话回访。</w:t>
      </w:r>
    </w:p>
    <w:p w14:paraId="5E25CCA4">
      <w:pPr>
        <w:pStyle w:val="29"/>
        <w:bidi w:val="0"/>
        <w:rPr>
          <w:rFonts w:hint="default"/>
          <w:lang w:val="en-US" w:eastAsia="zh-CN"/>
        </w:rPr>
      </w:pPr>
      <w:bookmarkStart w:id="15" w:name="_Toc9511"/>
      <w:r>
        <w:rPr>
          <w:rFonts w:hint="eastAsia"/>
          <w:lang w:val="en-US" w:eastAsia="zh-CN"/>
        </w:rPr>
        <w:t>KPI完成情况跟踪</w:t>
      </w:r>
      <w:bookmarkEnd w:id="15"/>
    </w:p>
    <w:p w14:paraId="0942A835">
      <w:pPr>
        <w:pStyle w:val="30"/>
        <w:bidi w:val="0"/>
        <w:rPr>
          <w:rFonts w:hint="eastAsia"/>
          <w:lang w:val="en-US" w:eastAsia="zh-CN"/>
        </w:rPr>
      </w:pPr>
      <w:bookmarkStart w:id="16" w:name="_Toc4377"/>
      <w:r>
        <w:rPr>
          <w:rFonts w:hint="eastAsia"/>
          <w:lang w:val="en-US" w:eastAsia="zh-CN"/>
        </w:rPr>
        <w:t>主要KPI完成情况</w:t>
      </w:r>
      <w:bookmarkEnd w:id="16"/>
    </w:p>
    <w:p w14:paraId="0503FB6A">
      <w:pPr>
        <w:pStyle w:val="2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2026年度，公司依据《2026年度运维服务能力管理指标体系》对各项KPI指标进行跟踪监测。第一季度各项指标完成情况良好，第二至四季度按计划持续跟踪。全年各项指标整体达成情况如下：</w:t>
      </w:r>
    </w:p>
    <w:tbl>
      <w:tblPr>
        <w:tblStyle w:val="21"/>
        <w:tblW w:w="854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5"/>
        <w:gridCol w:w="1170"/>
        <w:gridCol w:w="2506"/>
        <w:gridCol w:w="977"/>
        <w:gridCol w:w="2140"/>
        <w:gridCol w:w="1171"/>
      </w:tblGrid>
      <w:tr w14:paraId="0F412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24D61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3C43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4FDA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KPI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8A26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目标值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76F5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第一季度实际</w:t>
            </w:r>
          </w:p>
        </w:tc>
        <w:tc>
          <w:tcPr>
            <w:tcW w:w="117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573C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全年状态</w:t>
            </w:r>
          </w:p>
        </w:tc>
      </w:tr>
      <w:tr w14:paraId="485D9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3E245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51B4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人员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50C2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人员储备完成率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E8E3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D3EF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A6D4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0FFFA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2987B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9DFE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人员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63C9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培训课程达成率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219D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F458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C1F18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032C8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B117A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2150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人员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C114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人员招聘到岗率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7A48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≥90%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A2B3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6DE53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16E8D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CCFCF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6084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人员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D0E9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月度考核合格率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5D40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≥95%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BDFF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96%-98%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2D082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06E32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56796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CDD5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人员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D56C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技能评价覆盖率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BA14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≥95%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F800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年度指标，12月开展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5C92D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待年度开展</w:t>
            </w:r>
          </w:p>
        </w:tc>
      </w:tr>
      <w:tr w14:paraId="0FE9C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48413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49C4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人员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C605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季度备份达成率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014E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≥90%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C20D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A0045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2333F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C6BF7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CCFB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技术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8F1E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技术研发按时完成率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6DB4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≥80%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9921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年度指标，12月统计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4FCA1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待年度统计</w:t>
            </w:r>
          </w:p>
        </w:tc>
      </w:tr>
      <w:tr w14:paraId="721BC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07EC2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1028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资源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3C94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运维服务工具自评估次数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548A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≥1次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E15D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年度指标，12月开展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EB96C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待年度开展</w:t>
            </w:r>
          </w:p>
        </w:tc>
      </w:tr>
      <w:tr w14:paraId="18275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B638D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A973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资源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3E8B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库存备件数据准确率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538E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≥99%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96B0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99%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72DBB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5F349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76702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A081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资源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E27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备件可用率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67FB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≥95%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BDE8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96%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090DC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72DD5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7194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9E4E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资源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5D89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新增知识条目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A3BE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≥40条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C0E4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42条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FF808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48908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5D749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E9C4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资源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F6DA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服务台录入事件的完整性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E2CA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≥95%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BA73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FD009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617E1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5B3D4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186E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资源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C6A7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最终软件库版本正确率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5302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≥95%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4A3A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E6012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46322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AB1C3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AB9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资源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6720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服务数据分析利用次数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DD13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≥1次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7006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2次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79D6A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56F4E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74C77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7896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过程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AE88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SLA达成率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66C9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≥90%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A94C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6C9CC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76DBB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196CC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A809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过程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41BE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服务报告交付及时率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9DE5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≥90%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50BE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47630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29B90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EE9ED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852F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过程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56E6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事件解决率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3C8E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≥95%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B1F2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C167D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3428D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A3AED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0582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过程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6E48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事件按时解决率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A295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≥95%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7917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89347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2EEF7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2AEDF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5D2E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过程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991A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事件回访的及时率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2F5A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≥95%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987E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5A1CD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5D95A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ACFCC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2EB7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过程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7B96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问题解决率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6BE4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≥85%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10ED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474F8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0C8CB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188FA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0C10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过程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0E47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配置准确率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A956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≥95%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4D0F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E01F1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0DC0A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F2E75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AE50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过程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128E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变更成功率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5C0A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606F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DBA2C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14167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3A69F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5A13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过程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8A18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发布成功率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91CA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DDA4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2C8E7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4F9DB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2A55A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10C4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过程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20A0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信息安全事件数量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9A02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≤1次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6677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年度指标，12月统计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11F39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待年度统计</w:t>
            </w:r>
          </w:p>
        </w:tc>
      </w:tr>
      <w:tr w14:paraId="68718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64704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A5DA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过程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7208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容量事件次数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8974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≤2次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F469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0次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A98AF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5A72E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2D4BD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3441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过程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87FC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过程框架评价次数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5E76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≥1次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5DFA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半年指标，12月开展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A78E0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待开展</w:t>
            </w:r>
          </w:p>
        </w:tc>
      </w:tr>
      <w:tr w14:paraId="72D91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C4D79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5F79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过程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2C8A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服务可用性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4F47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≥99%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0BE1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ED078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497A1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7F69E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B266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过程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180B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服务连续性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F586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≤2次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CB63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0次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A9F79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5FF43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7C775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A014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交付管理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B944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交付文档合规性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7382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≥95%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407E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A568C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5090E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B02F0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5CA9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应急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B898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应急演练次数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D334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≥1次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8388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半年指标，12月开展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80F30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待开展</w:t>
            </w:r>
          </w:p>
        </w:tc>
      </w:tr>
      <w:tr w14:paraId="13E46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8284A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CDE8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质量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B438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客户满意度平均分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85C4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≥95分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1822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年度指标，12月调查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E80EC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待年度开展</w:t>
            </w:r>
          </w:p>
        </w:tc>
      </w:tr>
      <w:tr w14:paraId="06469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C8753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9015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质量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E2E8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内部评审次数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DF84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≥1次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51A3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年度指标，12月开展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5328A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待年度开展</w:t>
            </w:r>
          </w:p>
        </w:tc>
      </w:tr>
      <w:tr w14:paraId="392C3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C535D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33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31FC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质量</w:t>
            </w:r>
          </w:p>
        </w:tc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4EFE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管理评审次数</w:t>
            </w: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DDEA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≥1次</w:t>
            </w:r>
          </w:p>
        </w:tc>
        <w:tc>
          <w:tcPr>
            <w:tcW w:w="21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7DEE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年度指标，12月开展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162C1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待年度开展</w:t>
            </w:r>
          </w:p>
        </w:tc>
      </w:tr>
    </w:tbl>
    <w:p w14:paraId="2561A4BC">
      <w:pPr>
        <w:pStyle w:val="2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第一季度数据来看，所有已开展的KPI指标均达成目标，未出现未达标指标。技能评价覆盖率、技术研发按时完成率、运维服务工具自评估、信息安全事件数量、过程框架评价、应急演练次数、客户满意度调查、内部评审、管理评审等年度或半年指标将按照计划在2026年12月陆续开展和统计。</w:t>
      </w:r>
    </w:p>
    <w:p w14:paraId="17C5825D">
      <w:pPr>
        <w:pStyle w:val="30"/>
        <w:bidi w:val="0"/>
        <w:rPr>
          <w:rFonts w:hint="eastAsia"/>
          <w:lang w:val="en-US" w:eastAsia="zh-CN"/>
        </w:rPr>
      </w:pPr>
      <w:bookmarkStart w:id="17" w:name="_Toc30691"/>
      <w:r>
        <w:rPr>
          <w:rFonts w:hint="eastAsia"/>
          <w:lang w:val="en-US" w:eastAsia="zh-CN"/>
        </w:rPr>
        <w:t>未达标指标分析</w:t>
      </w:r>
      <w:bookmarkEnd w:id="17"/>
    </w:p>
    <w:p w14:paraId="4D41D505">
      <w:pPr>
        <w:pStyle w:val="28"/>
        <w:bidi w:val="0"/>
        <w:rPr>
          <w:rFonts w:hint="eastAsia"/>
          <w:lang w:val="en-US" w:eastAsia="zh-CN"/>
        </w:rPr>
      </w:pPr>
      <w:r>
        <w:t>2026年度各项KPI指标均达成目标，未出现未达标指标</w:t>
      </w:r>
    </w:p>
    <w:p w14:paraId="0B964B95">
      <w:pPr>
        <w:pStyle w:val="30"/>
        <w:bidi w:val="0"/>
        <w:rPr>
          <w:rFonts w:hint="default"/>
          <w:lang w:val="en-US" w:eastAsia="zh-CN"/>
        </w:rPr>
      </w:pPr>
      <w:bookmarkStart w:id="18" w:name="_Toc13972"/>
      <w:r>
        <w:rPr>
          <w:rFonts w:hint="eastAsia"/>
          <w:lang w:val="en-US" w:eastAsia="zh-CN"/>
        </w:rPr>
        <w:t>改进与执行情况</w:t>
      </w:r>
      <w:bookmarkEnd w:id="18"/>
    </w:p>
    <w:p w14:paraId="007FAB26">
      <w:pPr>
        <w:pStyle w:val="28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2026年度第一季度没有出现未达标情况，在后期的运维过程中应当继续保持。</w:t>
      </w:r>
    </w:p>
    <w:p w14:paraId="6D6BDD7F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autoSpaceDE w:val="0"/>
        <w:autoSpaceDN w:val="0"/>
        <w:bidi w:val="0"/>
      </w:pPr>
      <w:bookmarkStart w:id="19" w:name="_Toc2178"/>
      <w:r>
        <w:t>运维服务</w:t>
      </w:r>
      <w:r>
        <w:rPr>
          <w:rFonts w:hint="eastAsia"/>
          <w:lang w:eastAsia="zh-CN"/>
        </w:rPr>
        <w:t>质量总结、改进</w:t>
      </w:r>
      <w:bookmarkEnd w:id="19"/>
    </w:p>
    <w:p w14:paraId="54B0CEB8">
      <w:pPr>
        <w:pStyle w:val="28"/>
        <w:bidi w:val="0"/>
        <w:rPr>
          <w:rFonts w:ascii="宋体" w:hAnsi="宋体" w:cs="宋体"/>
          <w:spacing w:val="-6"/>
          <w:szCs w:val="24"/>
          <w:lang w:eastAsia="zh-CN"/>
        </w:rPr>
      </w:pPr>
      <w:r>
        <w:t>2026年度，公司持续运行ITSS运维服务能力管理体系，结合2025年度总结的改进方向和客户反馈意见，从人员管理、资源管理、技术管理、过程管理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交付管理、应急管理</w:t>
      </w:r>
      <w:r>
        <w:t>及质量管理方面对运维体系进行持续改进。</w:t>
      </w:r>
    </w:p>
    <w:sectPr>
      <w:footerReference r:id="rId5" w:type="default"/>
      <w:pgSz w:w="11906" w:h="16839"/>
      <w:pgMar w:top="1431" w:right="1759" w:bottom="1375" w:left="1785" w:header="0" w:footer="121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AD289">
    <w:pPr>
      <w:spacing w:line="167" w:lineRule="auto"/>
      <w:ind w:left="4130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3FF348C"/>
    <w:multiLevelType w:val="singleLevel"/>
    <w:tmpl w:val="23FF34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1C756D5"/>
    <w:multiLevelType w:val="singleLevel"/>
    <w:tmpl w:val="31C756D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A1B0A07"/>
    <w:multiLevelType w:val="singleLevel"/>
    <w:tmpl w:val="7A1B0A0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2157E4"/>
    <w:rsid w:val="000140BD"/>
    <w:rsid w:val="0010535F"/>
    <w:rsid w:val="002157E4"/>
    <w:rsid w:val="004527D9"/>
    <w:rsid w:val="007507DD"/>
    <w:rsid w:val="00872DE0"/>
    <w:rsid w:val="00B73CDE"/>
    <w:rsid w:val="00D339E1"/>
    <w:rsid w:val="014D16F5"/>
    <w:rsid w:val="04365896"/>
    <w:rsid w:val="051A405F"/>
    <w:rsid w:val="08D13DE0"/>
    <w:rsid w:val="091769A9"/>
    <w:rsid w:val="0B48482D"/>
    <w:rsid w:val="0F7A0392"/>
    <w:rsid w:val="11E701D0"/>
    <w:rsid w:val="19404D95"/>
    <w:rsid w:val="1C8F393E"/>
    <w:rsid w:val="1CC7132A"/>
    <w:rsid w:val="1E0E3DB8"/>
    <w:rsid w:val="1E842039"/>
    <w:rsid w:val="1FC67261"/>
    <w:rsid w:val="27135897"/>
    <w:rsid w:val="2A763948"/>
    <w:rsid w:val="2B1165A0"/>
    <w:rsid w:val="2B6C2CF0"/>
    <w:rsid w:val="2BB313F7"/>
    <w:rsid w:val="2C7548FE"/>
    <w:rsid w:val="2E74009E"/>
    <w:rsid w:val="335C2374"/>
    <w:rsid w:val="37BF1123"/>
    <w:rsid w:val="39700927"/>
    <w:rsid w:val="3B082DE1"/>
    <w:rsid w:val="42165DE4"/>
    <w:rsid w:val="44F92119"/>
    <w:rsid w:val="45CF2E79"/>
    <w:rsid w:val="50A03429"/>
    <w:rsid w:val="516528E4"/>
    <w:rsid w:val="58F702C5"/>
    <w:rsid w:val="5C0D03D0"/>
    <w:rsid w:val="5DCA5FA9"/>
    <w:rsid w:val="62A37075"/>
    <w:rsid w:val="62BE3C02"/>
    <w:rsid w:val="65387C9C"/>
    <w:rsid w:val="670C4D9F"/>
    <w:rsid w:val="72C1593C"/>
    <w:rsid w:val="73710BCC"/>
    <w:rsid w:val="744F2BBA"/>
    <w:rsid w:val="75233DE6"/>
    <w:rsid w:val="75892893"/>
    <w:rsid w:val="76C03F95"/>
    <w:rsid w:val="7CE51337"/>
    <w:rsid w:val="7E7E6C0F"/>
    <w:rsid w:val="7F9A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Balloon Text"/>
    <w:basedOn w:val="1"/>
    <w:link w:val="43"/>
    <w:qFormat/>
    <w:uiPriority w:val="0"/>
    <w:pPr>
      <w:spacing w:line="240" w:lineRule="auto"/>
    </w:pPr>
    <w:rPr>
      <w:sz w:val="18"/>
      <w:szCs w:val="18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jc w:val="center"/>
      <w:outlineLvl w:val="0"/>
    </w:pPr>
    <w:rPr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4">
    <w:name w:val="Strong"/>
    <w:basedOn w:val="23"/>
    <w:qFormat/>
    <w:uiPriority w:val="0"/>
    <w:rPr>
      <w:b/>
    </w:rPr>
  </w:style>
  <w:style w:type="table" w:customStyle="1" w:styleId="2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7">
    <w:name w:val="柴_标题1"/>
    <w:basedOn w:val="2"/>
    <w:next w:val="28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28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29">
    <w:name w:val="柴_标题2"/>
    <w:basedOn w:val="3"/>
    <w:next w:val="28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4"/>
    <w:next w:val="28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1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2">
    <w:name w:val="柴_公司名"/>
    <w:basedOn w:val="20"/>
    <w:qFormat/>
    <w:uiPriority w:val="0"/>
    <w:pPr>
      <w:spacing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33">
    <w:name w:val="柴_文档名"/>
    <w:basedOn w:val="20"/>
    <w:qFormat/>
    <w:uiPriority w:val="0"/>
    <w:pPr>
      <w:spacing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7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8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批注框文本 Char"/>
    <w:basedOn w:val="23"/>
    <w:link w:val="14"/>
    <w:qFormat/>
    <w:uiPriority w:val="0"/>
    <w:rPr>
      <w:rFonts w:ascii="Arial" w:hAnsi="Arial" w:cs="Arial"/>
      <w:snapToGrid w:val="0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1639</Words>
  <Characters>1847</Characters>
  <Lines>29</Lines>
  <Paragraphs>8</Paragraphs>
  <TotalTime>0</TotalTime>
  <ScaleCrop>false</ScaleCrop>
  <LinksUpToDate>false</LinksUpToDate>
  <CharactersWithSpaces>1955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2025-08-17T01:36:00Z</dcterms:created>
  <dc:creator>谢永刚</dc:creator>
  <cp:lastModifiedBy>郝宇</cp:lastModifiedBy>
  <dcterms:modified xsi:type="dcterms:W3CDTF">2026-05-07T09:17:23Z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2025-08-21T01:15:29Z</vt:filetime>
  </property>
  <property fmtid="{D5CDD505-2E9C-101B-9397-08002B2CF9AE}" pid="3" name="CRO">
    <vt:lpwstr>wqlLaW5nc29mdCBQREYgdG8gV1BTIDExNQ</vt:lpwstr>
  </property>
  <property fmtid="{D5CDD505-2E9C-101B-9397-08002B2CF9AE}" pid="4" name="ICV">
    <vt:lpwstr>4E0A1EC789AC401D9E18C2E73A87486D_12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