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F707E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p w14:paraId="131516F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bookmarkStart w:id="0" w:name="_Toc12116"/>
      <w:r>
        <w:rPr>
          <w:rFonts w:hint="eastAsia"/>
          <w:lang w:val="en-US" w:eastAsia="zh-CN"/>
        </w:rPr>
        <w:t>2026年运维相关人员管理计划</w:t>
      </w:r>
      <w:bookmarkEnd w:id="0"/>
    </w:p>
    <w:p w14:paraId="56E9491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7303"/>
      <w:r>
        <w:t>江苏云储智能科技有限公司</w:t>
      </w:r>
      <w:bookmarkEnd w:id="1"/>
    </w:p>
    <w:p w14:paraId="00AA4989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spacing w:val="-1"/>
          <w:sz w:val="36"/>
          <w:szCs w:val="36"/>
        </w:rPr>
      </w:pPr>
      <w:bookmarkStart w:id="2" w:name="_Toc1380"/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2026年1月4日</w:t>
      </w:r>
      <w:r>
        <w:rPr>
          <w:rFonts w:hint="eastAsia" w:ascii="宋体" w:hAnsi="宋体" w:eastAsia="宋体" w:cs="宋体"/>
          <w:spacing w:val="-1"/>
          <w:sz w:val="36"/>
          <w:szCs w:val="36"/>
        </w:rPr>
        <w:br w:type="page"/>
      </w:r>
      <w:bookmarkEnd w:id="2"/>
    </w:p>
    <w:p w14:paraId="35D7A3F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55" w:line="220" w:lineRule="auto"/>
        <w:jc w:val="center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3" w:name="_Toc5872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2E9CC3F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  <w:textAlignment w:val="baseline"/>
      </w:pPr>
    </w:p>
    <w:tbl>
      <w:tblPr>
        <w:tblStyle w:val="25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4A8EE4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013CC6AB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4583165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6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人员管理计划</w:t>
            </w:r>
            <w:r>
              <w:rPr>
                <w:spacing w:val="-1"/>
              </w:rPr>
              <w:t>（JSYC-ITSS-</w:t>
            </w:r>
            <w:r>
              <w:rPr>
                <w:rFonts w:hint="eastAsia"/>
                <w:spacing w:val="-1"/>
                <w:lang w:val="en-US" w:eastAsia="zh-CN"/>
              </w:rPr>
              <w:t>RYGLJH</w:t>
            </w:r>
            <w:r>
              <w:rPr>
                <w:spacing w:val="-1"/>
              </w:rPr>
              <w:t>）</w:t>
            </w:r>
          </w:p>
        </w:tc>
      </w:tr>
      <w:tr w14:paraId="0DB279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311705E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23BBC26E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江苏云储智能科技有限公司</w:t>
            </w:r>
          </w:p>
        </w:tc>
      </w:tr>
      <w:tr w14:paraId="44C6F7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3E5584F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21CD17B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74633CA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A2720B7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1A578C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6FEDE6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700E2F42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57FCD143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9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26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</w:p>
        </w:tc>
        <w:tc>
          <w:tcPr>
            <w:tcW w:w="2302" w:type="dxa"/>
          </w:tcPr>
          <w:p w14:paraId="1DA14391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E3B2D2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8" w:lineRule="auto"/>
              <w:ind w:left="576" w:leftChars="0"/>
              <w:textAlignment w:val="baseline"/>
            </w:pPr>
            <w:r>
              <w:rPr>
                <w:rFonts w:hint="eastAsia"/>
                <w:spacing w:val="-3"/>
              </w:rPr>
              <w:t>唐雪珊</w:t>
            </w:r>
          </w:p>
        </w:tc>
        <w:tc>
          <w:tcPr>
            <w:tcW w:w="1953" w:type="dxa"/>
          </w:tcPr>
          <w:p w14:paraId="5E1ED20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 w:leftChars="0"/>
              <w:textAlignment w:val="baseline"/>
            </w:pPr>
            <w:r>
              <w:rPr>
                <w:rFonts w:hint="eastAsia"/>
                <w:spacing w:val="-3"/>
                <w:lang w:val="en-US" w:eastAsia="zh-CN"/>
              </w:rPr>
              <w:t>史晓玲</w:t>
            </w:r>
          </w:p>
        </w:tc>
      </w:tr>
      <w:tr w14:paraId="454DE0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3F73843D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39" w:lineRule="auto"/>
              <w:ind w:left="709"/>
              <w:textAlignment w:val="baseline"/>
            </w:pPr>
          </w:p>
        </w:tc>
        <w:tc>
          <w:tcPr>
            <w:tcW w:w="1413" w:type="dxa"/>
          </w:tcPr>
          <w:p w14:paraId="445DFF7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/>
              <w:ind w:left="290"/>
              <w:textAlignment w:val="baseline"/>
            </w:pPr>
          </w:p>
        </w:tc>
        <w:tc>
          <w:tcPr>
            <w:tcW w:w="2302" w:type="dxa"/>
          </w:tcPr>
          <w:p w14:paraId="3709ADCC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7EA085D6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8" w:lineRule="auto"/>
              <w:ind w:left="576"/>
              <w:textAlignment w:val="baseline"/>
            </w:pPr>
          </w:p>
        </w:tc>
        <w:tc>
          <w:tcPr>
            <w:tcW w:w="1953" w:type="dxa"/>
          </w:tcPr>
          <w:p w14:paraId="7D63F80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20" w:lineRule="auto"/>
              <w:ind w:left="672"/>
              <w:textAlignment w:val="baseline"/>
            </w:pPr>
          </w:p>
        </w:tc>
      </w:tr>
      <w:tr w14:paraId="14CEDF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3DEA3695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 w:line="239" w:lineRule="auto"/>
              <w:ind w:left="709"/>
              <w:textAlignment w:val="baseline"/>
            </w:pPr>
          </w:p>
        </w:tc>
        <w:tc>
          <w:tcPr>
            <w:tcW w:w="1413" w:type="dxa"/>
          </w:tcPr>
          <w:p w14:paraId="1BD8012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3"/>
              <w:ind w:left="290"/>
              <w:textAlignment w:val="baseline"/>
            </w:pPr>
          </w:p>
        </w:tc>
        <w:tc>
          <w:tcPr>
            <w:tcW w:w="2302" w:type="dxa"/>
          </w:tcPr>
          <w:p w14:paraId="05162DA9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7D8B60C0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28" w:lineRule="auto"/>
              <w:ind w:left="576"/>
              <w:textAlignment w:val="baseline"/>
            </w:pPr>
          </w:p>
        </w:tc>
        <w:tc>
          <w:tcPr>
            <w:tcW w:w="1953" w:type="dxa"/>
          </w:tcPr>
          <w:p w14:paraId="7D676888">
            <w:pPr>
              <w:pStyle w:val="2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20" w:lineRule="auto"/>
              <w:ind w:left="672"/>
              <w:textAlignment w:val="baseline"/>
            </w:pPr>
          </w:p>
        </w:tc>
      </w:tr>
      <w:tr w14:paraId="6327AA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3B2DB1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58C0A0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34947C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28672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E34FA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CC020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0BC5D1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65A0C1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190E6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DE43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3E3B2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27C0DDA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pacing w:val="-1"/>
          <w:sz w:val="36"/>
          <w:szCs w:val="36"/>
        </w:rPr>
      </w:pPr>
      <w:r>
        <w:rPr>
          <w:rFonts w:ascii="宋体" w:hAnsi="宋体" w:eastAsia="宋体" w:cs="宋体"/>
          <w:spacing w:val="-1"/>
          <w:sz w:val="36"/>
          <w:szCs w:val="36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35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spacing w:val="-1"/>
          <w:kern w:val="0"/>
          <w:sz w:val="24"/>
          <w:szCs w:val="24"/>
          <w:lang w:val="en-US" w:eastAsia="en-US" w:bidi="ar-SA"/>
        </w:rPr>
      </w:sdtEndPr>
      <w:sdtContent>
        <w:p w14:paraId="3ADED50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1CD517F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_Toc12116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2026年运维相关人员管理计划</w:t>
          </w:r>
          <w:r>
            <w:tab/>
          </w:r>
          <w:r>
            <w:fldChar w:fldCharType="begin"/>
          </w:r>
          <w:r>
            <w:instrText xml:space="preserve"> PAGEREF _Toc12116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1F6BDE50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_Toc17303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_Toc17303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3FDEC17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_Toc1380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36"/>
              <w:lang w:val="en-US" w:eastAsia="zh-CN"/>
            </w:rPr>
            <w:t>2026年1月4日</w:t>
          </w:r>
          <w:r>
            <w:tab/>
          </w:r>
          <w:r>
            <w:fldChar w:fldCharType="begin"/>
          </w:r>
          <w:r>
            <w:instrText xml:space="preserve"> PAGEREF _Toc1380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640B22D2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_Toc5872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_Toc5872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031B691">
          <w:pPr>
            <w:pStyle w:val="16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_Toc9575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计划</w:t>
          </w:r>
          <w:r>
            <w:tab/>
          </w:r>
          <w:r>
            <w:fldChar w:fldCharType="begin"/>
          </w:r>
          <w:r>
            <w:instrText xml:space="preserve"> PAGEREF _Toc9575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1DA5FCE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_Toc6366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招聘计划</w:t>
          </w:r>
          <w:r>
            <w:tab/>
          </w:r>
          <w:r>
            <w:fldChar w:fldCharType="begin"/>
          </w:r>
          <w:r>
            <w:instrText xml:space="preserve"> PAGEREF _Toc6366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BAFB4ED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_Toc26965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储备计划</w:t>
          </w:r>
          <w:r>
            <w:tab/>
          </w:r>
          <w:r>
            <w:fldChar w:fldCharType="begin"/>
          </w:r>
          <w:r>
            <w:instrText xml:space="preserve"> PAGEREF _Toc26965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0119200C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_Toc8453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培训计划</w:t>
          </w:r>
          <w:r>
            <w:tab/>
          </w:r>
          <w:r>
            <w:fldChar w:fldCharType="begin"/>
          </w:r>
          <w:r>
            <w:instrText xml:space="preserve"> PAGEREF _Toc8453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39DFEE55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_Toc16811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 备份计划</w:t>
          </w:r>
          <w:r>
            <w:tab/>
          </w:r>
          <w:r>
            <w:fldChar w:fldCharType="begin"/>
          </w:r>
          <w:r>
            <w:instrText xml:space="preserve"> PAGEREF _Toc16811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2FD9E749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_Toc32717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1.5. 绩效考核计划</w:t>
          </w:r>
          <w:r>
            <w:tab/>
          </w:r>
          <w:r>
            <w:fldChar w:fldCharType="begin"/>
          </w:r>
          <w:r>
            <w:instrText xml:space="preserve"> PAGEREF _Toc32717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79D8FF15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_Toc16282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1.6. 技能职级评定</w:t>
          </w:r>
          <w:r>
            <w:tab/>
          </w:r>
          <w:r>
            <w:fldChar w:fldCharType="begin"/>
          </w:r>
          <w:r>
            <w:instrText xml:space="preserve"> PAGEREF _Toc16282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2D45F5AC">
          <w:pPr>
            <w:pStyle w:val="17"/>
            <w:tabs>
              <w:tab w:val="right" w:leader="dot" w:pos="8306"/>
            </w:tabs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instrText xml:space="preserve"> HYPERLINK \l _Toc16965 </w:instrText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1.7. 培训经费管理</w:t>
          </w:r>
          <w:r>
            <w:tab/>
          </w:r>
          <w:r>
            <w:fldChar w:fldCharType="begin"/>
          </w:r>
          <w:r>
            <w:instrText xml:space="preserve"> PAGEREF _Toc16965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  <w:p w14:paraId="43D10D9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spacing w:val="-1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pacing w:val="-1"/>
              <w:szCs w:val="24"/>
            </w:rPr>
            <w:fldChar w:fldCharType="end"/>
          </w:r>
        </w:p>
      </w:sdtContent>
    </w:sdt>
    <w:p w14:paraId="353348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napToGrid w:val="0"/>
          <w:color w:val="000000"/>
          <w:spacing w:val="-1"/>
          <w:kern w:val="0"/>
          <w:sz w:val="21"/>
          <w:szCs w:val="36"/>
          <w:lang w:val="en-US" w:eastAsia="en-US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671952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9575"/>
      <w:r>
        <w:rPr>
          <w:rFonts w:hint="default"/>
          <w:lang w:val="en-US" w:eastAsia="zh-CN"/>
        </w:rPr>
        <w:t>计划</w:t>
      </w:r>
      <w:bookmarkEnd w:id="4"/>
    </w:p>
    <w:p w14:paraId="243A9A6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6366"/>
      <w:r>
        <w:rPr>
          <w:rFonts w:hint="default"/>
          <w:lang w:val="en-US" w:eastAsia="zh-CN"/>
        </w:rPr>
        <w:t>招聘计划</w:t>
      </w:r>
      <w:bookmarkEnd w:id="5"/>
    </w:p>
    <w:p w14:paraId="4BB7E0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人员招聘的目的是为了满足2026年运维业务发展的需要，补充项目人员缺口，保障新增运维项目的顺利开展，同时降低在岗人员的工作压力，保证服务的持续性。本招聘方案主要服务于2026年1月-2026年12月运维服务相关岗位的招聘工作，旨在定义招聘岗位、招聘人数、招聘完成时间、招聘方式。</w:t>
      </w:r>
    </w:p>
    <w:p w14:paraId="630D91B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基于2025年运维业务完成情况（运维业务收入超1200万）及2026年业务发展目标，结合现有人员离职率预测和项目新增需求，2026年计划招聘运维相关人员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7</w:t>
      </w: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人，包括运维实施工程师、网络工程师、数据库工程师等岗位。招聘渠道以网络招聘为主，校园招聘和内部推荐为辅。</w:t>
      </w:r>
    </w:p>
    <w:p w14:paraId="249D288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具体招聘计划如下：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8"/>
        <w:gridCol w:w="1507"/>
        <w:gridCol w:w="1507"/>
        <w:gridCol w:w="2001"/>
        <w:gridCol w:w="1509"/>
      </w:tblGrid>
      <w:tr w14:paraId="521FB0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99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4DEC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岗位名称</w:t>
            </w:r>
          </w:p>
        </w:tc>
        <w:tc>
          <w:tcPr>
            <w:tcW w:w="150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D68A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招聘人数</w:t>
            </w:r>
          </w:p>
        </w:tc>
        <w:tc>
          <w:tcPr>
            <w:tcW w:w="150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53EB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  <w:tc>
          <w:tcPr>
            <w:tcW w:w="20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F4C4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预计到岗日期</w:t>
            </w:r>
          </w:p>
        </w:tc>
        <w:tc>
          <w:tcPr>
            <w:tcW w:w="150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1057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招聘方式</w:t>
            </w:r>
          </w:p>
        </w:tc>
      </w:tr>
      <w:tr w14:paraId="259FA3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CE98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DA9E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DD20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AE799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2026年3月</w:t>
            </w:r>
          </w:p>
        </w:tc>
        <w:tc>
          <w:tcPr>
            <w:tcW w:w="15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B01C0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  <w:tr w14:paraId="3AE22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35B4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网络工程师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1C83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1F8C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02B3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</w:t>
            </w:r>
          </w:p>
        </w:tc>
        <w:tc>
          <w:tcPr>
            <w:tcW w:w="15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57E1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  <w:tr w14:paraId="39A127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0E88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数据库工程师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7A3A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76C7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F961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</w:t>
            </w:r>
          </w:p>
        </w:tc>
        <w:tc>
          <w:tcPr>
            <w:tcW w:w="15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DFE17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  <w:tr w14:paraId="0CD53C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AA0D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5350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EEA9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532E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2026年6月</w:t>
            </w:r>
          </w:p>
        </w:tc>
        <w:tc>
          <w:tcPr>
            <w:tcW w:w="15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D83E9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  <w:tr w14:paraId="13205F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99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A901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9C6E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5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E208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20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40BE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2026年7月</w:t>
            </w:r>
          </w:p>
        </w:tc>
        <w:tc>
          <w:tcPr>
            <w:tcW w:w="15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F263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外聘</w:t>
            </w:r>
          </w:p>
        </w:tc>
      </w:tr>
    </w:tbl>
    <w:p w14:paraId="259D179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6965"/>
      <w:r>
        <w:rPr>
          <w:rFonts w:hint="default"/>
          <w:lang w:val="en-US" w:eastAsia="zh-CN"/>
        </w:rPr>
        <w:t>储备计划</w:t>
      </w:r>
      <w:bookmarkEnd w:id="6"/>
    </w:p>
    <w:p w14:paraId="11569CE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根据2026年公司业务发展规划和人才梯队建设需求，本着加强骨干和核心骨干队伍的建设，优化公司人员结构，加强员工岗位竞争晋升氛围，特进行人员储备。综合部会同各部门进行关键岗位识别，确定运维部经理、运维项目经理、技术骨干等为关键岗位。依据储备方式为该岗位的低一级岗位确定储备对象，并对储备人员进行培养、培训以及考核。</w:t>
      </w:r>
    </w:p>
    <w:p w14:paraId="56C76D1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储备计划如下：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3"/>
        <w:gridCol w:w="1489"/>
        <w:gridCol w:w="1489"/>
        <w:gridCol w:w="1975"/>
        <w:gridCol w:w="1489"/>
      </w:tblGrid>
      <w:tr w14:paraId="045F47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34153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岗位名称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343A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储备人数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9519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A88F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预计到岗日期</w:t>
            </w:r>
          </w:p>
        </w:tc>
        <w:tc>
          <w:tcPr>
            <w:tcW w:w="14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C9C9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储备方式</w:t>
            </w:r>
          </w:p>
        </w:tc>
      </w:tr>
      <w:tr w14:paraId="1DD93D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B3FB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498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D3E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4BD5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A125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</w:tr>
      <w:tr w14:paraId="410BBA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2655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1914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66C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8087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2026年6月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4136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</w:tr>
      <w:tr w14:paraId="162E7A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C020A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6E2B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74E1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F6DA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2026年8月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E900F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</w:tr>
      <w:tr w14:paraId="0ABF7A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05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A3B5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系统架构师</w:t>
            </w:r>
            <w:bookmarkStart w:id="12" w:name="_GoBack"/>
            <w:bookmarkEnd w:id="12"/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5CB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1人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9379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19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9A21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2026年10月</w:t>
            </w:r>
          </w:p>
        </w:tc>
        <w:tc>
          <w:tcPr>
            <w:tcW w:w="14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DF84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内部培养</w:t>
            </w:r>
          </w:p>
        </w:tc>
      </w:tr>
    </w:tbl>
    <w:p w14:paraId="1E99A3B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8453"/>
      <w:r>
        <w:rPr>
          <w:rFonts w:hint="default"/>
          <w:lang w:val="en-US" w:eastAsia="zh-CN"/>
        </w:rPr>
        <w:t>培训计划</w:t>
      </w:r>
      <w:bookmarkEnd w:id="7"/>
    </w:p>
    <w:p w14:paraId="2EDC1A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为改善公司各级各类员工的知识结构，提升员工的综合素质，满足公司2026年业务发展需要，综合部根据各部门的培训需求，对培训计划进行汇总、分类，明确参训对象、培训时间、培训方式，匹配讲师与培训课程，有效组织培训。</w:t>
      </w:r>
    </w:p>
    <w:p w14:paraId="17A0D4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培训课程包括通用类、技术类、流程规范类、管理类等。在2025年培训工作的基础上，2026年将重点加强以下方面：</w:t>
      </w:r>
    </w:p>
    <w:p w14:paraId="408FCA8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一是深化ITSS标准理解与应用，确保体系落地执行；</w:t>
      </w:r>
    </w:p>
    <w:p w14:paraId="3003C29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二是加强新技术培训，包括云计算、容器化、自动化运维等前沿技术；</w:t>
      </w:r>
    </w:p>
    <w:p w14:paraId="28B3604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三是强化服务意识和沟通技巧培训，提升客户满意度；</w:t>
      </w:r>
    </w:p>
    <w:p w14:paraId="2DFD26D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四是针对2025年内审发现的问题，加强对服务知识管理和最终软件库管理的专项培训。</w:t>
      </w:r>
    </w:p>
    <w:p w14:paraId="2196DB9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培训计划如下：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7"/>
        <w:gridCol w:w="3010"/>
        <w:gridCol w:w="2754"/>
        <w:gridCol w:w="1399"/>
        <w:gridCol w:w="732"/>
      </w:tblGrid>
      <w:tr w14:paraId="3ED3E3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43A02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编号</w:t>
            </w:r>
          </w:p>
        </w:tc>
        <w:tc>
          <w:tcPr>
            <w:tcW w:w="301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7964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培训内容</w:t>
            </w:r>
          </w:p>
        </w:tc>
        <w:tc>
          <w:tcPr>
            <w:tcW w:w="275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0C5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培训对象</w:t>
            </w:r>
          </w:p>
        </w:tc>
        <w:tc>
          <w:tcPr>
            <w:tcW w:w="139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666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培训人员</w:t>
            </w:r>
          </w:p>
        </w:tc>
        <w:tc>
          <w:tcPr>
            <w:tcW w:w="73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40B3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时间</w:t>
            </w:r>
          </w:p>
        </w:tc>
      </w:tr>
      <w:tr w14:paraId="1B4D4C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A0E2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6E8B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ITSS标准深化培训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0FBEA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运维服务相关人员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4D8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4B747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1月</w:t>
            </w:r>
          </w:p>
        </w:tc>
      </w:tr>
      <w:tr w14:paraId="5340D8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97310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6F29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运维服务工具使用（进阶）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D9EE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5D8E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8941A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1月</w:t>
            </w:r>
          </w:p>
        </w:tc>
      </w:tr>
      <w:tr w14:paraId="10E371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763D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FD05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入职培训（包括制度与企业文化）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59D4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新入职员工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7172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各模块负责人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1E6CC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28CF1F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712A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C479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公司产品培训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3AAB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F67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339D8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1A4935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A7F5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5.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DB4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自动化运维技术培训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BE3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运维工程师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A740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7C98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02424E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773F6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942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运维服务知识管理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5B40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全体运维人员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B6C5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7927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0C6A4C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B92E7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0DE9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运维服务制度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43B4D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各相关部门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402F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C4C4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3月</w:t>
            </w:r>
          </w:p>
        </w:tc>
      </w:tr>
      <w:tr w14:paraId="44F9C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5B76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8.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1722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高级开发培训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91815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研发部全员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1695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孙凯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6E141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612069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8E0E3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FD851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开发规范及代码质量介绍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41DF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研发部全员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8302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孙凯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4DA6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05654C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18FB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10.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9A49A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信息、数据安全常识及应对策略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61F0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运维项目经理、安全检测工程师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DE82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45045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6C8C58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C704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11.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F2F4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服务台人员操作流程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EF17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服务台全员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2745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徐丽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F51C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29C8F0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22ABB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12.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D756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应急响应规范与应急预案培训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EA44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E7AD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郑云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35C0F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40E52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D81E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13.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3AC6C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ITSS标准培训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4456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运维服务相关人员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41E7A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3BFE5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4月</w:t>
            </w:r>
          </w:p>
        </w:tc>
      </w:tr>
      <w:tr w14:paraId="0A17F1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EFFC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14.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2DB5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云原生与容器技术（Docker/K8s）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066A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运维部、研发部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B17F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70AA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5月</w:t>
            </w:r>
          </w:p>
        </w:tc>
      </w:tr>
      <w:tr w14:paraId="63F73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FC92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15.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CCD7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入职培训（包括制度与企业文化）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00A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新入职员工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4E8A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各模块负责人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F8C0A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719DA5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6E62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16.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AA95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公司产品培训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D5AA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B735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0004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4E1694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7B86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17.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3EF9C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数据库高级运维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D941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运维部、研发部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C783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C94F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580F14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8DFD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18.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780B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IT服务项目经理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C9BB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部分人员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130E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D5043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3EAADD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1651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19.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9F80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运维服务工具使用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B4F4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AFE2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1977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6月</w:t>
            </w:r>
          </w:p>
        </w:tc>
      </w:tr>
      <w:tr w14:paraId="30285C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22FC0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20.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6D5F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客户沟通与服务技巧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1197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BFA0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29D2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7月</w:t>
            </w:r>
          </w:p>
        </w:tc>
      </w:tr>
      <w:tr w14:paraId="200EE0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EE11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21.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380A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云数据中心建设模式和网络安全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907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运维项目经理、安全检测工程师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BEBE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6F744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7月</w:t>
            </w:r>
          </w:p>
        </w:tc>
      </w:tr>
      <w:tr w14:paraId="39657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41210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22.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8C49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交付规范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95CE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172A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0132A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7月</w:t>
            </w:r>
          </w:p>
        </w:tc>
      </w:tr>
      <w:tr w14:paraId="70D9A6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7481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23.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B24A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运维服务制度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7B5D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各相关部门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ED16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BDE6C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7月</w:t>
            </w:r>
          </w:p>
        </w:tc>
      </w:tr>
      <w:tr w14:paraId="5260A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6D233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24.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827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高级开发培训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D20B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研发部全员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AB9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孙凯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C127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8月</w:t>
            </w:r>
          </w:p>
        </w:tc>
      </w:tr>
      <w:tr w14:paraId="00CFA2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4AE7C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25.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2BC8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开发规范及代码质量介绍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02FD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研发部全员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2690B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孙凯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66268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8月</w:t>
            </w:r>
          </w:p>
        </w:tc>
      </w:tr>
      <w:tr w14:paraId="2B096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1A3FB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26.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54A6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入职培训（包括制度与企业文化）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3D4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新入职员工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1334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各模块负责人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30150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1D1151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4E9A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27.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6D71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公司产品培训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833B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5AA6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C8FD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65069E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43ED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28.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B2B2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信息、数据安全常识及应对策略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A14E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运维项目经理、安全检测工程师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630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E376C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7AAFF5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3D2967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29.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5226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产品测试用例编写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F85B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运维部、研发部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85FC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00A95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249108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C963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30.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B4CC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运维服务服务知识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545E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全体运维人员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6716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02583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1884A8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AC9B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31.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933D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服务台人员操作流程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B1D3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服务台全员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BD15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徐丽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3D9F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0182AD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6D517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32.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019B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应急响应规范与应急预案培训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5E1A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运维项目经理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42CA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郑云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908A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9月</w:t>
            </w:r>
          </w:p>
        </w:tc>
      </w:tr>
      <w:tr w14:paraId="5B0455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14FBC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33.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496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最终软件库管理培训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C572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研发部、运维部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111E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8908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10月</w:t>
            </w:r>
          </w:p>
        </w:tc>
      </w:tr>
      <w:tr w14:paraId="421A4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BF32EA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34.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C42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职场沟通与团队协作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BF25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42EE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外聘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48D60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11月</w:t>
            </w:r>
          </w:p>
        </w:tc>
      </w:tr>
      <w:tr w14:paraId="6AC50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C26A3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35.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3D5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入职培训（包括制度与企业文化）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4010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新入职员工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A08A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各模块负责人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42524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12月</w:t>
            </w:r>
          </w:p>
        </w:tc>
      </w:tr>
      <w:tr w14:paraId="39E0E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A60D1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36.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276B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公司产品培训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B4C9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公司全员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26C6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王朋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6E7A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12月</w:t>
            </w:r>
          </w:p>
        </w:tc>
      </w:tr>
      <w:tr w14:paraId="69330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EAD2AF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37.</w:t>
            </w:r>
          </w:p>
        </w:tc>
        <w:tc>
          <w:tcPr>
            <w:tcW w:w="30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C00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年度技术总结与分享</w:t>
            </w:r>
          </w:p>
        </w:tc>
        <w:tc>
          <w:tcPr>
            <w:tcW w:w="27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D319A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研发部、运维部</w:t>
            </w:r>
          </w:p>
        </w:tc>
        <w:tc>
          <w:tcPr>
            <w:tcW w:w="13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C70B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孙凯</w:t>
            </w:r>
          </w:p>
        </w:tc>
        <w:tc>
          <w:tcPr>
            <w:tcW w:w="7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00019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5"/>
                <w:szCs w:val="15"/>
                <w:lang w:val="en-US" w:eastAsia="zh-CN" w:bidi="ar"/>
              </w:rPr>
              <w:t>12月</w:t>
            </w:r>
          </w:p>
        </w:tc>
      </w:tr>
    </w:tbl>
    <w:p w14:paraId="5528382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D5337C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6811"/>
      <w:r>
        <w:rPr>
          <w:rFonts w:hint="default"/>
          <w:lang w:val="en-US" w:eastAsia="zh-CN"/>
        </w:rPr>
        <w:t>备份计划</w:t>
      </w:r>
      <w:bookmarkEnd w:id="8"/>
    </w:p>
    <w:p w14:paraId="0322D4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为支撑2026年度业务发展目标，保障关键岗位工作连续性，公司继续推行AB岗备份机制。针对运维部经理、运维项目经理、研发部经理、备件库经理等核心岗位，为每位在岗人员（A岗）预先配置一名或多名备份人员（B岗）。</w:t>
      </w:r>
    </w:p>
    <w:p w14:paraId="5D37B43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B岗人员将通过系统的知识传递与流程培训，提前掌握A岗的核心职责与应急处置流程。在A岗休假期间，B岗将全面代理其日常运维、事件响应及相关职责，确保业务平稳过渡、责任不断档。</w:t>
      </w:r>
    </w:p>
    <w:p w14:paraId="1EE4BFE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基于2025年备份计划执行情况（备份成功率达到100%），2026年备份计划如下：</w:t>
      </w:r>
    </w:p>
    <w:tbl>
      <w:tblPr>
        <w:tblStyle w:val="20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29"/>
        <w:gridCol w:w="1880"/>
        <w:gridCol w:w="2111"/>
        <w:gridCol w:w="1887"/>
        <w:gridCol w:w="1888"/>
      </w:tblGrid>
      <w:tr w14:paraId="03C38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73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A524B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8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D75C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A岗位</w:t>
            </w:r>
          </w:p>
        </w:tc>
        <w:tc>
          <w:tcPr>
            <w:tcW w:w="21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62A8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B岗</w:t>
            </w:r>
          </w:p>
        </w:tc>
        <w:tc>
          <w:tcPr>
            <w:tcW w:w="188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F063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计划备份人数</w:t>
            </w:r>
          </w:p>
        </w:tc>
        <w:tc>
          <w:tcPr>
            <w:tcW w:w="188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3CB94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计划完成时间</w:t>
            </w:r>
          </w:p>
        </w:tc>
      </w:tr>
      <w:tr w14:paraId="4A4383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85030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D61B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26BE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3966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D652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2026年3月</w:t>
            </w:r>
          </w:p>
        </w:tc>
      </w:tr>
      <w:tr w14:paraId="253CAC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E6AA9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41C5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BCE6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3399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F5922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2026年4月</w:t>
            </w:r>
          </w:p>
        </w:tc>
      </w:tr>
      <w:tr w14:paraId="07AC94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DAD1C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1535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EA4F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系统架构师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3C1A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ABE3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2026年6月</w:t>
            </w:r>
          </w:p>
        </w:tc>
      </w:tr>
      <w:tr w14:paraId="4CBB82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F26A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3599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备件库经理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E7F5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备件库管理专员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846C1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B0CF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2026年6月</w:t>
            </w:r>
          </w:p>
        </w:tc>
      </w:tr>
      <w:tr w14:paraId="3374A4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7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14E0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5.</w:t>
            </w:r>
          </w:p>
        </w:tc>
        <w:tc>
          <w:tcPr>
            <w:tcW w:w="18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DA10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质量部经理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79B3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质量管理专员</w:t>
            </w:r>
          </w:p>
        </w:tc>
        <w:tc>
          <w:tcPr>
            <w:tcW w:w="18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4A6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8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99A8C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2026年7月</w:t>
            </w:r>
          </w:p>
        </w:tc>
      </w:tr>
    </w:tbl>
    <w:p w14:paraId="31D556B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2717"/>
      <w:r>
        <w:rPr>
          <w:rFonts w:hint="default"/>
          <w:lang w:val="en-US" w:eastAsia="zh-CN"/>
        </w:rPr>
        <w:t>绩效考核计划</w:t>
      </w:r>
      <w:bookmarkEnd w:id="9"/>
    </w:p>
    <w:p w14:paraId="2BB730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为促进和提高公司经营效率，激发员工积极性，了解和考评员工在各考评时段完成的目标及相关职责情况，2026年继续执行月度考核制度。</w:t>
      </w:r>
    </w:p>
    <w:p w14:paraId="0933F8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月度考评时段为各自然月，考评实施时间为次月1日-4日，遇节假日提前完成。新入职人员当月出勤不满十五天者不参加月度考评。</w:t>
      </w:r>
    </w:p>
    <w:p w14:paraId="31357D6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考核指标方面，2026年继续执行月度考核合格率≥95%的目标。针对2025年考核情况（全年合格率均≥95%），2026年将进一步优化考核指标的差异化设置，使不同岗位的考核更具针对性。月度考评实施计划如下：</w:t>
      </w:r>
    </w:p>
    <w:tbl>
      <w:tblPr>
        <w:tblStyle w:val="21"/>
        <w:tblW w:w="8495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2"/>
        <w:gridCol w:w="1429"/>
        <w:gridCol w:w="871"/>
        <w:gridCol w:w="1805"/>
        <w:gridCol w:w="3788"/>
      </w:tblGrid>
      <w:tr w14:paraId="3004E17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52B9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F7BC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考评工作</w:t>
            </w:r>
          </w:p>
        </w:tc>
        <w:tc>
          <w:tcPr>
            <w:tcW w:w="8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252DF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A8AB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责任部门/人</w:t>
            </w:r>
          </w:p>
        </w:tc>
        <w:tc>
          <w:tcPr>
            <w:tcW w:w="378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662F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b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备注</w:t>
            </w:r>
          </w:p>
        </w:tc>
      </w:tr>
      <w:tr w14:paraId="49A36FF8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A35B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CA5E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员工总结/自评</w:t>
            </w:r>
          </w:p>
        </w:tc>
        <w:tc>
          <w:tcPr>
            <w:tcW w:w="8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D01E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DDDC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被考评人</w:t>
            </w:r>
          </w:p>
        </w:tc>
        <w:tc>
          <w:tcPr>
            <w:tcW w:w="3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661F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每月的工作计划/目标</w:t>
            </w:r>
          </w:p>
        </w:tc>
      </w:tr>
      <w:tr w14:paraId="2ED4578E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32DB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CA99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主管评价</w:t>
            </w:r>
          </w:p>
        </w:tc>
        <w:tc>
          <w:tcPr>
            <w:tcW w:w="8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9404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2-3日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E6ED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直属主管/间接主管</w:t>
            </w:r>
          </w:p>
        </w:tc>
        <w:tc>
          <w:tcPr>
            <w:tcW w:w="378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81AD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直属主管填写评语和考评等级，间接主管确认</w:t>
            </w:r>
          </w:p>
        </w:tc>
      </w:tr>
      <w:tr w14:paraId="7BFCE42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0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0656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AEF32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成绩汇总</w:t>
            </w:r>
          </w:p>
        </w:tc>
        <w:tc>
          <w:tcPr>
            <w:tcW w:w="8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F9BA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4日</w:t>
            </w:r>
          </w:p>
        </w:tc>
        <w:tc>
          <w:tcPr>
            <w:tcW w:w="18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8842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综合部</w:t>
            </w:r>
          </w:p>
        </w:tc>
        <w:tc>
          <w:tcPr>
            <w:tcW w:w="37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40AB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宋体" w:eastAsia="Segoe UI" w:cs="宋体"/>
                <w:spacing w:val="-1"/>
                <w:sz w:val="18"/>
                <w:szCs w:val="24"/>
                <w:vertAlign w:val="baseline"/>
                <w:lang w:val="en-US" w:eastAsia="zh-CN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汇总考核成绩</w:t>
            </w:r>
          </w:p>
        </w:tc>
      </w:tr>
    </w:tbl>
    <w:p w14:paraId="252404F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</w:p>
    <w:p w14:paraId="3BFA9A9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6282"/>
      <w:r>
        <w:rPr>
          <w:rFonts w:hint="default"/>
          <w:lang w:val="en-US" w:eastAsia="zh-CN"/>
        </w:rPr>
        <w:t>技能职级评定</w:t>
      </w:r>
      <w:bookmarkEnd w:id="10"/>
    </w:p>
    <w:p w14:paraId="135179D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为提升员工主动提升服务能力的积极性，加快技能人才培养，不断提高运维服务团队专业技能素质，2026年继续执行技能评价制度。</w:t>
      </w:r>
    </w:p>
    <w:p w14:paraId="7BA9D07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由综合部经理组织相关专家领导成立技能评价小组，结合岗位发展通道，激励员工不断提高其岗位胜任能力。依据《技能评价管理制度》，技能评价计划于2026年12月第一周进行。</w:t>
      </w:r>
    </w:p>
    <w:p w14:paraId="1E6C04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技能评价覆盖范围包括运维工程师、网络工程师、数据库工程师等所有技术岗位，评价结果作为薪资调整和岗位晋升的依据。</w:t>
      </w:r>
    </w:p>
    <w:p w14:paraId="3B77632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6965"/>
      <w:r>
        <w:rPr>
          <w:rFonts w:hint="default"/>
          <w:lang w:val="en-US" w:eastAsia="zh-CN"/>
        </w:rPr>
        <w:t>培训经费管理</w:t>
      </w:r>
      <w:bookmarkEnd w:id="11"/>
    </w:p>
    <w:p w14:paraId="7F969B1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为保障2026年度培训计划的顺利实施，公司继续设立专项培训经费，由综合部统筹管理。具体安排如下：</w:t>
      </w:r>
    </w:p>
    <w:p w14:paraId="3FADE2C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经费预算：2026年度培训经费预算总额为人民币12万元（大写：拾贰万元整），较2025年增加2万元，主要用于新增技术培训课程和外聘讲师费用。</w:t>
      </w:r>
    </w:p>
    <w:p w14:paraId="3E6FF5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经费使用范围：包括内部培训资料费、外聘讲师授课费、外部培训学费、培训场地费、培训设备租赁费、员工外派培训交通住宿费等。</w:t>
      </w:r>
    </w:p>
    <w:p w14:paraId="306525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经费审批流程：单次培训费用在2000元（含）以下的，由综合部经理审批；2000元以上至5000元的，由副总经理审批；5000元以上的，由总经理审批。</w:t>
      </w:r>
    </w:p>
    <w:p w14:paraId="1A14FD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  <w:t>经费使用记录：综合部建立培训经费使用台账，记录每笔经费的支出用途、金额、审批人等信息，确保经费使用可追溯、可审计。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6E3E64"/>
    <w:rsid w:val="08B91176"/>
    <w:rsid w:val="0B7F70D3"/>
    <w:rsid w:val="0BDC6D23"/>
    <w:rsid w:val="172C4788"/>
    <w:rsid w:val="179E31D7"/>
    <w:rsid w:val="1B1464DA"/>
    <w:rsid w:val="1C0A31FF"/>
    <w:rsid w:val="1E2F7187"/>
    <w:rsid w:val="1FAF4A23"/>
    <w:rsid w:val="201523AC"/>
    <w:rsid w:val="263C2D91"/>
    <w:rsid w:val="2B0C3777"/>
    <w:rsid w:val="2C8763E0"/>
    <w:rsid w:val="2DAD1E76"/>
    <w:rsid w:val="2E6703FE"/>
    <w:rsid w:val="2F4A02C4"/>
    <w:rsid w:val="30E91417"/>
    <w:rsid w:val="35026CE9"/>
    <w:rsid w:val="35690D78"/>
    <w:rsid w:val="39504729"/>
    <w:rsid w:val="3C240538"/>
    <w:rsid w:val="3CE358B4"/>
    <w:rsid w:val="3FB4306E"/>
    <w:rsid w:val="49AD34D2"/>
    <w:rsid w:val="4A9B77CE"/>
    <w:rsid w:val="52F65EE9"/>
    <w:rsid w:val="59345076"/>
    <w:rsid w:val="634A36E8"/>
    <w:rsid w:val="689510AD"/>
    <w:rsid w:val="6BBB2063"/>
    <w:rsid w:val="6EC24A7A"/>
    <w:rsid w:val="78241E78"/>
    <w:rsid w:val="7B590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5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font11"/>
    <w:basedOn w:val="22"/>
    <w:qFormat/>
    <w:uiPriority w:val="0"/>
    <w:rPr>
      <w:rFonts w:hint="eastAsia" w:ascii="宋体" w:hAnsi="宋体" w:eastAsia="宋体" w:cs="宋体"/>
      <w:color w:val="000000"/>
      <w:sz w:val="16"/>
      <w:szCs w:val="16"/>
      <w:u w:val="none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1140</Words>
  <Characters>1275</Characters>
  <Lines>0</Lines>
  <Paragraphs>0</Paragraphs>
  <TotalTime>3</TotalTime>
  <ScaleCrop>false</ScaleCrop>
  <LinksUpToDate>false</LinksUpToDate>
  <CharactersWithSpaces>1319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2025-08-20T18:17:00Z</dcterms:created>
  <dc:creator>18442</dc:creator>
  <cp:lastModifiedBy>郝宇</cp:lastModifiedBy>
  <dcterms:modified xsi:type="dcterms:W3CDTF">2026-04-27T07:10:17Z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40959837A3054AD49241195A5D64FE80_12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