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9F66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1440"/>
        <w:textAlignment w:val="baseline"/>
      </w:pPr>
      <w:bookmarkStart w:id="0" w:name="_Toc24250"/>
    </w:p>
    <w:p w14:paraId="230F72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1440"/>
        <w:textAlignment w:val="baseline"/>
        <w:rPr>
          <w:rFonts w:hint="default"/>
        </w:rPr>
      </w:pPr>
      <w:r>
        <w:t>淮安生态新城信息系统运维服务</w:t>
      </w:r>
      <w:r>
        <w:br w:type="textWrapping"/>
      </w:r>
      <w:r>
        <w:t>项目可用性计划</w:t>
      </w:r>
      <w:bookmarkEnd w:id="0"/>
    </w:p>
    <w:p w14:paraId="08F87F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2160"/>
        <w:textAlignment w:val="baseline"/>
      </w:pPr>
      <w:bookmarkStart w:id="1" w:name="_Toc8888"/>
      <w:r>
        <w:t>江苏云储智能科技有限公司</w:t>
      </w:r>
      <w:bookmarkEnd w:id="1"/>
    </w:p>
    <w:p w14:paraId="617DBB0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7" w:line="219" w:lineRule="auto"/>
        <w:jc w:val="center"/>
        <w:textAlignment w:val="baseline"/>
        <w:rPr>
          <w:rFonts w:ascii="宋体" w:hAnsi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0A5D2D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tbl>
      <w:tblPr>
        <w:tblStyle w:val="30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65BD5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CD23A9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  <w:rPr>
                <w:sz w:val="20"/>
              </w:rPr>
            </w:pPr>
            <w:r>
              <w:rPr>
                <w:spacing w:val="-2"/>
                <w:sz w:val="20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37D8E6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  <w:rPr>
                <w:sz w:val="20"/>
              </w:rPr>
            </w:pPr>
            <w:r>
              <w:rPr>
                <w:rFonts w:hint="eastAsia"/>
                <w:spacing w:val="-1"/>
                <w:sz w:val="20"/>
                <w:lang w:eastAsia="zh-CN"/>
              </w:rPr>
              <w:t>可用性计划</w:t>
            </w:r>
            <w:r>
              <w:rPr>
                <w:spacing w:val="-1"/>
                <w:sz w:val="20"/>
              </w:rPr>
              <w:t>（JSYC-ITSS-</w:t>
            </w:r>
            <w:r>
              <w:rPr>
                <w:rFonts w:hint="eastAsia"/>
                <w:spacing w:val="-1"/>
                <w:sz w:val="20"/>
                <w:lang w:eastAsia="zh-CN"/>
              </w:rPr>
              <w:t>KYXJH</w:t>
            </w:r>
            <w:r>
              <w:rPr>
                <w:spacing w:val="-1"/>
                <w:sz w:val="20"/>
              </w:rPr>
              <w:t>）</w:t>
            </w:r>
          </w:p>
        </w:tc>
      </w:tr>
      <w:tr w14:paraId="3BE68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6D98ED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  <w:rPr>
                <w:sz w:val="20"/>
              </w:rPr>
            </w:pPr>
            <w:r>
              <w:rPr>
                <w:spacing w:val="-2"/>
                <w:sz w:val="20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16E307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sz w:val="20"/>
              </w:rPr>
            </w:pPr>
            <w:r>
              <w:rPr>
                <w:spacing w:val="-1"/>
                <w:sz w:val="20"/>
              </w:rPr>
              <w:t>江苏云储智能科技有限公司</w:t>
            </w:r>
          </w:p>
        </w:tc>
      </w:tr>
      <w:tr w14:paraId="32354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2AF6B6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  <w:rPr>
                <w:sz w:val="20"/>
              </w:rPr>
            </w:pPr>
            <w:r>
              <w:rPr>
                <w:spacing w:val="-2"/>
                <w:sz w:val="20"/>
              </w:rPr>
              <w:t>文档版本</w:t>
            </w:r>
          </w:p>
        </w:tc>
        <w:tc>
          <w:tcPr>
            <w:tcW w:w="1555" w:type="dxa"/>
          </w:tcPr>
          <w:p w14:paraId="266E974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  <w:rPr>
                <w:sz w:val="20"/>
              </w:rPr>
            </w:pPr>
            <w:r>
              <w:rPr>
                <w:spacing w:val="-2"/>
                <w:sz w:val="20"/>
              </w:rPr>
              <w:t>版本日期</w:t>
            </w:r>
          </w:p>
        </w:tc>
        <w:tc>
          <w:tcPr>
            <w:tcW w:w="2302" w:type="dxa"/>
          </w:tcPr>
          <w:p w14:paraId="6280418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sz w:val="20"/>
              </w:rPr>
            </w:pPr>
            <w:r>
              <w:rPr>
                <w:spacing w:val="-2"/>
                <w:sz w:val="20"/>
              </w:rPr>
              <w:t>版本说明</w:t>
            </w:r>
          </w:p>
        </w:tc>
        <w:tc>
          <w:tcPr>
            <w:tcW w:w="1557" w:type="dxa"/>
          </w:tcPr>
          <w:p w14:paraId="18F2DB9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  <w:rPr>
                <w:sz w:val="20"/>
              </w:rPr>
            </w:pPr>
            <w:r>
              <w:rPr>
                <w:spacing w:val="-3"/>
                <w:sz w:val="20"/>
              </w:rPr>
              <w:t>作者</w:t>
            </w:r>
          </w:p>
        </w:tc>
        <w:tc>
          <w:tcPr>
            <w:tcW w:w="1953" w:type="dxa"/>
          </w:tcPr>
          <w:p w14:paraId="4DC427D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  <w:rPr>
                <w:sz w:val="20"/>
              </w:rPr>
            </w:pPr>
            <w:r>
              <w:rPr>
                <w:spacing w:val="-5"/>
                <w:sz w:val="20"/>
              </w:rPr>
              <w:t>审核</w:t>
            </w:r>
          </w:p>
        </w:tc>
      </w:tr>
      <w:tr w14:paraId="05926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23F226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  <w:rPr>
                <w:sz w:val="20"/>
              </w:rPr>
            </w:pPr>
            <w:r>
              <w:rPr>
                <w:spacing w:val="-1"/>
                <w:sz w:val="20"/>
              </w:rPr>
              <w:t>V1.0</w:t>
            </w:r>
          </w:p>
        </w:tc>
        <w:tc>
          <w:tcPr>
            <w:tcW w:w="1555" w:type="dxa"/>
          </w:tcPr>
          <w:p w14:paraId="681238A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sz w:val="20"/>
              </w:rPr>
            </w:pPr>
            <w:r>
              <w:rPr>
                <w:spacing w:val="-2"/>
                <w:sz w:val="20"/>
              </w:rPr>
              <w:t>20</w:t>
            </w:r>
            <w:r>
              <w:rPr>
                <w:rFonts w:hint="eastAsia"/>
                <w:spacing w:val="-2"/>
                <w:sz w:val="20"/>
                <w:lang w:eastAsia="zh-CN"/>
              </w:rPr>
              <w:t>25</w:t>
            </w:r>
            <w:r>
              <w:rPr>
                <w:spacing w:val="-2"/>
                <w:sz w:val="20"/>
              </w:rPr>
              <w:t>-1-4</w:t>
            </w:r>
          </w:p>
        </w:tc>
        <w:tc>
          <w:tcPr>
            <w:tcW w:w="2302" w:type="dxa"/>
          </w:tcPr>
          <w:p w14:paraId="3AB65D2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  <w:rPr>
                <w:sz w:val="20"/>
              </w:rPr>
            </w:pPr>
            <w:r>
              <w:rPr>
                <w:spacing w:val="-3"/>
                <w:sz w:val="20"/>
              </w:rPr>
              <w:t>发布版本</w:t>
            </w:r>
          </w:p>
        </w:tc>
        <w:tc>
          <w:tcPr>
            <w:tcW w:w="1557" w:type="dxa"/>
          </w:tcPr>
          <w:p w14:paraId="75892CA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王朋</w:t>
            </w:r>
          </w:p>
        </w:tc>
        <w:tc>
          <w:tcPr>
            <w:tcW w:w="1953" w:type="dxa"/>
          </w:tcPr>
          <w:p w14:paraId="0EA5B3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  <w:rPr>
                <w:sz w:val="20"/>
              </w:rPr>
            </w:pPr>
            <w:r>
              <w:rPr>
                <w:spacing w:val="-3"/>
                <w:sz w:val="20"/>
              </w:rPr>
              <w:t>史晓玲</w:t>
            </w:r>
          </w:p>
        </w:tc>
      </w:tr>
      <w:tr w14:paraId="07B4B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D879D5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  <w:rPr>
                <w:sz w:val="20"/>
              </w:rPr>
            </w:pPr>
          </w:p>
        </w:tc>
        <w:tc>
          <w:tcPr>
            <w:tcW w:w="1555" w:type="dxa"/>
          </w:tcPr>
          <w:p w14:paraId="744B9AC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  <w:rPr>
                <w:sz w:val="20"/>
              </w:rPr>
            </w:pPr>
          </w:p>
        </w:tc>
        <w:tc>
          <w:tcPr>
            <w:tcW w:w="2302" w:type="dxa"/>
          </w:tcPr>
          <w:p w14:paraId="38D10E7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  <w:rPr>
                <w:sz w:val="20"/>
              </w:rPr>
            </w:pPr>
          </w:p>
        </w:tc>
        <w:tc>
          <w:tcPr>
            <w:tcW w:w="1557" w:type="dxa"/>
          </w:tcPr>
          <w:p w14:paraId="398A643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  <w:rPr>
                <w:sz w:val="20"/>
              </w:rPr>
            </w:pPr>
          </w:p>
        </w:tc>
        <w:tc>
          <w:tcPr>
            <w:tcW w:w="1953" w:type="dxa"/>
          </w:tcPr>
          <w:p w14:paraId="09496F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  <w:rPr>
                <w:sz w:val="20"/>
              </w:rPr>
            </w:pPr>
          </w:p>
        </w:tc>
      </w:tr>
      <w:tr w14:paraId="3305A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BE4B0D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  <w:rPr>
                <w:sz w:val="20"/>
              </w:rPr>
            </w:pPr>
          </w:p>
        </w:tc>
        <w:tc>
          <w:tcPr>
            <w:tcW w:w="1555" w:type="dxa"/>
          </w:tcPr>
          <w:p w14:paraId="04278C7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  <w:rPr>
                <w:sz w:val="20"/>
              </w:rPr>
            </w:pPr>
          </w:p>
        </w:tc>
        <w:tc>
          <w:tcPr>
            <w:tcW w:w="2302" w:type="dxa"/>
          </w:tcPr>
          <w:p w14:paraId="1ABFFE4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  <w:rPr>
                <w:sz w:val="20"/>
              </w:rPr>
            </w:pPr>
          </w:p>
        </w:tc>
        <w:tc>
          <w:tcPr>
            <w:tcW w:w="1557" w:type="dxa"/>
          </w:tcPr>
          <w:p w14:paraId="1068520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  <w:rPr>
                <w:sz w:val="20"/>
              </w:rPr>
            </w:pPr>
          </w:p>
        </w:tc>
        <w:tc>
          <w:tcPr>
            <w:tcW w:w="1953" w:type="dxa"/>
          </w:tcPr>
          <w:p w14:paraId="406E6A0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  <w:rPr>
                <w:sz w:val="20"/>
              </w:rPr>
            </w:pPr>
          </w:p>
        </w:tc>
      </w:tr>
      <w:tr w14:paraId="15A9F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5F94E3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  <w:rPr>
                <w:sz w:val="20"/>
              </w:rPr>
            </w:pPr>
          </w:p>
        </w:tc>
        <w:tc>
          <w:tcPr>
            <w:tcW w:w="1555" w:type="dxa"/>
          </w:tcPr>
          <w:p w14:paraId="7734DB6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  <w:rPr>
                <w:sz w:val="20"/>
              </w:rPr>
            </w:pPr>
          </w:p>
        </w:tc>
        <w:tc>
          <w:tcPr>
            <w:tcW w:w="2302" w:type="dxa"/>
          </w:tcPr>
          <w:p w14:paraId="062B1D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  <w:rPr>
                <w:sz w:val="20"/>
              </w:rPr>
            </w:pPr>
          </w:p>
        </w:tc>
        <w:tc>
          <w:tcPr>
            <w:tcW w:w="1557" w:type="dxa"/>
          </w:tcPr>
          <w:p w14:paraId="55BE242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  <w:rPr>
                <w:sz w:val="20"/>
              </w:rPr>
            </w:pPr>
          </w:p>
        </w:tc>
        <w:tc>
          <w:tcPr>
            <w:tcW w:w="1953" w:type="dxa"/>
          </w:tcPr>
          <w:p w14:paraId="7D85D3A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  <w:rPr>
                <w:sz w:val="20"/>
              </w:rPr>
            </w:pPr>
          </w:p>
        </w:tc>
      </w:tr>
      <w:tr w14:paraId="24F60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CB61B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555" w:type="dxa"/>
          </w:tcPr>
          <w:p w14:paraId="1179A3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302" w:type="dxa"/>
          </w:tcPr>
          <w:p w14:paraId="59E977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557" w:type="dxa"/>
          </w:tcPr>
          <w:p w14:paraId="5E6360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1953" w:type="dxa"/>
          </w:tcPr>
          <w:p w14:paraId="5546A7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 w14:paraId="2DC4683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4CAC8A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ascii="宋体" w:hAnsi="宋体"/>
        </w:rPr>
      </w:pPr>
    </w:p>
    <w:sdt>
      <w:sdtPr>
        <w:rPr>
          <w:rFonts w:ascii="宋体" w:hAnsi="宋体"/>
        </w:rPr>
        <w:id w:val="147473573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14:paraId="1B5BE12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jc w:val="center"/>
            <w:textAlignment w:val="baseline"/>
          </w:pPr>
          <w:r>
            <w:rPr>
              <w:rFonts w:ascii="宋体" w:hAnsi="宋体" w:eastAsia="宋体"/>
            </w:rPr>
            <w:t>目录</w:t>
          </w:r>
        </w:p>
        <w:p w14:paraId="27BFEE2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_Toc24250 </w:instrText>
          </w:r>
          <w:r>
            <w:fldChar w:fldCharType="separate"/>
          </w:r>
          <w:r>
            <w:t>淮安生态新城信息系统运维服务 项目可用性计划</w:t>
          </w:r>
          <w:r>
            <w:tab/>
          </w:r>
          <w:r>
            <w:fldChar w:fldCharType="begin"/>
          </w:r>
          <w:r>
            <w:instrText xml:space="preserve"> PAGEREF _Toc24250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EF377F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_Toc8888 </w:instrText>
          </w:r>
          <w: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_Toc8888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E8DC62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_Toc5215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计划目的</w:t>
          </w:r>
          <w:r>
            <w:tab/>
          </w:r>
          <w:r>
            <w:fldChar w:fldCharType="begin"/>
          </w:r>
          <w:r>
            <w:instrText xml:space="preserve"> PAGEREF _Toc5215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B680A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_Toc18422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_Toc18422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450EA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_Toc3901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可用性定义与计算公式</w:t>
          </w:r>
          <w:r>
            <w:tab/>
          </w:r>
          <w:r>
            <w:fldChar w:fldCharType="begin"/>
          </w:r>
          <w:r>
            <w:instrText xml:space="preserve"> PAGEREF _Toc3901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E34FF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可用性定义</w:t>
          </w:r>
          <w:r>
            <w:tab/>
          </w:r>
          <w:r>
            <w:fldChar w:fldCharType="begin"/>
          </w:r>
          <w:r>
            <w:instrText xml:space="preserve"> PAGEREF _Toc24621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C33A18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_Toc21056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计算公式</w:t>
          </w:r>
          <w:r>
            <w:tab/>
          </w:r>
          <w:r>
            <w:fldChar w:fldCharType="begin"/>
          </w:r>
          <w:r>
            <w:instrText xml:space="preserve"> PAGEREF _Toc21056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74CF5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_Toc464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说明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ECA96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_Toc1143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可用性目标</w:t>
          </w:r>
          <w:r>
            <w:tab/>
          </w:r>
          <w:r>
            <w:fldChar w:fldCharType="begin"/>
          </w:r>
          <w:r>
            <w:instrText xml:space="preserve"> PAGEREF _Toc1143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4C5B5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_Toc8306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_Toc8306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F90F94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_Toc6366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分级可用性目标</w:t>
          </w:r>
          <w:r>
            <w:tab/>
          </w:r>
          <w:r>
            <w:fldChar w:fldCharType="begin"/>
          </w:r>
          <w:r>
            <w:instrText xml:space="preserve"> PAGEREF _Toc6366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B2B4E7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_Toc25071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季度可用性目标分解</w:t>
          </w:r>
          <w:r>
            <w:tab/>
          </w:r>
          <w:r>
            <w:fldChar w:fldCharType="begin"/>
          </w:r>
          <w:r>
            <w:instrText xml:space="preserve"> PAGEREF _Toc25071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2354B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_Toc26996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可用性影响因素分析</w:t>
          </w:r>
          <w:r>
            <w:tab/>
          </w:r>
          <w:r>
            <w:fldChar w:fldCharType="begin"/>
          </w:r>
          <w:r>
            <w:instrText xml:space="preserve"> PAGEREF _Toc26996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0899F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_Toc32173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可用性保障措施</w:t>
          </w:r>
          <w:r>
            <w:tab/>
          </w:r>
          <w:r>
            <w:fldChar w:fldCharType="begin"/>
          </w:r>
          <w:r>
            <w:instrText xml:space="preserve"> PAGEREF _Toc32173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C90171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_Toc2010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基础设施层</w:t>
          </w:r>
          <w:r>
            <w:tab/>
          </w:r>
          <w:r>
            <w:fldChar w:fldCharType="begin"/>
          </w:r>
          <w:r>
            <w:instrText xml:space="preserve"> PAGEREF _Toc2010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56412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_Toc32570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数据层</w:t>
          </w:r>
          <w:r>
            <w:tab/>
          </w:r>
          <w:r>
            <w:fldChar w:fldCharType="begin"/>
          </w:r>
          <w:r>
            <w:instrText xml:space="preserve"> PAGEREF _Toc32570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504D3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_Toc22546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运维管理</w:t>
          </w:r>
          <w:r>
            <w:tab/>
          </w:r>
          <w:r>
            <w:fldChar w:fldCharType="begin"/>
          </w:r>
          <w:r>
            <w:instrText xml:space="preserve"> PAGEREF _Toc22546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11B71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_Toc20117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可用性监控与告警</w:t>
          </w:r>
          <w:r>
            <w:tab/>
          </w:r>
          <w:r>
            <w:fldChar w:fldCharType="begin"/>
          </w:r>
          <w:r>
            <w:instrText xml:space="preserve"> PAGEREF _Toc20117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B88D48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_Toc28185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监控指标</w:t>
          </w:r>
          <w:r>
            <w:tab/>
          </w:r>
          <w:r>
            <w:fldChar w:fldCharType="begin"/>
          </w:r>
          <w:r>
            <w:instrText xml:space="preserve"> PAGEREF _Toc28185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D9147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_Toc13270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告警分级与响应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1D805D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_Toc11632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可用性统计</w:t>
          </w:r>
          <w:r>
            <w:tab/>
          </w:r>
          <w:r>
            <w:fldChar w:fldCharType="begin"/>
          </w:r>
          <w:r>
            <w:instrText xml:space="preserve"> PAGEREF _Toc11632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5D15C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_Toc31006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可用性报告与评审</w:t>
          </w:r>
          <w:r>
            <w:tab/>
          </w:r>
          <w:r>
            <w:fldChar w:fldCharType="begin"/>
          </w:r>
          <w:r>
            <w:instrText xml:space="preserve"> PAGEREF _Toc31006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A96C0B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_Toc25042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报告类型</w:t>
          </w:r>
          <w:r>
            <w:tab/>
          </w:r>
          <w:r>
            <w:fldChar w:fldCharType="begin"/>
          </w:r>
          <w:r>
            <w:instrText xml:space="preserve"> PAGEREF _Toc25042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DCC8557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_Toc9453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可用性评审</w:t>
          </w:r>
          <w:r>
            <w:tab/>
          </w:r>
          <w:r>
            <w:fldChar w:fldCharType="begin"/>
          </w:r>
          <w:r>
            <w:instrText xml:space="preserve"> PAGEREF _Toc9453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ED89C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_Toc676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可用性改进计划</w:t>
          </w:r>
          <w:r>
            <w:tab/>
          </w:r>
          <w:r>
            <w:fldChar w:fldCharType="begin"/>
          </w:r>
          <w:r>
            <w:instrText xml:space="preserve"> PAGEREF _Toc676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5A5F2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_Toc22616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改进流程</w:t>
          </w:r>
          <w:r>
            <w:tab/>
          </w:r>
          <w:r>
            <w:fldChar w:fldCharType="begin"/>
          </w:r>
          <w:r>
            <w:instrText xml:space="preserve"> PAGEREF _Toc22616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949B943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_Toc7909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持续改进目标</w:t>
          </w:r>
          <w:r>
            <w:tab/>
          </w:r>
          <w:r>
            <w:fldChar w:fldCharType="begin"/>
          </w:r>
          <w:r>
            <w:instrText xml:space="preserve"> PAGEREF _Toc7909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09E09D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70CDC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1"/>
      <w:r>
        <w:br w:type="page"/>
      </w:r>
    </w:p>
    <w:p w14:paraId="2619E7BD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5215"/>
      <w:r>
        <w:t>计划目的</w:t>
      </w:r>
      <w:bookmarkEnd w:id="2"/>
      <w:bookmarkEnd w:id="3"/>
    </w:p>
    <w:p w14:paraId="2A59E38D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明确淮安生态新城信息系统的可用性目标</w:t>
      </w:r>
    </w:p>
    <w:p w14:paraId="06D0EEC6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识别影响可用性的关键因素并制定应对措施</w:t>
      </w:r>
    </w:p>
    <w:p w14:paraId="15D1A3F4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建立可用性监控、报告与持续改进机制</w:t>
      </w:r>
    </w:p>
    <w:p w14:paraId="5FAC66CE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确保运维服务满足合同SLA要求</w:t>
      </w:r>
    </w:p>
    <w:p w14:paraId="563C125C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支撑ITSS认证中的服务可用性管理过程</w:t>
      </w:r>
    </w:p>
    <w:p w14:paraId="6956477A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2"/>
      <w:bookmarkStart w:id="5" w:name="_Toc18422"/>
      <w:r>
        <w:t>适用范围</w:t>
      </w:r>
      <w:bookmarkEnd w:id="4"/>
      <w:bookmarkEnd w:id="5"/>
    </w:p>
    <w:p w14:paraId="6908DFCC">
      <w:pPr>
        <w:pStyle w:val="3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本计划适用于淮安生态新城运维服务范围内所有纳管系统，包括但不限于：</w:t>
      </w:r>
    </w:p>
    <w:tbl>
      <w:tblPr>
        <w:tblStyle w:val="21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3366"/>
        <w:gridCol w:w="1522"/>
        <w:gridCol w:w="1522"/>
      </w:tblGrid>
      <w:tr w14:paraId="5C76B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AA02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33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BA7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设备名称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62C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品牌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948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</w:tr>
      <w:tr w14:paraId="53612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F692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网络设备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1F3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数通路由器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10D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H3C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6DB7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40972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B342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网络设备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512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核心交换机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889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H3C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3456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3FB44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0177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网络设备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C95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汇聚交换机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272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华三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AE37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</w:tr>
      <w:tr w14:paraId="001DF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D62B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网络设备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A4B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楼层汇聚交换机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372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华为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17EC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38F60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2880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1F7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一体化服务器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41E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浪潮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0232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51FD2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E523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C86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用友财务服务器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374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联想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788B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  <w:tr w14:paraId="7372A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A805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</w:t>
            </w:r>
          </w:p>
        </w:tc>
        <w:tc>
          <w:tcPr>
            <w:tcW w:w="3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9D7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数据回流服务器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A43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浪潮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6CFA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</w:tr>
    </w:tbl>
    <w:p w14:paraId="5D10AD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ascii="Arial" w:hAnsi="Arial" w:eastAsia="等线" w:cs="Arial"/>
          <w:sz w:val="22"/>
        </w:rPr>
      </w:pPr>
    </w:p>
    <w:p w14:paraId="74B61C87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3"/>
      <w:bookmarkStart w:id="7" w:name="_Toc3901"/>
      <w:r>
        <w:t>可用性定义与计算公式</w:t>
      </w:r>
      <w:bookmarkEnd w:id="6"/>
      <w:bookmarkEnd w:id="7"/>
    </w:p>
    <w:p w14:paraId="5BD85F5C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4"/>
      <w:bookmarkStart w:id="9" w:name="_Toc24621"/>
      <w:r>
        <w:t>可用性定义</w:t>
      </w:r>
      <w:bookmarkEnd w:id="8"/>
      <w:bookmarkEnd w:id="9"/>
    </w:p>
    <w:p w14:paraId="110D8B6C">
      <w:pPr>
        <w:pStyle w:val="3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系统可用性是指系统在约定服务时间内处于可正常使用状态的能力，以百分比表示。</w:t>
      </w:r>
    </w:p>
    <w:p w14:paraId="1BB16066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21056"/>
      <w:r>
        <w:t>计算公式</w:t>
      </w:r>
      <w:bookmarkEnd w:id="10"/>
      <w:bookmarkEnd w:id="11"/>
    </w:p>
    <w:p w14:paraId="1A0820DC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</w:pPr>
      <w:r>
        <w:t xml:space="preserve">可用性 = </w:t>
      </w:r>
      <w:r>
        <w:rPr>
          <w:rFonts w:hint="eastAsia"/>
          <w:lang w:val="en-US" w:eastAsia="zh-CN"/>
        </w:rPr>
        <w:t>可用时间/整体运行时间*100%</w:t>
      </w:r>
    </w:p>
    <w:p w14:paraId="642E4FF0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464"/>
      <w:r>
        <w:t>说明</w:t>
      </w:r>
      <w:bookmarkEnd w:id="12"/>
      <w:bookmarkEnd w:id="13"/>
    </w:p>
    <w:p w14:paraId="0F05D515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计划维护窗口需提前48小时通知甲方，甲方保留拒绝或推迟的权利</w:t>
      </w:r>
    </w:p>
    <w:p w14:paraId="0C3D892E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未提前通知的计划外维护计入故障停机时长</w:t>
      </w:r>
    </w:p>
    <w:p w14:paraId="6D7D8588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SLA统计口径以</w:t>
      </w:r>
      <w:r>
        <w:rPr>
          <w:rFonts w:hint="eastAsia"/>
          <w:lang w:val="en-US" w:eastAsia="zh-CN"/>
        </w:rPr>
        <w:t>360云协作平台</w:t>
      </w:r>
      <w:r>
        <w:t>为准</w:t>
      </w:r>
    </w:p>
    <w:p w14:paraId="6AC20F82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143"/>
      <w:r>
        <w:t>可用性目标</w:t>
      </w:r>
      <w:bookmarkEnd w:id="14"/>
      <w:bookmarkEnd w:id="15"/>
    </w:p>
    <w:p w14:paraId="6775F392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8"/>
      <w:bookmarkStart w:id="17" w:name="_Toc8306"/>
      <w:r>
        <w:t>总体目标</w:t>
      </w:r>
      <w:bookmarkEnd w:id="16"/>
      <w:bookmarkEnd w:id="17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9"/>
        <w:gridCol w:w="2263"/>
        <w:gridCol w:w="4128"/>
      </w:tblGrid>
      <w:tr w14:paraId="6E83B4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BFA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系统类别</w:t>
            </w:r>
          </w:p>
        </w:tc>
        <w:tc>
          <w:tcPr>
            <w:tcW w:w="22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38A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可用性目标</w:t>
            </w:r>
          </w:p>
        </w:tc>
        <w:tc>
          <w:tcPr>
            <w:tcW w:w="41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B42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年度允许最大停机时长</w:t>
            </w:r>
          </w:p>
        </w:tc>
      </w:tr>
      <w:tr w14:paraId="012483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556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核心系统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AD1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99.9%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31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 8.76 小时/年</w:t>
            </w:r>
          </w:p>
        </w:tc>
      </w:tr>
      <w:tr w14:paraId="7591A2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63B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重要系统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79A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A4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 43.8 小时/年</w:t>
            </w:r>
          </w:p>
        </w:tc>
      </w:tr>
      <w:tr w14:paraId="3A11B1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B83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一般系统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C4D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99.0%</w:t>
            </w:r>
          </w:p>
        </w:tc>
        <w:tc>
          <w:tcPr>
            <w:tcW w:w="4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2C1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 87.6 小时/年</w:t>
            </w:r>
          </w:p>
        </w:tc>
      </w:tr>
    </w:tbl>
    <w:p w14:paraId="67A9106A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9"/>
      <w:bookmarkStart w:id="19" w:name="_Toc6366"/>
      <w:r>
        <w:t>分级可用性目标</w:t>
      </w:r>
      <w:bookmarkEnd w:id="18"/>
      <w:bookmarkEnd w:id="19"/>
    </w:p>
    <w:p w14:paraId="5E91B9AE">
      <w:pPr>
        <w:pStyle w:val="3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依据合同规范事件的级别、响应时限、处理时限、结局时限、可用性目标等。</w:t>
      </w:r>
    </w:p>
    <w:tbl>
      <w:tblPr>
        <w:tblStyle w:val="21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656"/>
        <w:gridCol w:w="1656"/>
        <w:gridCol w:w="1656"/>
        <w:gridCol w:w="1934"/>
      </w:tblGrid>
      <w:tr w14:paraId="5F587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B561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事件级别</w:t>
            </w:r>
          </w:p>
        </w:tc>
        <w:tc>
          <w:tcPr>
            <w:tcW w:w="16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67F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响应时限</w:t>
            </w:r>
          </w:p>
        </w:tc>
        <w:tc>
          <w:tcPr>
            <w:tcW w:w="16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839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处理时限</w:t>
            </w:r>
          </w:p>
        </w:tc>
        <w:tc>
          <w:tcPr>
            <w:tcW w:w="16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54A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解决时限</w:t>
            </w:r>
          </w:p>
        </w:tc>
        <w:tc>
          <w:tcPr>
            <w:tcW w:w="19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FE5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可用性目标</w:t>
            </w:r>
          </w:p>
        </w:tc>
      </w:tr>
      <w:tr w14:paraId="6BBEC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E944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关键故障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78C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30分钟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473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2小时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416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4小时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BF88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≥ 99.9%</w:t>
            </w:r>
          </w:p>
        </w:tc>
      </w:tr>
      <w:tr w14:paraId="44F6B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2412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一般故障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E72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2小时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1C4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4小时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EC4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8小时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0036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≥ 99.5%</w:t>
            </w:r>
          </w:p>
        </w:tc>
      </w:tr>
    </w:tbl>
    <w:p w14:paraId="44B87CBD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5071"/>
      <w:bookmarkStart w:id="21" w:name="heading_10"/>
      <w:r>
        <w:t>季度可用性目标分解</w:t>
      </w:r>
      <w:bookmarkEnd w:id="20"/>
      <w:bookmarkEnd w:id="21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"/>
        <w:gridCol w:w="2412"/>
        <w:gridCol w:w="2412"/>
        <w:gridCol w:w="2412"/>
      </w:tblGrid>
      <w:tr w14:paraId="7AB449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09A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季度</w:t>
            </w:r>
          </w:p>
        </w:tc>
        <w:tc>
          <w:tcPr>
            <w:tcW w:w="24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51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核心系统目标</w:t>
            </w:r>
          </w:p>
        </w:tc>
        <w:tc>
          <w:tcPr>
            <w:tcW w:w="24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993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重要系统目标</w:t>
            </w:r>
          </w:p>
        </w:tc>
        <w:tc>
          <w:tcPr>
            <w:tcW w:w="24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22F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一般系统目标</w:t>
            </w:r>
          </w:p>
        </w:tc>
      </w:tr>
      <w:tr w14:paraId="3E4146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A6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Q1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889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99.9%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D74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535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99.0%</w:t>
            </w:r>
          </w:p>
        </w:tc>
      </w:tr>
      <w:tr w14:paraId="6847B5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4D5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Q2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554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99.9%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A3D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E8F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99.0%</w:t>
            </w:r>
          </w:p>
        </w:tc>
      </w:tr>
      <w:tr w14:paraId="2FA0A7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DEE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Q3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3C7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99.9%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AF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55C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99.0%</w:t>
            </w:r>
          </w:p>
        </w:tc>
      </w:tr>
      <w:tr w14:paraId="14DE0D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8D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Q4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47C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99.9%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36E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A64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99.0%</w:t>
            </w:r>
          </w:p>
        </w:tc>
      </w:tr>
    </w:tbl>
    <w:p w14:paraId="6A1D5D08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1"/>
      <w:bookmarkStart w:id="23" w:name="_Toc26996"/>
      <w:r>
        <w:t>可用性影响因素分析</w:t>
      </w:r>
      <w:bookmarkEnd w:id="22"/>
      <w:bookmarkEnd w:id="23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4"/>
        <w:gridCol w:w="2409"/>
        <w:gridCol w:w="1080"/>
        <w:gridCol w:w="1080"/>
        <w:gridCol w:w="1967"/>
      </w:tblGrid>
      <w:tr w14:paraId="5F64BE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26C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影响因素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FDE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风险描述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823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发生几率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F76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影响程度</w:t>
            </w:r>
          </w:p>
        </w:tc>
        <w:tc>
          <w:tcPr>
            <w:tcW w:w="19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D66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可用性影响预估</w:t>
            </w:r>
          </w:p>
        </w:tc>
      </w:tr>
      <w:tr w14:paraId="52ABAB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E05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停电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819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市电中断导致设备停机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FDE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很少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D73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F98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停机至发电机启动</w:t>
            </w:r>
          </w:p>
        </w:tc>
      </w:tr>
      <w:tr w14:paraId="6FB55C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F80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核心交换机故障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2D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全网中断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0C9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很少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771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13D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停机至主备切换</w:t>
            </w:r>
          </w:p>
        </w:tc>
      </w:tr>
      <w:tr w14:paraId="3A5F799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18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数据库损坏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FBD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核心业务停滞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A1B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偶尔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1EC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E5B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停机至恢复完成</w:t>
            </w:r>
          </w:p>
        </w:tc>
      </w:tr>
      <w:tr w14:paraId="742658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DCE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服务器硬件故障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5C5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单台服务器宕机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405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偶尔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BC2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643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停机至迁移完成</w:t>
            </w:r>
          </w:p>
        </w:tc>
      </w:tr>
      <w:tr w14:paraId="2A18B5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A8B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存储阵列故障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60C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数据无法读写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A30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很少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A06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15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停机至切换/恢复</w:t>
            </w:r>
          </w:p>
        </w:tc>
      </w:tr>
      <w:tr w14:paraId="1614C9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902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网络ISP故障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662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对外服务中断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E0D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很少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84D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5A6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停机至链路切换</w:t>
            </w:r>
          </w:p>
        </w:tc>
      </w:tr>
      <w:tr w14:paraId="0B05EB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8A8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安全攻击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27D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业务中断或数据丢失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6E4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很少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7F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796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停机至隔离恢复</w:t>
            </w:r>
          </w:p>
        </w:tc>
      </w:tr>
      <w:tr w14:paraId="664AAD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B0D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高温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A28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服务器过热关机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188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很少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6A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DDA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停机至空调恢复</w:t>
            </w:r>
          </w:p>
        </w:tc>
      </w:tr>
      <w:tr w14:paraId="05CA936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358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火灾/自然灾害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BBB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数据中心损毁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68D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极小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548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E98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停机至灾备恢复</w:t>
            </w:r>
          </w:p>
        </w:tc>
      </w:tr>
    </w:tbl>
    <w:p w14:paraId="76821ADD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2"/>
      <w:bookmarkStart w:id="25" w:name="_Toc32173"/>
      <w:r>
        <w:t>可用性保障措施</w:t>
      </w:r>
      <w:bookmarkEnd w:id="24"/>
      <w:bookmarkEnd w:id="25"/>
    </w:p>
    <w:p w14:paraId="39257823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2010"/>
      <w:bookmarkStart w:id="27" w:name="heading_13"/>
      <w:r>
        <w:t>基础设施层</w:t>
      </w:r>
      <w:bookmarkEnd w:id="26"/>
      <w:bookmarkEnd w:id="27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1"/>
        <w:gridCol w:w="4480"/>
        <w:gridCol w:w="1669"/>
      </w:tblGrid>
      <w:tr w14:paraId="58A78F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1B5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措施</w:t>
            </w:r>
          </w:p>
        </w:tc>
        <w:tc>
          <w:tcPr>
            <w:tcW w:w="44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C8C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  <w:tc>
          <w:tcPr>
            <w:tcW w:w="16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E38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7C9B8C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B54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UPS+发电机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37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市电中断后UPS供电≥30分钟，发电机自动启动</w:t>
            </w: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777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基础环境工程师</w:t>
            </w:r>
          </w:p>
        </w:tc>
      </w:tr>
      <w:tr w14:paraId="04D003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C1C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核心交换机双机热备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E01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主备切换，故障自动转移</w:t>
            </w: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015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网络工程师</w:t>
            </w:r>
          </w:p>
        </w:tc>
      </w:tr>
      <w:tr w14:paraId="551693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E33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服务器集群HA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55D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vMotion自动迁移至健康主机</w:t>
            </w: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378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</w:tr>
      <w:tr w14:paraId="51D86C1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EEA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存储RAID+热备盘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B1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RAID10/RAID5保护，热备盘自动重建</w:t>
            </w: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E9F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基础环境工程师</w:t>
            </w:r>
          </w:p>
        </w:tc>
      </w:tr>
      <w:tr w14:paraId="2085620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A9B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双ISP链路</w:t>
            </w:r>
          </w:p>
        </w:tc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CD9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主备链路自动切换</w:t>
            </w: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859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网络工程师</w:t>
            </w:r>
          </w:p>
        </w:tc>
      </w:tr>
    </w:tbl>
    <w:p w14:paraId="2967EDD0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4"/>
      <w:bookmarkStart w:id="29" w:name="_Toc32570"/>
      <w:r>
        <w:t>数据层</w:t>
      </w:r>
      <w:bookmarkEnd w:id="28"/>
      <w:bookmarkEnd w:id="29"/>
    </w:p>
    <w:tbl>
      <w:tblPr>
        <w:tblStyle w:val="21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4426"/>
        <w:gridCol w:w="2042"/>
      </w:tblGrid>
      <w:tr w14:paraId="79D85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8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BDAC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措施</w:t>
            </w:r>
          </w:p>
        </w:tc>
        <w:tc>
          <w:tcPr>
            <w:tcW w:w="44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083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  <w:tc>
          <w:tcPr>
            <w:tcW w:w="20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7DE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0ECFF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6D39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服务器RAID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F00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RAID保护，硬盘故障自动重建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0A63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</w:tr>
      <w:tr w14:paraId="03F65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68D1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配置备份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342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设备配置文件定期备份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18B6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网络工程师</w:t>
            </w:r>
          </w:p>
        </w:tc>
      </w:tr>
      <w:tr w14:paraId="12429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A947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系统备份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809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服务器操作系统及数据备份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A218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数据库工程师</w:t>
            </w:r>
          </w:p>
        </w:tc>
      </w:tr>
    </w:tbl>
    <w:p w14:paraId="29686265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7"/>
      <w:bookmarkStart w:id="31" w:name="_Toc22546"/>
      <w:r>
        <w:t>运维管理</w:t>
      </w:r>
      <w:bookmarkEnd w:id="30"/>
      <w:bookmarkEnd w:id="31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9"/>
        <w:gridCol w:w="3746"/>
        <w:gridCol w:w="2055"/>
      </w:tblGrid>
      <w:tr w14:paraId="002052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975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措施</w:t>
            </w:r>
          </w:p>
        </w:tc>
        <w:tc>
          <w:tcPr>
            <w:tcW w:w="37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115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  <w:tc>
          <w:tcPr>
            <w:tcW w:w="20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765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01AE84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3EF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7×24小时监控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B12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实时监控可用性指标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67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</w:t>
            </w:r>
          </w:p>
        </w:tc>
      </w:tr>
      <w:tr w14:paraId="7DBF00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47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计划维护窗口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A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提前48小时通知甲方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284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  <w:tr w14:paraId="159623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jc w:val="center"/>
        </w:trPr>
        <w:tc>
          <w:tcPr>
            <w:tcW w:w="2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E32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53B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每年至少1次灾备演练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C6F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  <w:tr w14:paraId="0F891C0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2FF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变更管理</w:t>
            </w:r>
          </w:p>
        </w:tc>
        <w:tc>
          <w:tcPr>
            <w:tcW w:w="37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D9F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变更前评估可用性影响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AC2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变更经理</w:t>
            </w:r>
          </w:p>
        </w:tc>
      </w:tr>
    </w:tbl>
    <w:p w14:paraId="2AABF53C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_Toc20117"/>
      <w:bookmarkStart w:id="33" w:name="heading_18"/>
      <w:r>
        <w:t>可用性监控与告警</w:t>
      </w:r>
      <w:bookmarkEnd w:id="32"/>
      <w:bookmarkEnd w:id="33"/>
    </w:p>
    <w:p w14:paraId="4CD92BD2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9"/>
      <w:bookmarkStart w:id="35" w:name="_Toc28185"/>
      <w:r>
        <w:t>监控指标</w:t>
      </w:r>
      <w:bookmarkEnd w:id="34"/>
      <w:bookmarkEnd w:id="35"/>
    </w:p>
    <w:tbl>
      <w:tblPr>
        <w:tblStyle w:val="21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5081"/>
        <w:gridCol w:w="1605"/>
      </w:tblGrid>
      <w:tr w14:paraId="5288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0B21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监控对象</w:t>
            </w:r>
          </w:p>
        </w:tc>
        <w:tc>
          <w:tcPr>
            <w:tcW w:w="50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533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监控指标</w:t>
            </w:r>
          </w:p>
        </w:tc>
        <w:tc>
          <w:tcPr>
            <w:tcW w:w="16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2459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采集频率</w:t>
            </w:r>
          </w:p>
        </w:tc>
      </w:tr>
      <w:tr w14:paraId="4B2C9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E69D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核心交换机</w:t>
            </w:r>
          </w:p>
        </w:tc>
        <w:tc>
          <w:tcPr>
            <w:tcW w:w="5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7C8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端口状态、CPU/内存使用率、流量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6246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1分钟</w:t>
            </w:r>
          </w:p>
        </w:tc>
      </w:tr>
      <w:tr w14:paraId="453F6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F824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路由器</w:t>
            </w:r>
          </w:p>
        </w:tc>
        <w:tc>
          <w:tcPr>
            <w:tcW w:w="5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D91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端口状态、链路状态、CPU/内存使用率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7061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1分钟</w:t>
            </w:r>
          </w:p>
        </w:tc>
      </w:tr>
      <w:tr w14:paraId="5106C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C0C8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</w:t>
            </w:r>
          </w:p>
        </w:tc>
        <w:tc>
          <w:tcPr>
            <w:tcW w:w="50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B40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CPU、内存、磁盘、网络I/O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31AC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1分钟</w:t>
            </w:r>
          </w:p>
        </w:tc>
      </w:tr>
    </w:tbl>
    <w:p w14:paraId="7D134874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_Toc13270"/>
      <w:bookmarkStart w:id="37" w:name="heading_20"/>
      <w:bookmarkStart w:id="52" w:name="_GoBack"/>
      <w:bookmarkEnd w:id="52"/>
      <w:r>
        <w:t>告警分级与响应</w:t>
      </w:r>
      <w:bookmarkEnd w:id="36"/>
      <w:bookmarkEnd w:id="37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2976"/>
        <w:gridCol w:w="2324"/>
        <w:gridCol w:w="1140"/>
      </w:tblGrid>
      <w:tr w14:paraId="2FAEA3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C38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告警级别</w:t>
            </w:r>
          </w:p>
        </w:tc>
        <w:tc>
          <w:tcPr>
            <w:tcW w:w="29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38F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触发条件</w:t>
            </w:r>
          </w:p>
        </w:tc>
        <w:tc>
          <w:tcPr>
            <w:tcW w:w="23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C2B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通知方式</w:t>
            </w:r>
          </w:p>
        </w:tc>
        <w:tc>
          <w:tcPr>
            <w:tcW w:w="11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ABF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响应时限</w:t>
            </w:r>
          </w:p>
        </w:tc>
      </w:tr>
      <w:tr w14:paraId="09F004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5EA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三级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A28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服务不可用、核心设备宕机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99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电话+短信+企业微信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FF9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15分钟</w:t>
            </w:r>
          </w:p>
        </w:tc>
      </w:tr>
      <w:tr w14:paraId="6BF9A9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181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二级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964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服务性能下降、设备告警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22F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短信+企业微信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50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  <w:tr w14:paraId="79BB16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27B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一级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620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资源使用率超阈值</w:t>
            </w:r>
          </w:p>
        </w:tc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31D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企业微信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831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2小时</w:t>
            </w:r>
          </w:p>
        </w:tc>
      </w:tr>
    </w:tbl>
    <w:p w14:paraId="258A35F4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1"/>
      <w:bookmarkStart w:id="39" w:name="_Toc11632"/>
      <w:r>
        <w:t>可用性统计</w:t>
      </w:r>
      <w:bookmarkEnd w:id="38"/>
      <w:bookmarkEnd w:id="39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7"/>
        <w:gridCol w:w="1852"/>
        <w:gridCol w:w="2761"/>
      </w:tblGrid>
      <w:tr w14:paraId="3EC8CC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58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统计项</w:t>
            </w:r>
          </w:p>
        </w:tc>
        <w:tc>
          <w:tcPr>
            <w:tcW w:w="1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BBC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频率</w:t>
            </w:r>
          </w:p>
        </w:tc>
        <w:tc>
          <w:tcPr>
            <w:tcW w:w="27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F44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65A460B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CB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日可用性统计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5C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E2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</w:t>
            </w:r>
          </w:p>
        </w:tc>
      </w:tr>
      <w:tr w14:paraId="1D4DAC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3DB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月可用性统计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F29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每月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53A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  <w:tr w14:paraId="0BB375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696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季度可用性统计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454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每季度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D1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  <w:tr w14:paraId="487311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417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年度可用性统计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38A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每年</w:t>
            </w:r>
          </w:p>
        </w:tc>
        <w:tc>
          <w:tcPr>
            <w:tcW w:w="27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129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</w:tbl>
    <w:p w14:paraId="76D4D267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textAlignment w:val="baseline"/>
      </w:pPr>
    </w:p>
    <w:p w14:paraId="2C9929E0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31006"/>
      <w:bookmarkStart w:id="41" w:name="heading_22"/>
      <w:r>
        <w:t>可用性报告与评审</w:t>
      </w:r>
      <w:bookmarkEnd w:id="40"/>
      <w:bookmarkEnd w:id="41"/>
    </w:p>
    <w:p w14:paraId="232FBF02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3"/>
      <w:bookmarkStart w:id="43" w:name="_Toc25042"/>
      <w:r>
        <w:t>报告类型</w:t>
      </w:r>
      <w:bookmarkEnd w:id="42"/>
      <w:bookmarkEnd w:id="43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778"/>
        <w:gridCol w:w="2349"/>
        <w:gridCol w:w="3348"/>
      </w:tblGrid>
      <w:tr w14:paraId="4C533F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AEE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报告类型</w:t>
            </w:r>
          </w:p>
        </w:tc>
        <w:tc>
          <w:tcPr>
            <w:tcW w:w="7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7A9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频次</w:t>
            </w:r>
          </w:p>
        </w:tc>
        <w:tc>
          <w:tcPr>
            <w:tcW w:w="23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CBA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提交时限</w:t>
            </w:r>
          </w:p>
        </w:tc>
        <w:tc>
          <w:tcPr>
            <w:tcW w:w="33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E4E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包含内容</w:t>
            </w:r>
          </w:p>
        </w:tc>
      </w:tr>
      <w:tr w14:paraId="708543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4C0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日常运维日报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A75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28B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次日09:00前</w:t>
            </w:r>
          </w:p>
        </w:tc>
        <w:tc>
          <w:tcPr>
            <w:tcW w:w="3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96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当日可用性、事件摘要</w:t>
            </w:r>
          </w:p>
        </w:tc>
      </w:tr>
      <w:tr w14:paraId="59263E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DD3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月度服务报告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AA6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76B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下月5日前</w:t>
            </w:r>
          </w:p>
        </w:tc>
        <w:tc>
          <w:tcPr>
            <w:tcW w:w="3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CA8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SLA达成情况、可用性统计</w:t>
            </w:r>
          </w:p>
        </w:tc>
      </w:tr>
      <w:tr w14:paraId="2631A9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B15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季度绩效报告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288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季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5F1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季度结束后10日内</w:t>
            </w:r>
          </w:p>
        </w:tc>
        <w:tc>
          <w:tcPr>
            <w:tcW w:w="33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07B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KPI考核结果、可用性趋势</w:t>
            </w:r>
          </w:p>
        </w:tc>
      </w:tr>
      <w:tr w14:paraId="490FF5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5E4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年度运维总结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403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年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AFD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年度结束后15日内</w:t>
            </w:r>
          </w:p>
        </w:tc>
        <w:tc>
          <w:tcPr>
            <w:tcW w:w="33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93D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全年可用性综述、改进建议</w:t>
            </w:r>
          </w:p>
        </w:tc>
      </w:tr>
    </w:tbl>
    <w:p w14:paraId="6A4A3221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_Toc9453"/>
      <w:bookmarkStart w:id="45" w:name="heading_24"/>
      <w:r>
        <w:t>可用性评审</w:t>
      </w:r>
      <w:bookmarkEnd w:id="44"/>
      <w:bookmarkEnd w:id="45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1"/>
        <w:gridCol w:w="1159"/>
        <w:gridCol w:w="4820"/>
      </w:tblGrid>
      <w:tr w14:paraId="481092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D49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评审项</w:t>
            </w:r>
          </w:p>
        </w:tc>
        <w:tc>
          <w:tcPr>
            <w:tcW w:w="11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FFF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频率</w:t>
            </w:r>
          </w:p>
        </w:tc>
        <w:tc>
          <w:tcPr>
            <w:tcW w:w="48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C8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</w:tr>
      <w:tr w14:paraId="63F1E8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416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月度可用性评审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241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每月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A9D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运维部经理、服务台经理</w:t>
            </w:r>
          </w:p>
        </w:tc>
      </w:tr>
      <w:tr w14:paraId="27B669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5D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季度可用性评审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92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每季度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572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运维部经理、质量部经理、甲方代表</w:t>
            </w:r>
          </w:p>
        </w:tc>
      </w:tr>
      <w:tr w14:paraId="36D67A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A19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年度可用性评审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B24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每年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D06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副总经理、运维部经理、甲方代表</w:t>
            </w:r>
          </w:p>
        </w:tc>
      </w:tr>
    </w:tbl>
    <w:p w14:paraId="4B7B2EDE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25"/>
      <w:bookmarkStart w:id="47" w:name="_Toc676"/>
      <w:r>
        <w:t>可用性改进计划</w:t>
      </w:r>
      <w:bookmarkEnd w:id="46"/>
      <w:bookmarkEnd w:id="47"/>
    </w:p>
    <w:p w14:paraId="6F6BADB7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heading_26"/>
      <w:bookmarkStart w:id="49" w:name="_Toc22616"/>
      <w:r>
        <w:t>改进流程</w:t>
      </w:r>
      <w:bookmarkEnd w:id="48"/>
      <w:bookmarkEnd w:id="49"/>
    </w:p>
    <w:p w14:paraId="567FB5EA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识别可用性未达标项</w:t>
      </w:r>
    </w:p>
    <w:p w14:paraId="01527C1E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分析根本原因（RCA）</w:t>
      </w:r>
    </w:p>
    <w:p w14:paraId="1C1CB83B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制定改进措施（SIP）</w:t>
      </w:r>
    </w:p>
    <w:p w14:paraId="407CC6FD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实施改进</w:t>
      </w:r>
    </w:p>
    <w:p w14:paraId="30927A03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验证改进效果</w:t>
      </w:r>
    </w:p>
    <w:p w14:paraId="3A0EA2D4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关闭改进项</w:t>
      </w:r>
    </w:p>
    <w:p w14:paraId="23C49E02">
      <w:pPr>
        <w:pStyle w:val="3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_Toc7909"/>
      <w:bookmarkStart w:id="51" w:name="heading_28"/>
      <w:r>
        <w:t>持续改进目标</w:t>
      </w:r>
      <w:bookmarkEnd w:id="50"/>
      <w:bookmarkEnd w:id="51"/>
    </w:p>
    <w:tbl>
      <w:tblPr>
        <w:tblStyle w:val="21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8"/>
        <w:gridCol w:w="4192"/>
      </w:tblGrid>
      <w:tr w14:paraId="71FAA3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0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980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改进项</w:t>
            </w:r>
          </w:p>
        </w:tc>
        <w:tc>
          <w:tcPr>
            <w:tcW w:w="41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811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目标值（2025年）</w:t>
            </w:r>
          </w:p>
        </w:tc>
      </w:tr>
      <w:tr w14:paraId="77CECF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FC4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核心系统可用性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8C9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99.9%</w:t>
            </w:r>
          </w:p>
        </w:tc>
      </w:tr>
      <w:tr w14:paraId="50F541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ABF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故障响应及时率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48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95%</w:t>
            </w:r>
          </w:p>
        </w:tc>
      </w:tr>
      <w:tr w14:paraId="39D194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726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故障解决及时率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864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90%</w:t>
            </w:r>
          </w:p>
        </w:tc>
      </w:tr>
      <w:tr w14:paraId="502662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B93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计划维护窗口通知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110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≥ 48小时</w:t>
            </w:r>
          </w:p>
        </w:tc>
      </w:tr>
    </w:tbl>
    <w:p w14:paraId="7569C6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B196D"/>
    <w:multiLevelType w:val="singleLevel"/>
    <w:tmpl w:val="8E1B19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30E55E3C"/>
    <w:multiLevelType w:val="singleLevel"/>
    <w:tmpl w:val="30E55E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EBE732A"/>
    <w:multiLevelType w:val="singleLevel"/>
    <w:tmpl w:val="7EBE73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8912A3"/>
    <w:rsid w:val="000715BB"/>
    <w:rsid w:val="001A2D3F"/>
    <w:rsid w:val="00551BF2"/>
    <w:rsid w:val="00624E8D"/>
    <w:rsid w:val="00643BE3"/>
    <w:rsid w:val="007D7C60"/>
    <w:rsid w:val="008912A3"/>
    <w:rsid w:val="00D074CA"/>
    <w:rsid w:val="00FC1DE5"/>
    <w:rsid w:val="0253085C"/>
    <w:rsid w:val="04934A97"/>
    <w:rsid w:val="06231E4A"/>
    <w:rsid w:val="06AB4E25"/>
    <w:rsid w:val="098175B4"/>
    <w:rsid w:val="0990710B"/>
    <w:rsid w:val="0BC81F2B"/>
    <w:rsid w:val="0BFC1173"/>
    <w:rsid w:val="0D3A63F7"/>
    <w:rsid w:val="12AB48FF"/>
    <w:rsid w:val="165D4F05"/>
    <w:rsid w:val="170535D2"/>
    <w:rsid w:val="1AD41657"/>
    <w:rsid w:val="1AF75928"/>
    <w:rsid w:val="1C6A3ED7"/>
    <w:rsid w:val="1C8054A9"/>
    <w:rsid w:val="1D7F1C04"/>
    <w:rsid w:val="1DBE44DB"/>
    <w:rsid w:val="1F391E29"/>
    <w:rsid w:val="26724D1F"/>
    <w:rsid w:val="268F7C62"/>
    <w:rsid w:val="27A97FAA"/>
    <w:rsid w:val="27DC037F"/>
    <w:rsid w:val="28011B94"/>
    <w:rsid w:val="289458D1"/>
    <w:rsid w:val="2B632B65"/>
    <w:rsid w:val="2C5129BE"/>
    <w:rsid w:val="2D6344F8"/>
    <w:rsid w:val="2E556795"/>
    <w:rsid w:val="2E5B7B24"/>
    <w:rsid w:val="2EB74DFD"/>
    <w:rsid w:val="2FA21303"/>
    <w:rsid w:val="31181CFC"/>
    <w:rsid w:val="32C034AF"/>
    <w:rsid w:val="37160A8C"/>
    <w:rsid w:val="37645B6D"/>
    <w:rsid w:val="37AD13F0"/>
    <w:rsid w:val="39635633"/>
    <w:rsid w:val="3AAC3BE1"/>
    <w:rsid w:val="3BFF5F92"/>
    <w:rsid w:val="3F4D34B9"/>
    <w:rsid w:val="3F56419E"/>
    <w:rsid w:val="3FD57736"/>
    <w:rsid w:val="3FDF05B5"/>
    <w:rsid w:val="409A44DC"/>
    <w:rsid w:val="4336776F"/>
    <w:rsid w:val="433B5624"/>
    <w:rsid w:val="44775660"/>
    <w:rsid w:val="44867251"/>
    <w:rsid w:val="448C5287"/>
    <w:rsid w:val="44AE67A8"/>
    <w:rsid w:val="459B31D0"/>
    <w:rsid w:val="48C12F4D"/>
    <w:rsid w:val="49C87685"/>
    <w:rsid w:val="49FC7FB5"/>
    <w:rsid w:val="4A8A3813"/>
    <w:rsid w:val="4D04165B"/>
    <w:rsid w:val="4ED17C62"/>
    <w:rsid w:val="501C6CBB"/>
    <w:rsid w:val="50847E24"/>
    <w:rsid w:val="53CE29C2"/>
    <w:rsid w:val="55806752"/>
    <w:rsid w:val="563E2451"/>
    <w:rsid w:val="574802BD"/>
    <w:rsid w:val="58846413"/>
    <w:rsid w:val="58B85545"/>
    <w:rsid w:val="5D6B59FB"/>
    <w:rsid w:val="5DFE065B"/>
    <w:rsid w:val="5DFE3EA4"/>
    <w:rsid w:val="5E4812C5"/>
    <w:rsid w:val="60455DBA"/>
    <w:rsid w:val="625048C9"/>
    <w:rsid w:val="63827325"/>
    <w:rsid w:val="66FD119D"/>
    <w:rsid w:val="67D85766"/>
    <w:rsid w:val="6A026ACA"/>
    <w:rsid w:val="6B157343"/>
    <w:rsid w:val="6D8B6DD7"/>
    <w:rsid w:val="6E5D1FA5"/>
    <w:rsid w:val="7120166D"/>
    <w:rsid w:val="770519A8"/>
    <w:rsid w:val="78361C89"/>
    <w:rsid w:val="78A84CE1"/>
    <w:rsid w:val="7A392094"/>
    <w:rsid w:val="7B914152"/>
    <w:rsid w:val="7D9A72EE"/>
    <w:rsid w:val="7DA0242A"/>
    <w:rsid w:val="7ED4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34"/>
    <w:qFormat/>
    <w:uiPriority w:val="0"/>
    <w:rPr>
      <w:sz w:val="18"/>
    </w:rPr>
  </w:style>
  <w:style w:type="paragraph" w:styleId="15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link w:val="32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link w:val="28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3"/>
    <w:qFormat/>
    <w:uiPriority w:val="0"/>
    <w:rPr>
      <w:color w:val="0000FF"/>
      <w:u w:val="single"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character" w:customStyle="1" w:styleId="28">
    <w:name w:val="标题 Char"/>
    <w:link w:val="20"/>
    <w:qFormat/>
    <w:uiPriority w:val="10"/>
    <w:rPr>
      <w:rFonts w:ascii="Arial" w:hAnsi="Arial"/>
      <w:b/>
      <w:sz w:val="32"/>
    </w:rPr>
  </w:style>
  <w:style w:type="paragraph" w:customStyle="1" w:styleId="29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0">
    <w:name w:val="Table Normal_0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32">
    <w:name w:val="页眉 Char"/>
    <w:link w:val="16"/>
    <w:semiHidden/>
    <w:qFormat/>
    <w:uiPriority w:val="99"/>
    <w:rPr>
      <w:sz w:val="18"/>
    </w:rPr>
  </w:style>
  <w:style w:type="character" w:customStyle="1" w:styleId="33">
    <w:name w:val="页脚 Char"/>
    <w:link w:val="15"/>
    <w:semiHidden/>
    <w:qFormat/>
    <w:uiPriority w:val="99"/>
    <w:rPr>
      <w:sz w:val="18"/>
    </w:rPr>
  </w:style>
  <w:style w:type="character" w:customStyle="1" w:styleId="34">
    <w:name w:val="批注框文本 Char"/>
    <w:link w:val="14"/>
    <w:semiHidden/>
    <w:qFormat/>
    <w:uiPriority w:val="99"/>
    <w:rPr>
      <w:sz w:val="18"/>
    </w:rPr>
  </w:style>
  <w:style w:type="paragraph" w:customStyle="1" w:styleId="35">
    <w:name w:val="柴_标题1"/>
    <w:basedOn w:val="2"/>
    <w:next w:val="36"/>
    <w:link w:val="4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6">
    <w:name w:val="柴_正文"/>
    <w:basedOn w:val="12"/>
    <w:link w:val="4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7">
    <w:name w:val="柴_标题2"/>
    <w:basedOn w:val="3"/>
    <w:next w:val="36"/>
    <w:link w:val="5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8">
    <w:name w:val="柴_标题3"/>
    <w:basedOn w:val="4"/>
    <w:next w:val="3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9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3">
    <w:name w:val="Compact"/>
    <w:basedOn w:val="12"/>
    <w:qFormat/>
    <w:uiPriority w:val="0"/>
    <w:pPr>
      <w:spacing w:before="36" w:after="36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5">
    <w:name w:val="柴_标题1 Char"/>
    <w:link w:val="35"/>
    <w:qFormat/>
    <w:uiPriority w:val="0"/>
    <w:rPr>
      <w:rFonts w:ascii="Arial" w:hAnsi="Arial" w:eastAsia="宋体"/>
      <w:sz w:val="32"/>
    </w:rPr>
  </w:style>
  <w:style w:type="paragraph" w:customStyle="1" w:styleId="46">
    <w:name w:val="柴_正文_无缩进"/>
    <w:basedOn w:val="1"/>
    <w:link w:val="50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8">
    <w:name w:val="柴_正文 Char"/>
    <w:link w:val="36"/>
    <w:qFormat/>
    <w:uiPriority w:val="0"/>
    <w:rPr>
      <w:rFonts w:ascii="Arial" w:hAnsi="Arial" w:eastAsia="宋体"/>
      <w:sz w:val="24"/>
      <w:lang w:eastAsia="zh-CN"/>
    </w:rPr>
  </w:style>
  <w:style w:type="table" w:customStyle="1" w:styleId="4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柴_正文_无缩进 Char"/>
    <w:link w:val="46"/>
    <w:qFormat/>
    <w:uiPriority w:val="0"/>
    <w:rPr>
      <w:rFonts w:ascii="Arial" w:hAnsi="Arial"/>
      <w:sz w:val="24"/>
      <w:lang w:eastAsia="zh-CN"/>
    </w:rPr>
  </w:style>
  <w:style w:type="character" w:customStyle="1" w:styleId="51">
    <w:name w:val="柴_标题2 Char"/>
    <w:link w:val="37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1703</Words>
  <Characters>1958</Characters>
  <Lines>40</Lines>
  <Paragraphs>11</Paragraphs>
  <TotalTime>0</TotalTime>
  <ScaleCrop>false</ScaleCrop>
  <LinksUpToDate>false</LinksUpToDate>
  <CharactersWithSpaces>2090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2026-04-13T08:29:00Z</dcterms:created>
  <dc:creator>Apache POI</dc:creator>
  <cp:lastModifiedBy>郝宇</cp:lastModifiedBy>
  <dcterms:modified xsi:type="dcterms:W3CDTF">2026-04-27T07:28:16Z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eyJoZGlkIjoiZWI4NmUzMGY2ODA3MDc4ZTFlMjZjZTAyMjM0NmVmODgiLCJ1c2VySWQiOiIxMDc1MzgyOSJ9</vt:lpwstr>
  </property>
  <property fmtid="{D5CDD505-2E9C-101B-9397-08002B2CF9AE}" pid="3" name="KSOProductBuildVer">
    <vt:lpwstr>2052-12.1.0.25865</vt:lpwstr>
  </property>
  <property fmtid="{D5CDD505-2E9C-101B-9397-08002B2CF9AE}" pid="4" name="ICV">
    <vt:lpwstr>9F39E02CAEBD49FB95E06CBA12A7A9B2_12</vt:lpwstr>
  </property>
</Properties>
</file>