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0BCBC7">
      <w:pPr>
        <w:pStyle w:val="27"/>
        <w:keepNext w:val="0"/>
        <w:keepLines w:val="0"/>
        <w:pageBreakBefore w:val="0"/>
        <w:widowControl w:val="0"/>
        <w:kinsoku w:val="0"/>
        <w:wordWrap/>
        <w:overflowPunct/>
        <w:topLinePunct w:val="0"/>
        <w:autoSpaceDE w:val="0"/>
        <w:autoSpaceDN w:val="0"/>
        <w:bidi w:val="0"/>
        <w:adjustRightInd w:val="0"/>
        <w:snapToGrid w:val="0"/>
        <w:spacing w:after="1440"/>
        <w:textAlignment w:val="baseline"/>
      </w:pPr>
    </w:p>
    <w:p w14:paraId="6C8369D0">
      <w:pPr>
        <w:pStyle w:val="27"/>
        <w:keepNext w:val="0"/>
        <w:keepLines w:val="0"/>
        <w:pageBreakBefore w:val="0"/>
        <w:widowControl w:val="0"/>
        <w:kinsoku w:val="0"/>
        <w:wordWrap/>
        <w:overflowPunct/>
        <w:topLinePunct w:val="0"/>
        <w:autoSpaceDE w:val="0"/>
        <w:autoSpaceDN w:val="0"/>
        <w:bidi w:val="0"/>
        <w:adjustRightInd w:val="0"/>
        <w:snapToGrid w:val="0"/>
        <w:spacing w:after="1440"/>
        <w:textAlignment w:val="baseline"/>
        <w:rPr>
          <w:rFonts w:hint="default"/>
        </w:rPr>
      </w:pPr>
      <w:bookmarkStart w:id="0" w:name="_Toc9259"/>
      <w:r>
        <w:t>淮安生态新城信息系统运维服务业务连续性计划</w:t>
      </w:r>
      <w:bookmarkEnd w:id="0"/>
    </w:p>
    <w:p w14:paraId="560A3FE8">
      <w:pPr>
        <w:pStyle w:val="29"/>
        <w:keepNext w:val="0"/>
        <w:keepLines w:val="0"/>
        <w:pageBreakBefore w:val="0"/>
        <w:widowControl w:val="0"/>
        <w:kinsoku w:val="0"/>
        <w:wordWrap/>
        <w:overflowPunct/>
        <w:topLinePunct w:val="0"/>
        <w:autoSpaceDE w:val="0"/>
        <w:autoSpaceDN w:val="0"/>
        <w:bidi w:val="0"/>
        <w:adjustRightInd w:val="0"/>
        <w:snapToGrid w:val="0"/>
        <w:spacing w:after="2160"/>
        <w:textAlignment w:val="baseline"/>
      </w:pPr>
      <w:bookmarkStart w:id="1" w:name="_Toc16496"/>
      <w:r>
        <w:t>江苏云储智能科技有限公司</w:t>
      </w:r>
      <w:bookmarkEnd w:id="1"/>
    </w:p>
    <w:p w14:paraId="54B570F5">
      <w:pPr>
        <w:keepNext w:val="0"/>
        <w:keepLines w:val="0"/>
        <w:pageBreakBefore w:val="0"/>
        <w:widowControl w:val="0"/>
        <w:kinsoku w:val="0"/>
        <w:wordWrap/>
        <w:overflowPunct/>
        <w:topLinePunct w:val="0"/>
        <w:autoSpaceDE w:val="0"/>
        <w:autoSpaceDN w:val="0"/>
        <w:bidi w:val="0"/>
        <w:adjustRightInd w:val="0"/>
        <w:snapToGrid w:val="0"/>
        <w:spacing w:before="117" w:line="219" w:lineRule="auto"/>
        <w:jc w:val="center"/>
        <w:textAlignment w:val="baseline"/>
        <w:rPr>
          <w:rFonts w:ascii="宋体" w:hAnsi="宋体" w:cs="宋体"/>
          <w:sz w:val="36"/>
          <w:szCs w:val="36"/>
        </w:rPr>
      </w:pPr>
      <w:r>
        <w:rPr>
          <w:rFonts w:ascii="宋体" w:hAnsi="宋体" w:eastAsia="宋体" w:cs="宋体"/>
          <w:spacing w:val="-2"/>
          <w:sz w:val="36"/>
          <w:szCs w:val="36"/>
        </w:rPr>
        <w:t>202</w:t>
      </w:r>
      <w:r>
        <w:rPr>
          <w:rFonts w:hint="eastAsia" w:ascii="宋体" w:hAnsi="宋体" w:cs="宋体"/>
          <w:spacing w:val="-2"/>
          <w:sz w:val="36"/>
          <w:szCs w:val="36"/>
        </w:rPr>
        <w:t>5</w:t>
      </w:r>
      <w:r>
        <w:rPr>
          <w:rFonts w:ascii="宋体" w:hAnsi="宋体" w:eastAsia="宋体" w:cs="宋体"/>
          <w:spacing w:val="-2"/>
          <w:sz w:val="36"/>
          <w:szCs w:val="36"/>
        </w:rPr>
        <w:t>-01-04</w:t>
      </w:r>
    </w:p>
    <w:p w14:paraId="17294C1F">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tbl>
      <w:tblPr>
        <w:tblStyle w:val="30"/>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194EC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0BCC62F2">
            <w:pPr>
              <w:pStyle w:val="31"/>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rPr>
                <w:sz w:val="20"/>
              </w:rPr>
            </w:pPr>
            <w:r>
              <w:rPr>
                <w:spacing w:val="-2"/>
                <w:sz w:val="20"/>
              </w:rPr>
              <w:t>文档名称编号</w:t>
            </w:r>
          </w:p>
        </w:tc>
        <w:tc>
          <w:tcPr>
            <w:tcW w:w="7367" w:type="dxa"/>
            <w:gridSpan w:val="4"/>
          </w:tcPr>
          <w:p w14:paraId="5ADFE4E5">
            <w:pPr>
              <w:pStyle w:val="31"/>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rPr>
                <w:sz w:val="20"/>
              </w:rPr>
            </w:pPr>
            <w:r>
              <w:rPr>
                <w:rFonts w:hint="eastAsia"/>
                <w:spacing w:val="-1"/>
                <w:sz w:val="20"/>
                <w:lang w:eastAsia="zh-CN"/>
              </w:rPr>
              <w:t>连续性计划</w:t>
            </w:r>
            <w:r>
              <w:rPr>
                <w:spacing w:val="-1"/>
                <w:sz w:val="20"/>
              </w:rPr>
              <w:t>（JSYC-ITSS-</w:t>
            </w:r>
            <w:r>
              <w:rPr>
                <w:rFonts w:hint="eastAsia"/>
                <w:spacing w:val="-1"/>
                <w:sz w:val="20"/>
                <w:lang w:eastAsia="zh-CN"/>
              </w:rPr>
              <w:t>LXXJH</w:t>
            </w:r>
            <w:r>
              <w:rPr>
                <w:spacing w:val="-1"/>
                <w:sz w:val="20"/>
              </w:rPr>
              <w:t>）</w:t>
            </w:r>
          </w:p>
        </w:tc>
      </w:tr>
      <w:tr w14:paraId="0D6A2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685BAE45">
            <w:pPr>
              <w:pStyle w:val="31"/>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rPr>
                <w:sz w:val="20"/>
              </w:rPr>
            </w:pPr>
            <w:r>
              <w:rPr>
                <w:spacing w:val="-2"/>
                <w:sz w:val="20"/>
              </w:rPr>
              <w:t>编制单位</w:t>
            </w:r>
          </w:p>
        </w:tc>
        <w:tc>
          <w:tcPr>
            <w:tcW w:w="7367" w:type="dxa"/>
            <w:gridSpan w:val="4"/>
          </w:tcPr>
          <w:p w14:paraId="1B115774">
            <w:pPr>
              <w:pStyle w:val="31"/>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sz w:val="20"/>
              </w:rPr>
            </w:pPr>
            <w:r>
              <w:rPr>
                <w:spacing w:val="-1"/>
                <w:sz w:val="20"/>
              </w:rPr>
              <w:t>江苏云储智能科技有限公司</w:t>
            </w:r>
          </w:p>
        </w:tc>
      </w:tr>
      <w:tr w14:paraId="321F0F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611FEB8D">
            <w:pPr>
              <w:pStyle w:val="31"/>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rPr>
                <w:sz w:val="20"/>
              </w:rPr>
            </w:pPr>
            <w:r>
              <w:rPr>
                <w:spacing w:val="-2"/>
                <w:sz w:val="20"/>
              </w:rPr>
              <w:t>文档版本</w:t>
            </w:r>
          </w:p>
        </w:tc>
        <w:tc>
          <w:tcPr>
            <w:tcW w:w="1555" w:type="dxa"/>
          </w:tcPr>
          <w:p w14:paraId="73888EAC">
            <w:pPr>
              <w:pStyle w:val="31"/>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rPr>
                <w:sz w:val="20"/>
              </w:rPr>
            </w:pPr>
            <w:r>
              <w:rPr>
                <w:spacing w:val="-2"/>
                <w:sz w:val="20"/>
              </w:rPr>
              <w:t>版本日期</w:t>
            </w:r>
          </w:p>
        </w:tc>
        <w:tc>
          <w:tcPr>
            <w:tcW w:w="2302" w:type="dxa"/>
          </w:tcPr>
          <w:p w14:paraId="3AB5ABC6">
            <w:pPr>
              <w:pStyle w:val="31"/>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sz w:val="20"/>
              </w:rPr>
            </w:pPr>
            <w:r>
              <w:rPr>
                <w:spacing w:val="-2"/>
                <w:sz w:val="20"/>
              </w:rPr>
              <w:t>版本说明</w:t>
            </w:r>
          </w:p>
        </w:tc>
        <w:tc>
          <w:tcPr>
            <w:tcW w:w="1557" w:type="dxa"/>
          </w:tcPr>
          <w:p w14:paraId="641BFA80">
            <w:pPr>
              <w:pStyle w:val="31"/>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sz w:val="20"/>
              </w:rPr>
            </w:pPr>
            <w:r>
              <w:rPr>
                <w:spacing w:val="-3"/>
                <w:sz w:val="20"/>
              </w:rPr>
              <w:t>作者</w:t>
            </w:r>
          </w:p>
        </w:tc>
        <w:tc>
          <w:tcPr>
            <w:tcW w:w="1953" w:type="dxa"/>
          </w:tcPr>
          <w:p w14:paraId="0A88F519">
            <w:pPr>
              <w:pStyle w:val="31"/>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sz w:val="20"/>
              </w:rPr>
            </w:pPr>
            <w:r>
              <w:rPr>
                <w:spacing w:val="-5"/>
                <w:sz w:val="20"/>
              </w:rPr>
              <w:t>审核</w:t>
            </w:r>
          </w:p>
        </w:tc>
      </w:tr>
      <w:tr w14:paraId="6816A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B77F98C">
            <w:pPr>
              <w:pStyle w:val="31"/>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rPr>
                <w:sz w:val="20"/>
              </w:rPr>
            </w:pPr>
            <w:r>
              <w:rPr>
                <w:spacing w:val="-1"/>
                <w:sz w:val="20"/>
              </w:rPr>
              <w:t>V</w:t>
            </w:r>
            <w:r>
              <w:rPr>
                <w:rFonts w:hint="eastAsia"/>
                <w:spacing w:val="-1"/>
                <w:sz w:val="20"/>
                <w:lang w:val="en-US" w:eastAsia="zh-CN"/>
              </w:rPr>
              <w:t>1.</w:t>
            </w:r>
            <w:r>
              <w:rPr>
                <w:spacing w:val="-1"/>
                <w:sz w:val="20"/>
              </w:rPr>
              <w:t>0</w:t>
            </w:r>
          </w:p>
        </w:tc>
        <w:tc>
          <w:tcPr>
            <w:tcW w:w="1555" w:type="dxa"/>
          </w:tcPr>
          <w:p w14:paraId="7CE00211">
            <w:pPr>
              <w:pStyle w:val="31"/>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rPr>
                <w:sz w:val="20"/>
              </w:rPr>
            </w:pPr>
            <w:r>
              <w:rPr>
                <w:spacing w:val="-2"/>
                <w:sz w:val="20"/>
              </w:rPr>
              <w:t>20</w:t>
            </w:r>
            <w:r>
              <w:rPr>
                <w:rFonts w:hint="eastAsia"/>
                <w:spacing w:val="-2"/>
                <w:sz w:val="20"/>
                <w:lang w:eastAsia="zh-CN"/>
              </w:rPr>
              <w:t>25</w:t>
            </w:r>
            <w:r>
              <w:rPr>
                <w:spacing w:val="-2"/>
                <w:sz w:val="20"/>
              </w:rPr>
              <w:t>-1-4</w:t>
            </w:r>
          </w:p>
        </w:tc>
        <w:tc>
          <w:tcPr>
            <w:tcW w:w="2302" w:type="dxa"/>
          </w:tcPr>
          <w:p w14:paraId="480C38CA">
            <w:pPr>
              <w:pStyle w:val="31"/>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rPr>
                <w:sz w:val="20"/>
              </w:rPr>
            </w:pPr>
            <w:r>
              <w:rPr>
                <w:spacing w:val="-3"/>
                <w:sz w:val="20"/>
              </w:rPr>
              <w:t>发布版本</w:t>
            </w:r>
          </w:p>
        </w:tc>
        <w:tc>
          <w:tcPr>
            <w:tcW w:w="1557" w:type="dxa"/>
          </w:tcPr>
          <w:p w14:paraId="53DFF6FF">
            <w:pPr>
              <w:pStyle w:val="31"/>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sz w:val="20"/>
                <w:lang w:eastAsia="zh-CN"/>
              </w:rPr>
            </w:pPr>
            <w:r>
              <w:rPr>
                <w:rFonts w:hint="eastAsia"/>
                <w:sz w:val="20"/>
                <w:lang w:eastAsia="zh-CN"/>
              </w:rPr>
              <w:t>王朋</w:t>
            </w:r>
          </w:p>
        </w:tc>
        <w:tc>
          <w:tcPr>
            <w:tcW w:w="1953" w:type="dxa"/>
          </w:tcPr>
          <w:p w14:paraId="5EFA74A6">
            <w:pPr>
              <w:pStyle w:val="31"/>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rPr>
                <w:sz w:val="20"/>
              </w:rPr>
            </w:pPr>
            <w:r>
              <w:rPr>
                <w:spacing w:val="-3"/>
                <w:sz w:val="20"/>
              </w:rPr>
              <w:t>史晓玲</w:t>
            </w:r>
          </w:p>
        </w:tc>
      </w:tr>
      <w:tr w14:paraId="406C2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3C5A789">
            <w:pPr>
              <w:pStyle w:val="31"/>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638"/>
              <w:textAlignment w:val="baseline"/>
              <w:rPr>
                <w:sz w:val="20"/>
              </w:rPr>
            </w:pPr>
          </w:p>
        </w:tc>
        <w:tc>
          <w:tcPr>
            <w:tcW w:w="1555" w:type="dxa"/>
          </w:tcPr>
          <w:p w14:paraId="0426DC1F">
            <w:pPr>
              <w:pStyle w:val="31"/>
              <w:keepNext w:val="0"/>
              <w:keepLines w:val="0"/>
              <w:pageBreakBefore w:val="0"/>
              <w:widowControl w:val="0"/>
              <w:kinsoku w:val="0"/>
              <w:wordWrap/>
              <w:overflowPunct/>
              <w:topLinePunct w:val="0"/>
              <w:autoSpaceDE w:val="0"/>
              <w:autoSpaceDN w:val="0"/>
              <w:bidi w:val="0"/>
              <w:adjustRightInd w:val="0"/>
              <w:snapToGrid w:val="0"/>
              <w:spacing w:before="164"/>
              <w:ind w:left="361"/>
              <w:textAlignment w:val="baseline"/>
              <w:rPr>
                <w:sz w:val="20"/>
              </w:rPr>
            </w:pPr>
          </w:p>
        </w:tc>
        <w:tc>
          <w:tcPr>
            <w:tcW w:w="2302" w:type="dxa"/>
          </w:tcPr>
          <w:p w14:paraId="68B59DBA">
            <w:pPr>
              <w:pStyle w:val="31"/>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7"/>
              <w:textAlignment w:val="baseline"/>
              <w:rPr>
                <w:sz w:val="20"/>
              </w:rPr>
            </w:pPr>
          </w:p>
        </w:tc>
        <w:tc>
          <w:tcPr>
            <w:tcW w:w="1557" w:type="dxa"/>
          </w:tcPr>
          <w:p w14:paraId="15019421">
            <w:pPr>
              <w:pStyle w:val="31"/>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rPr>
                <w:sz w:val="20"/>
              </w:rPr>
            </w:pPr>
          </w:p>
        </w:tc>
        <w:tc>
          <w:tcPr>
            <w:tcW w:w="1953" w:type="dxa"/>
          </w:tcPr>
          <w:p w14:paraId="28BF72B8">
            <w:pPr>
              <w:pStyle w:val="31"/>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rPr>
                <w:sz w:val="20"/>
              </w:rPr>
            </w:pPr>
          </w:p>
        </w:tc>
      </w:tr>
      <w:tr w14:paraId="2004FD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27AE02A4">
            <w:pPr>
              <w:pStyle w:val="31"/>
              <w:keepNext w:val="0"/>
              <w:keepLines w:val="0"/>
              <w:pageBreakBefore w:val="0"/>
              <w:widowControl w:val="0"/>
              <w:kinsoku w:val="0"/>
              <w:wordWrap/>
              <w:overflowPunct/>
              <w:topLinePunct w:val="0"/>
              <w:autoSpaceDE w:val="0"/>
              <w:autoSpaceDN w:val="0"/>
              <w:bidi w:val="0"/>
              <w:adjustRightInd w:val="0"/>
              <w:snapToGrid w:val="0"/>
              <w:spacing w:before="165" w:line="239" w:lineRule="auto"/>
              <w:ind w:left="638"/>
              <w:textAlignment w:val="baseline"/>
              <w:rPr>
                <w:sz w:val="20"/>
              </w:rPr>
            </w:pPr>
          </w:p>
        </w:tc>
        <w:tc>
          <w:tcPr>
            <w:tcW w:w="1555" w:type="dxa"/>
          </w:tcPr>
          <w:p w14:paraId="4227A42F">
            <w:pPr>
              <w:pStyle w:val="31"/>
              <w:keepNext w:val="0"/>
              <w:keepLines w:val="0"/>
              <w:pageBreakBefore w:val="0"/>
              <w:widowControl w:val="0"/>
              <w:kinsoku w:val="0"/>
              <w:wordWrap/>
              <w:overflowPunct/>
              <w:topLinePunct w:val="0"/>
              <w:autoSpaceDE w:val="0"/>
              <w:autoSpaceDN w:val="0"/>
              <w:bidi w:val="0"/>
              <w:adjustRightInd w:val="0"/>
              <w:snapToGrid w:val="0"/>
              <w:spacing w:before="165"/>
              <w:ind w:left="361"/>
              <w:textAlignment w:val="baseline"/>
              <w:rPr>
                <w:sz w:val="20"/>
              </w:rPr>
            </w:pPr>
          </w:p>
        </w:tc>
        <w:tc>
          <w:tcPr>
            <w:tcW w:w="2302" w:type="dxa"/>
          </w:tcPr>
          <w:p w14:paraId="1FA48573">
            <w:pPr>
              <w:pStyle w:val="31"/>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737"/>
              <w:textAlignment w:val="baseline"/>
              <w:rPr>
                <w:sz w:val="20"/>
              </w:rPr>
            </w:pPr>
          </w:p>
        </w:tc>
        <w:tc>
          <w:tcPr>
            <w:tcW w:w="1557" w:type="dxa"/>
          </w:tcPr>
          <w:p w14:paraId="6CFF87C0">
            <w:pPr>
              <w:pStyle w:val="31"/>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480"/>
              <w:textAlignment w:val="baseline"/>
              <w:rPr>
                <w:sz w:val="20"/>
              </w:rPr>
            </w:pPr>
          </w:p>
        </w:tc>
        <w:tc>
          <w:tcPr>
            <w:tcW w:w="1953" w:type="dxa"/>
          </w:tcPr>
          <w:p w14:paraId="4A580CB4">
            <w:pPr>
              <w:pStyle w:val="31"/>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672"/>
              <w:textAlignment w:val="baseline"/>
              <w:rPr>
                <w:sz w:val="20"/>
              </w:rPr>
            </w:pPr>
          </w:p>
        </w:tc>
      </w:tr>
      <w:tr w14:paraId="7B91F5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9486F91">
            <w:pPr>
              <w:pStyle w:val="31"/>
              <w:keepNext w:val="0"/>
              <w:keepLines w:val="0"/>
              <w:pageBreakBefore w:val="0"/>
              <w:widowControl w:val="0"/>
              <w:kinsoku w:val="0"/>
              <w:wordWrap/>
              <w:overflowPunct/>
              <w:topLinePunct w:val="0"/>
              <w:autoSpaceDE w:val="0"/>
              <w:autoSpaceDN w:val="0"/>
              <w:bidi w:val="0"/>
              <w:adjustRightInd w:val="0"/>
              <w:snapToGrid w:val="0"/>
              <w:spacing w:before="166" w:line="239" w:lineRule="auto"/>
              <w:ind w:left="638"/>
              <w:textAlignment w:val="baseline"/>
              <w:rPr>
                <w:sz w:val="20"/>
              </w:rPr>
            </w:pPr>
          </w:p>
        </w:tc>
        <w:tc>
          <w:tcPr>
            <w:tcW w:w="1555" w:type="dxa"/>
          </w:tcPr>
          <w:p w14:paraId="5E6AE1B6">
            <w:pPr>
              <w:pStyle w:val="31"/>
              <w:keepNext w:val="0"/>
              <w:keepLines w:val="0"/>
              <w:pageBreakBefore w:val="0"/>
              <w:widowControl w:val="0"/>
              <w:kinsoku w:val="0"/>
              <w:wordWrap/>
              <w:overflowPunct/>
              <w:topLinePunct w:val="0"/>
              <w:autoSpaceDE w:val="0"/>
              <w:autoSpaceDN w:val="0"/>
              <w:bidi w:val="0"/>
              <w:adjustRightInd w:val="0"/>
              <w:snapToGrid w:val="0"/>
              <w:spacing w:before="166"/>
              <w:ind w:left="361"/>
              <w:textAlignment w:val="baseline"/>
              <w:rPr>
                <w:sz w:val="20"/>
              </w:rPr>
            </w:pPr>
          </w:p>
        </w:tc>
        <w:tc>
          <w:tcPr>
            <w:tcW w:w="2302" w:type="dxa"/>
          </w:tcPr>
          <w:p w14:paraId="68A02EAA">
            <w:pPr>
              <w:pStyle w:val="31"/>
              <w:keepNext w:val="0"/>
              <w:keepLines w:val="0"/>
              <w:pageBreakBefore w:val="0"/>
              <w:widowControl w:val="0"/>
              <w:kinsoku w:val="0"/>
              <w:wordWrap/>
              <w:overflowPunct/>
              <w:topLinePunct w:val="0"/>
              <w:autoSpaceDE w:val="0"/>
              <w:autoSpaceDN w:val="0"/>
              <w:bidi w:val="0"/>
              <w:adjustRightInd w:val="0"/>
              <w:snapToGrid w:val="0"/>
              <w:spacing w:before="136" w:line="219" w:lineRule="auto"/>
              <w:ind w:left="737"/>
              <w:textAlignment w:val="baseline"/>
              <w:rPr>
                <w:sz w:val="20"/>
              </w:rPr>
            </w:pPr>
          </w:p>
        </w:tc>
        <w:tc>
          <w:tcPr>
            <w:tcW w:w="1557" w:type="dxa"/>
          </w:tcPr>
          <w:p w14:paraId="61A79901">
            <w:pPr>
              <w:pStyle w:val="31"/>
              <w:keepNext w:val="0"/>
              <w:keepLines w:val="0"/>
              <w:pageBreakBefore w:val="0"/>
              <w:widowControl w:val="0"/>
              <w:kinsoku w:val="0"/>
              <w:wordWrap/>
              <w:overflowPunct/>
              <w:topLinePunct w:val="0"/>
              <w:autoSpaceDE w:val="0"/>
              <w:autoSpaceDN w:val="0"/>
              <w:bidi w:val="0"/>
              <w:adjustRightInd w:val="0"/>
              <w:snapToGrid w:val="0"/>
              <w:spacing w:before="137" w:line="220" w:lineRule="auto"/>
              <w:ind w:left="480"/>
              <w:textAlignment w:val="baseline"/>
              <w:rPr>
                <w:sz w:val="20"/>
              </w:rPr>
            </w:pPr>
          </w:p>
        </w:tc>
        <w:tc>
          <w:tcPr>
            <w:tcW w:w="1953" w:type="dxa"/>
          </w:tcPr>
          <w:p w14:paraId="41ECF693">
            <w:pPr>
              <w:pStyle w:val="31"/>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672"/>
              <w:textAlignment w:val="baseline"/>
              <w:rPr>
                <w:sz w:val="20"/>
              </w:rPr>
            </w:pPr>
          </w:p>
        </w:tc>
      </w:tr>
      <w:tr w14:paraId="63CD70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7D39921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宋体" w:cs="Times New Roman"/>
                <w:kern w:val="0"/>
                <w:sz w:val="20"/>
                <w:szCs w:val="20"/>
              </w:rPr>
            </w:pPr>
          </w:p>
        </w:tc>
        <w:tc>
          <w:tcPr>
            <w:tcW w:w="1555" w:type="dxa"/>
          </w:tcPr>
          <w:p w14:paraId="2E52EE5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宋体" w:cs="Times New Roman"/>
                <w:kern w:val="0"/>
                <w:sz w:val="20"/>
                <w:szCs w:val="20"/>
              </w:rPr>
            </w:pPr>
          </w:p>
        </w:tc>
        <w:tc>
          <w:tcPr>
            <w:tcW w:w="2302" w:type="dxa"/>
          </w:tcPr>
          <w:p w14:paraId="766D7D3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宋体" w:cs="Times New Roman"/>
                <w:kern w:val="0"/>
                <w:sz w:val="20"/>
                <w:szCs w:val="20"/>
              </w:rPr>
            </w:pPr>
          </w:p>
        </w:tc>
        <w:tc>
          <w:tcPr>
            <w:tcW w:w="1557" w:type="dxa"/>
          </w:tcPr>
          <w:p w14:paraId="7F8BDE5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宋体" w:cs="Times New Roman"/>
                <w:kern w:val="0"/>
                <w:sz w:val="20"/>
                <w:szCs w:val="20"/>
              </w:rPr>
            </w:pPr>
          </w:p>
        </w:tc>
        <w:tc>
          <w:tcPr>
            <w:tcW w:w="1953" w:type="dxa"/>
          </w:tcPr>
          <w:p w14:paraId="33CCC07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宋体" w:cs="Times New Roman"/>
                <w:kern w:val="0"/>
                <w:sz w:val="20"/>
                <w:szCs w:val="20"/>
              </w:rPr>
            </w:pPr>
          </w:p>
        </w:tc>
      </w:tr>
    </w:tbl>
    <w:p w14:paraId="25D0BDA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rPr>
      </w:pPr>
      <w:r>
        <w:rPr>
          <w:rFonts w:ascii="宋体" w:hAnsi="宋体"/>
        </w:rPr>
        <w:br w:type="page"/>
      </w:r>
    </w:p>
    <w:p w14:paraId="4C53217A">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宋体" w:hAnsi="宋体"/>
        </w:rPr>
      </w:pPr>
    </w:p>
    <w:sdt>
      <w:sdtPr>
        <w:rPr>
          <w:rFonts w:ascii="宋体" w:hAnsi="宋体"/>
        </w:rPr>
        <w:id w:val="147473573"/>
        <w:docPartObj>
          <w:docPartGallery w:val="Table of Contents"/>
          <w:docPartUnique/>
        </w:docPartObj>
      </w:sdtPr>
      <w:sdtEndPr>
        <w:rPr>
          <w:rFonts w:asciiTheme="minorHAnsi" w:hAnsiTheme="minorHAnsi"/>
        </w:rPr>
      </w:sdtEndPr>
      <w:sdtContent>
        <w:p w14:paraId="146E8F92">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ascii="宋体" w:hAnsi="宋体" w:eastAsia="宋体"/>
            </w:rPr>
            <w:t>目录</w:t>
          </w:r>
        </w:p>
        <w:p w14:paraId="47456FE7">
          <w:pPr>
            <w:pStyle w:val="17"/>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_Toc9259 </w:instrText>
          </w:r>
          <w:r>
            <w:fldChar w:fldCharType="separate"/>
          </w:r>
          <w:r>
            <w:t>淮安生态新城信息系统运维服务业务连续性计划</w:t>
          </w:r>
          <w:r>
            <w:tab/>
          </w:r>
          <w:r>
            <w:fldChar w:fldCharType="begin"/>
          </w:r>
          <w:r>
            <w:instrText xml:space="preserve"> PAGEREF _Toc9259 \h </w:instrText>
          </w:r>
          <w:r>
            <w:fldChar w:fldCharType="separate"/>
          </w:r>
          <w:r>
            <w:t>1</w:t>
          </w:r>
          <w:r>
            <w:fldChar w:fldCharType="end"/>
          </w:r>
          <w:r>
            <w:fldChar w:fldCharType="end"/>
          </w:r>
        </w:p>
        <w:p w14:paraId="489ED430">
          <w:pPr>
            <w:pStyle w:val="17"/>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_Toc16496 </w:instrText>
          </w:r>
          <w:r>
            <w:fldChar w:fldCharType="separate"/>
          </w:r>
          <w:r>
            <w:t>江苏云储智能科技有限公司</w:t>
          </w:r>
          <w:r>
            <w:tab/>
          </w:r>
          <w:r>
            <w:fldChar w:fldCharType="begin"/>
          </w:r>
          <w:r>
            <w:instrText xml:space="preserve"> PAGEREF _Toc16496 \h </w:instrText>
          </w:r>
          <w:r>
            <w:fldChar w:fldCharType="separate"/>
          </w:r>
          <w:r>
            <w:t>1</w:t>
          </w:r>
          <w:r>
            <w:fldChar w:fldCharType="end"/>
          </w:r>
          <w:r>
            <w:fldChar w:fldCharType="end"/>
          </w:r>
        </w:p>
        <w:p w14:paraId="2E5A0E52">
          <w:pPr>
            <w:pStyle w:val="17"/>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_Toc21158 </w:instrText>
          </w:r>
          <w:r>
            <w:fldChar w:fldCharType="separate"/>
          </w:r>
          <w:r>
            <w:rPr>
              <w:rFonts w:hint="default"/>
            </w:rPr>
            <w:t xml:space="preserve">1. </w:t>
          </w:r>
          <w:r>
            <w:t>目的</w:t>
          </w:r>
          <w:r>
            <w:tab/>
          </w:r>
          <w:r>
            <w:fldChar w:fldCharType="begin"/>
          </w:r>
          <w:r>
            <w:instrText xml:space="preserve"> PAGEREF _Toc21158 \h </w:instrText>
          </w:r>
          <w:r>
            <w:fldChar w:fldCharType="separate"/>
          </w:r>
          <w:r>
            <w:t>4</w:t>
          </w:r>
          <w:r>
            <w:fldChar w:fldCharType="end"/>
          </w:r>
          <w:r>
            <w:fldChar w:fldCharType="end"/>
          </w:r>
        </w:p>
        <w:p w14:paraId="2904682A">
          <w:pPr>
            <w:pStyle w:val="17"/>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_Toc25125 </w:instrText>
          </w:r>
          <w:r>
            <w:fldChar w:fldCharType="separate"/>
          </w:r>
          <w:r>
            <w:rPr>
              <w:rFonts w:hint="default"/>
            </w:rPr>
            <w:t xml:space="preserve">2. </w:t>
          </w:r>
          <w:r>
            <w:t>适用范围</w:t>
          </w:r>
          <w:r>
            <w:tab/>
          </w:r>
          <w:r>
            <w:fldChar w:fldCharType="begin"/>
          </w:r>
          <w:r>
            <w:instrText xml:space="preserve"> PAGEREF _Toc25125 \h </w:instrText>
          </w:r>
          <w:r>
            <w:fldChar w:fldCharType="separate"/>
          </w:r>
          <w:r>
            <w:t>4</w:t>
          </w:r>
          <w:r>
            <w:fldChar w:fldCharType="end"/>
          </w:r>
          <w:r>
            <w:fldChar w:fldCharType="end"/>
          </w:r>
        </w:p>
        <w:p w14:paraId="3147F879">
          <w:pPr>
            <w:pStyle w:val="17"/>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_Toc12213 </w:instrText>
          </w:r>
          <w:r>
            <w:fldChar w:fldCharType="separate"/>
          </w:r>
          <w:r>
            <w:rPr>
              <w:rFonts w:hint="default"/>
            </w:rPr>
            <w:t xml:space="preserve">3. </w:t>
          </w:r>
          <w:r>
            <w:t>连续性计划</w:t>
          </w:r>
          <w:r>
            <w:tab/>
          </w:r>
          <w:r>
            <w:fldChar w:fldCharType="begin"/>
          </w:r>
          <w:r>
            <w:instrText xml:space="preserve"> PAGEREF _Toc12213 \h </w:instrText>
          </w:r>
          <w:r>
            <w:fldChar w:fldCharType="separate"/>
          </w:r>
          <w:r>
            <w:t>4</w:t>
          </w:r>
          <w:r>
            <w:fldChar w:fldCharType="end"/>
          </w:r>
          <w:r>
            <w:fldChar w:fldCharType="end"/>
          </w:r>
        </w:p>
        <w:p w14:paraId="5B1F1E63">
          <w:pPr>
            <w:pStyle w:val="18"/>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_Toc10123 </w:instrText>
          </w:r>
          <w:r>
            <w:fldChar w:fldCharType="separate"/>
          </w:r>
          <w:r>
            <w:rPr>
              <w:rFonts w:hint="default"/>
            </w:rPr>
            <w:t xml:space="preserve">3.1. </w:t>
          </w:r>
          <w:r>
            <w:t>计划的执行</w:t>
          </w:r>
          <w:r>
            <w:tab/>
          </w:r>
          <w:r>
            <w:fldChar w:fldCharType="begin"/>
          </w:r>
          <w:r>
            <w:instrText xml:space="preserve"> PAGEREF _Toc10123 \h </w:instrText>
          </w:r>
          <w:r>
            <w:fldChar w:fldCharType="separate"/>
          </w:r>
          <w:r>
            <w:t>4</w:t>
          </w:r>
          <w:r>
            <w:fldChar w:fldCharType="end"/>
          </w:r>
          <w:r>
            <w:fldChar w:fldCharType="end"/>
          </w:r>
        </w:p>
        <w:p w14:paraId="3880DC56">
          <w:pPr>
            <w:pStyle w:val="13"/>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_Toc24675 </w:instrText>
          </w:r>
          <w:r>
            <w:fldChar w:fldCharType="separate"/>
          </w:r>
          <w:r>
            <w:rPr>
              <w:rFonts w:hint="default"/>
            </w:rPr>
            <w:t xml:space="preserve">3.1.1. </w:t>
          </w:r>
          <w:r>
            <w:t>启动恢复计划</w:t>
          </w:r>
          <w:r>
            <w:tab/>
          </w:r>
          <w:r>
            <w:fldChar w:fldCharType="begin"/>
          </w:r>
          <w:r>
            <w:instrText xml:space="preserve"> PAGEREF _Toc24675 \h </w:instrText>
          </w:r>
          <w:r>
            <w:fldChar w:fldCharType="separate"/>
          </w:r>
          <w:r>
            <w:t>4</w:t>
          </w:r>
          <w:r>
            <w:fldChar w:fldCharType="end"/>
          </w:r>
          <w:r>
            <w:fldChar w:fldCharType="end"/>
          </w:r>
        </w:p>
        <w:p w14:paraId="515DB973">
          <w:pPr>
            <w:pStyle w:val="13"/>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_Toc20226 </w:instrText>
          </w:r>
          <w:r>
            <w:fldChar w:fldCharType="separate"/>
          </w:r>
          <w:r>
            <w:rPr>
              <w:rFonts w:hint="default"/>
            </w:rPr>
            <w:t xml:space="preserve">3.1.2. </w:t>
          </w:r>
          <w:r>
            <w:t>执行过程</w:t>
          </w:r>
          <w:r>
            <w:tab/>
          </w:r>
          <w:r>
            <w:fldChar w:fldCharType="begin"/>
          </w:r>
          <w:r>
            <w:instrText xml:space="preserve"> PAGEREF _Toc20226 \h </w:instrText>
          </w:r>
          <w:r>
            <w:fldChar w:fldCharType="separate"/>
          </w:r>
          <w:r>
            <w:t>5</w:t>
          </w:r>
          <w:r>
            <w:fldChar w:fldCharType="end"/>
          </w:r>
          <w:r>
            <w:fldChar w:fldCharType="end"/>
          </w:r>
        </w:p>
        <w:p w14:paraId="6862151F">
          <w:pPr>
            <w:pStyle w:val="13"/>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_Toc2339 </w:instrText>
          </w:r>
          <w:r>
            <w:fldChar w:fldCharType="separate"/>
          </w:r>
          <w:r>
            <w:rPr>
              <w:rFonts w:hint="default"/>
            </w:rPr>
            <w:t xml:space="preserve">3.1.3. </w:t>
          </w:r>
          <w:r>
            <w:t>灾难恢复计划表</w:t>
          </w:r>
          <w:r>
            <w:tab/>
          </w:r>
          <w:r>
            <w:fldChar w:fldCharType="begin"/>
          </w:r>
          <w:r>
            <w:instrText xml:space="preserve"> PAGEREF _Toc2339 \h </w:instrText>
          </w:r>
          <w:r>
            <w:fldChar w:fldCharType="separate"/>
          </w:r>
          <w:r>
            <w:t>6</w:t>
          </w:r>
          <w:r>
            <w:fldChar w:fldCharType="end"/>
          </w:r>
          <w:r>
            <w:fldChar w:fldCharType="end"/>
          </w:r>
        </w:p>
        <w:p w14:paraId="5AAAF6CF">
          <w:pPr>
            <w:pStyle w:val="18"/>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_Toc5234 </w:instrText>
          </w:r>
          <w:r>
            <w:fldChar w:fldCharType="separate"/>
          </w:r>
          <w:r>
            <w:rPr>
              <w:rFonts w:hint="default"/>
            </w:rPr>
            <w:t xml:space="preserve">3.2. </w:t>
          </w:r>
          <w:r>
            <w:t>连续性维护内容</w:t>
          </w:r>
          <w:r>
            <w:tab/>
          </w:r>
          <w:r>
            <w:fldChar w:fldCharType="begin"/>
          </w:r>
          <w:r>
            <w:instrText xml:space="preserve"> PAGEREF _Toc5234 \h </w:instrText>
          </w:r>
          <w:r>
            <w:fldChar w:fldCharType="separate"/>
          </w:r>
          <w:r>
            <w:t>6</w:t>
          </w:r>
          <w:r>
            <w:fldChar w:fldCharType="end"/>
          </w:r>
          <w:r>
            <w:fldChar w:fldCharType="end"/>
          </w:r>
        </w:p>
        <w:p w14:paraId="1202F73D">
          <w:pPr>
            <w:pStyle w:val="13"/>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_Toc8800 </w:instrText>
          </w:r>
          <w:r>
            <w:fldChar w:fldCharType="separate"/>
          </w:r>
          <w:r>
            <w:rPr>
              <w:rFonts w:hint="default"/>
            </w:rPr>
            <w:t xml:space="preserve">3.2.1. </w:t>
          </w:r>
          <w:r>
            <w:t>日常维护</w:t>
          </w:r>
          <w:r>
            <w:tab/>
          </w:r>
          <w:r>
            <w:fldChar w:fldCharType="begin"/>
          </w:r>
          <w:r>
            <w:instrText xml:space="preserve"> PAGEREF _Toc8800 \h </w:instrText>
          </w:r>
          <w:r>
            <w:fldChar w:fldCharType="separate"/>
          </w:r>
          <w:r>
            <w:t>6</w:t>
          </w:r>
          <w:r>
            <w:fldChar w:fldCharType="end"/>
          </w:r>
          <w:r>
            <w:fldChar w:fldCharType="end"/>
          </w:r>
        </w:p>
        <w:p w14:paraId="100613C6">
          <w:pPr>
            <w:pStyle w:val="13"/>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_Toc4668 </w:instrText>
          </w:r>
          <w:r>
            <w:fldChar w:fldCharType="separate"/>
          </w:r>
          <w:r>
            <w:rPr>
              <w:rFonts w:hint="default"/>
            </w:rPr>
            <w:t xml:space="preserve">3.2.2. </w:t>
          </w:r>
          <w:r>
            <w:t>备用数据</w:t>
          </w:r>
          <w:r>
            <w:tab/>
          </w:r>
          <w:r>
            <w:fldChar w:fldCharType="begin"/>
          </w:r>
          <w:r>
            <w:instrText xml:space="preserve"> PAGEREF _Toc4668 \h </w:instrText>
          </w:r>
          <w:r>
            <w:fldChar w:fldCharType="separate"/>
          </w:r>
          <w:r>
            <w:t>7</w:t>
          </w:r>
          <w:r>
            <w:fldChar w:fldCharType="end"/>
          </w:r>
          <w:r>
            <w:fldChar w:fldCharType="end"/>
          </w:r>
        </w:p>
        <w:p w14:paraId="3C695830">
          <w:pPr>
            <w:pStyle w:val="13"/>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_Toc14885 </w:instrText>
          </w:r>
          <w:r>
            <w:fldChar w:fldCharType="separate"/>
          </w:r>
          <w:r>
            <w:rPr>
              <w:rFonts w:hint="default"/>
            </w:rPr>
            <w:t xml:space="preserve">3.2.3. </w:t>
          </w:r>
          <w:r>
            <w:t>计划测试</w:t>
          </w:r>
          <w:r>
            <w:tab/>
          </w:r>
          <w:r>
            <w:fldChar w:fldCharType="begin"/>
          </w:r>
          <w:r>
            <w:instrText xml:space="preserve"> PAGEREF _Toc14885 \h </w:instrText>
          </w:r>
          <w:r>
            <w:fldChar w:fldCharType="separate"/>
          </w:r>
          <w:r>
            <w:t>8</w:t>
          </w:r>
          <w:r>
            <w:fldChar w:fldCharType="end"/>
          </w:r>
          <w:r>
            <w:fldChar w:fldCharType="end"/>
          </w:r>
        </w:p>
        <w:p w14:paraId="5A0449E4">
          <w:pPr>
            <w:pStyle w:val="13"/>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_Toc20131 </w:instrText>
          </w:r>
          <w:r>
            <w:fldChar w:fldCharType="separate"/>
          </w:r>
          <w:r>
            <w:rPr>
              <w:rFonts w:hint="default"/>
            </w:rPr>
            <w:t xml:space="preserve">3.2.4. </w:t>
          </w:r>
          <w:r>
            <w:t>计划的培训</w:t>
          </w:r>
          <w:r>
            <w:tab/>
          </w:r>
          <w:r>
            <w:fldChar w:fldCharType="begin"/>
          </w:r>
          <w:r>
            <w:instrText xml:space="preserve"> PAGEREF _Toc20131 \h </w:instrText>
          </w:r>
          <w:r>
            <w:fldChar w:fldCharType="separate"/>
          </w:r>
          <w:r>
            <w:t>8</w:t>
          </w:r>
          <w:r>
            <w:fldChar w:fldCharType="end"/>
          </w:r>
          <w:r>
            <w:fldChar w:fldCharType="end"/>
          </w:r>
        </w:p>
        <w:p w14:paraId="12640E7E">
          <w:pPr>
            <w:pStyle w:val="17"/>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fldChar w:fldCharType="begin"/>
          </w:r>
          <w:r>
            <w:instrText xml:space="preserve"> HYPERLINK \l _Toc21612 </w:instrText>
          </w:r>
          <w:r>
            <w:fldChar w:fldCharType="separate"/>
          </w:r>
          <w:r>
            <w:rPr>
              <w:rFonts w:hint="default"/>
            </w:rPr>
            <w:t xml:space="preserve">4. </w:t>
          </w:r>
          <w:r>
            <w:t>应急联系方式</w:t>
          </w:r>
          <w:r>
            <w:tab/>
          </w:r>
          <w:r>
            <w:fldChar w:fldCharType="begin"/>
          </w:r>
          <w:r>
            <w:instrText xml:space="preserve"> PAGEREF _Toc21612 \h </w:instrText>
          </w:r>
          <w:r>
            <w:fldChar w:fldCharType="separate"/>
          </w:r>
          <w:r>
            <w:t>8</w:t>
          </w:r>
          <w:r>
            <w:fldChar w:fldCharType="end"/>
          </w:r>
          <w:r>
            <w:fldChar w:fldCharType="end"/>
          </w:r>
        </w:p>
        <w:p w14:paraId="4AE2A479">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33746085">
      <w:pPr>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heading_1"/>
      <w:r>
        <w:br w:type="page"/>
      </w:r>
    </w:p>
    <w:p w14:paraId="7B842B61">
      <w:pPr>
        <w:pStyle w:val="35"/>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1158"/>
      <w:r>
        <w:t>目的</w:t>
      </w:r>
      <w:bookmarkEnd w:id="2"/>
      <w:bookmarkEnd w:id="3"/>
    </w:p>
    <w:p w14:paraId="7512F73C">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r>
        <w:t>为确保淮安生态新城信息系统（以下简称“项目”）在遭遇重大故障、灾难事件或其他严重影响运维服务的突发事件后，能迅速、有序地恢复系统功能与业务运行，保障甲方各信息化系统的连续性运行，最大限度降低对甲方业务的影响，特制定本连续性计划。</w:t>
      </w:r>
    </w:p>
    <w:p w14:paraId="06687437">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r>
        <w:t>本计划依据《淮安生态新城信息系统运维服务合同》要求编制。</w:t>
      </w:r>
    </w:p>
    <w:p w14:paraId="401523ED">
      <w:pPr>
        <w:pStyle w:val="35"/>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heading_2"/>
      <w:bookmarkStart w:id="5" w:name="_Toc25125"/>
      <w:r>
        <w:t>适用范围</w:t>
      </w:r>
      <w:bookmarkEnd w:id="4"/>
      <w:bookmarkEnd w:id="5"/>
    </w:p>
    <w:p w14:paraId="14E3E7AC">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r>
        <w:t>本计划适用于本项目全部运维服务活动遭遇以下灾难性或重大中断事件后的应急响应与恢复处理：</w:t>
      </w:r>
    </w:p>
    <w:tbl>
      <w:tblPr>
        <w:tblStyle w:val="21"/>
        <w:tblW w:w="8250"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724"/>
        <w:gridCol w:w="2521"/>
        <w:gridCol w:w="5005"/>
      </w:tblGrid>
      <w:tr w14:paraId="73E363B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724"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C69501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252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8AE8112">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事件类型</w:t>
            </w:r>
          </w:p>
        </w:tc>
        <w:tc>
          <w:tcPr>
            <w:tcW w:w="500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D709094">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具体场景</w:t>
            </w:r>
          </w:p>
        </w:tc>
      </w:tr>
      <w:tr w14:paraId="1ED4DAA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7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FB39F14">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25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473718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核心系统完全不可用</w:t>
            </w:r>
          </w:p>
        </w:tc>
        <w:tc>
          <w:tcPr>
            <w:tcW w:w="50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7B3D841">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rPr>
                <w:rFonts w:hint="eastAsia"/>
                <w:lang w:val="en-US" w:eastAsia="zh-CN"/>
              </w:rPr>
              <w:t>系统</w:t>
            </w:r>
            <w:r>
              <w:t>完全不可用</w:t>
            </w:r>
          </w:p>
        </w:tc>
      </w:tr>
      <w:tr w14:paraId="378DDB5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7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3986E44">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25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A5F35C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数据中心基础设施故障</w:t>
            </w:r>
          </w:p>
        </w:tc>
        <w:tc>
          <w:tcPr>
            <w:tcW w:w="50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41747E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电力中断、网络全阻、空调故障导致设备过热等</w:t>
            </w:r>
          </w:p>
        </w:tc>
      </w:tr>
      <w:tr w14:paraId="5D11E45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7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F784AD2">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25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66E98F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大规模硬件故障</w:t>
            </w:r>
          </w:p>
        </w:tc>
        <w:tc>
          <w:tcPr>
            <w:tcW w:w="50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18EAC62">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核心交换机集群失效、存储阵列损坏、服务器集群宕机</w:t>
            </w:r>
          </w:p>
        </w:tc>
      </w:tr>
      <w:tr w14:paraId="4DACCAE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7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DDD4F0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25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72EF881">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重大软件故障或数据损坏</w:t>
            </w:r>
          </w:p>
        </w:tc>
        <w:tc>
          <w:tcPr>
            <w:tcW w:w="50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F1CA70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数据库损坏、应用系统崩溃、配置数据丢失</w:t>
            </w:r>
          </w:p>
        </w:tc>
      </w:tr>
      <w:tr w14:paraId="1AEAE1E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7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BF3C532">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25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B58B3A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安全事件</w:t>
            </w:r>
          </w:p>
        </w:tc>
        <w:tc>
          <w:tcPr>
            <w:tcW w:w="50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2BE7744">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勒索病毒攻击、数据泄露、DDoS攻击导致服务中断</w:t>
            </w:r>
          </w:p>
        </w:tc>
      </w:tr>
      <w:tr w14:paraId="47A9BBE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72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56D6F8F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252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FF61531">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其他严重事件</w:t>
            </w:r>
          </w:p>
        </w:tc>
        <w:tc>
          <w:tcPr>
            <w:tcW w:w="500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DA422E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认定需启动连续性计划的其他严重事件</w:t>
            </w:r>
          </w:p>
        </w:tc>
      </w:tr>
    </w:tbl>
    <w:p w14:paraId="3ACF7119">
      <w:pPr>
        <w:pStyle w:val="35"/>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2213"/>
      <w:r>
        <w:t>连续性计划</w:t>
      </w:r>
      <w:bookmarkEnd w:id="6"/>
      <w:bookmarkEnd w:id="7"/>
    </w:p>
    <w:p w14:paraId="576F6B4A">
      <w:pPr>
        <w:pStyle w:val="37"/>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10123"/>
      <w:r>
        <w:t>计划的执行</w:t>
      </w:r>
      <w:bookmarkEnd w:id="8"/>
      <w:bookmarkEnd w:id="9"/>
    </w:p>
    <w:p w14:paraId="184F7E6C">
      <w:pPr>
        <w:pStyle w:val="3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4675"/>
      <w:bookmarkStart w:id="11" w:name="heading_5"/>
      <w:r>
        <w:t>启动恢复计划</w:t>
      </w:r>
      <w:bookmarkEnd w:id="10"/>
      <w:bookmarkEnd w:id="11"/>
    </w:p>
    <w:p w14:paraId="34611AF5">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r>
        <w:t>当发生可能影响系统连续运行的重大事件时，按以下流程判断并启动本计划：启动条件（满足任一即启动）：</w:t>
      </w:r>
    </w:p>
    <w:p w14:paraId="543AE6F9">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核心业务系统预计恢复时间超过4小时；</w:t>
      </w:r>
    </w:p>
    <w:p w14:paraId="55790135">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发生数据丢失或损坏，需从备份恢复；</w:t>
      </w:r>
    </w:p>
    <w:p w14:paraId="54615D5B">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关键硬件设备故障且备件更换后仍无法恢复；</w:t>
      </w:r>
    </w:p>
    <w:p w14:paraId="20CC0CB4">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发生安全事件导致系统需隔离下线；</w:t>
      </w:r>
    </w:p>
    <w:p w14:paraId="05295682">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副总经理或运维部经理判断需启动的其他情形。</w:t>
      </w:r>
    </w:p>
    <w:p w14:paraId="6FF6EA2A">
      <w:pPr>
        <w:pStyle w:val="3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0226"/>
      <w:bookmarkStart w:id="13" w:name="heading_6"/>
      <w:r>
        <w:t>执行过程</w:t>
      </w:r>
      <w:bookmarkEnd w:id="12"/>
      <w:bookmarkEnd w:id="13"/>
    </w:p>
    <w:p w14:paraId="7D8B53D5">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r>
        <w:t>一旦连续性计划启动，按以下步骤执行：</w:t>
      </w:r>
    </w:p>
    <w:tbl>
      <w:tblPr>
        <w:tblStyle w:val="21"/>
        <w:tblW w:w="8250" w:type="dxa"/>
        <w:jc w:val="center"/>
        <w:tblBorders>
          <w:top w:val="none" w:color="auto" w:sz="2" w:space="0"/>
          <w:left w:val="none" w:color="auto" w:sz="2" w:space="0"/>
          <w:bottom w:val="none" w:color="auto" w:sz="2" w:space="0"/>
          <w:right w:val="none" w:color="auto" w:sz="2" w:space="0"/>
          <w:insideH w:val="none" w:color="auto" w:sz="6" w:space="0"/>
          <w:insideV w:val="none" w:color="auto" w:sz="6" w:space="0"/>
        </w:tblBorders>
        <w:tblLayout w:type="autofit"/>
        <w:tblCellMar>
          <w:top w:w="0" w:type="dxa"/>
          <w:left w:w="10" w:type="dxa"/>
          <w:bottom w:w="0" w:type="dxa"/>
          <w:right w:w="10" w:type="dxa"/>
        </w:tblCellMar>
      </w:tblPr>
      <w:tblGrid>
        <w:gridCol w:w="832"/>
        <w:gridCol w:w="4585"/>
        <w:gridCol w:w="1282"/>
        <w:gridCol w:w="1551"/>
      </w:tblGrid>
      <w:tr w14:paraId="5C4C3475">
        <w:tblPrEx>
          <w:tblBorders>
            <w:top w:val="none" w:color="auto" w:sz="2" w:space="0"/>
            <w:left w:val="none" w:color="auto" w:sz="2" w:space="0"/>
            <w:bottom w:val="none" w:color="auto" w:sz="2" w:space="0"/>
            <w:right w:val="none" w:color="auto" w:sz="2" w:space="0"/>
            <w:insideH w:val="none" w:color="auto" w:sz="6" w:space="0"/>
            <w:insideV w:val="none" w:color="auto" w:sz="6" w:space="0"/>
          </w:tblBorders>
          <w:tblCellMar>
            <w:top w:w="0" w:type="dxa"/>
            <w:left w:w="10" w:type="dxa"/>
            <w:bottom w:w="0" w:type="dxa"/>
            <w:right w:w="10" w:type="dxa"/>
          </w:tblCellMar>
        </w:tblPrEx>
        <w:trPr>
          <w:trHeight w:val="0" w:hRule="atLeast"/>
          <w:tblHeader/>
          <w:jc w:val="center"/>
        </w:trPr>
        <w:tc>
          <w:tcPr>
            <w:tcW w:w="832"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E0DF4A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458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6660F78">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执行内容</w:t>
            </w:r>
          </w:p>
        </w:tc>
        <w:tc>
          <w:tcPr>
            <w:tcW w:w="128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78DE696">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责任岗位</w:t>
            </w:r>
          </w:p>
        </w:tc>
        <w:tc>
          <w:tcPr>
            <w:tcW w:w="155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B7BC4B8">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时限要求</w:t>
            </w:r>
          </w:p>
        </w:tc>
      </w:tr>
      <w:tr w14:paraId="4BF4A2D3">
        <w:tblPrEx>
          <w:tblBorders>
            <w:top w:val="none" w:color="auto" w:sz="2" w:space="0"/>
            <w:left w:val="none" w:color="auto" w:sz="2" w:space="0"/>
            <w:bottom w:val="none" w:color="auto" w:sz="2" w:space="0"/>
            <w:right w:val="none" w:color="auto" w:sz="2" w:space="0"/>
            <w:insideH w:val="none" w:color="auto" w:sz="6" w:space="0"/>
            <w:insideV w:val="none" w:color="auto" w:sz="6" w:space="0"/>
          </w:tblBorders>
          <w:tblCellMar>
            <w:top w:w="0" w:type="dxa"/>
            <w:left w:w="10" w:type="dxa"/>
            <w:bottom w:w="0" w:type="dxa"/>
            <w:right w:w="10" w:type="dxa"/>
          </w:tblCellMar>
        </w:tblPrEx>
        <w:trPr>
          <w:trHeight w:val="0" w:hRule="atLeast"/>
          <w:jc w:val="center"/>
        </w:trPr>
        <w:tc>
          <w:tcPr>
            <w:tcW w:w="83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F142DC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第1步</w:t>
            </w:r>
          </w:p>
        </w:tc>
        <w:tc>
          <w:tcPr>
            <w:tcW w:w="45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9A46E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成立应急小组：立即成立由副总经理担任总指挥的应急小组，成员包括运维部经理、质量部经理、服务台经理、相关技术工程师、甲方联络人等。</w:t>
            </w:r>
          </w:p>
        </w:tc>
        <w:tc>
          <w:tcPr>
            <w:tcW w:w="12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4EAA95A">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副总经理</w:t>
            </w:r>
          </w:p>
        </w:tc>
        <w:tc>
          <w:tcPr>
            <w:tcW w:w="155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6EDABA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15分钟内</w:t>
            </w:r>
          </w:p>
        </w:tc>
      </w:tr>
      <w:tr w14:paraId="43FF392F">
        <w:tblPrEx>
          <w:tblBorders>
            <w:top w:val="none" w:color="auto" w:sz="2" w:space="0"/>
            <w:left w:val="none" w:color="auto" w:sz="2" w:space="0"/>
            <w:bottom w:val="none" w:color="auto" w:sz="2" w:space="0"/>
            <w:right w:val="none" w:color="auto" w:sz="2" w:space="0"/>
            <w:insideH w:val="none" w:color="auto" w:sz="6" w:space="0"/>
            <w:insideV w:val="none" w:color="auto" w:sz="6" w:space="0"/>
          </w:tblBorders>
          <w:tblCellMar>
            <w:top w:w="0" w:type="dxa"/>
            <w:left w:w="10" w:type="dxa"/>
            <w:bottom w:w="0" w:type="dxa"/>
            <w:right w:w="10" w:type="dxa"/>
          </w:tblCellMar>
        </w:tblPrEx>
        <w:trPr>
          <w:trHeight w:val="0" w:hRule="atLeast"/>
          <w:jc w:val="center"/>
        </w:trPr>
        <w:tc>
          <w:tcPr>
            <w:tcW w:w="83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2D03FC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第2步</w:t>
            </w:r>
          </w:p>
        </w:tc>
        <w:tc>
          <w:tcPr>
            <w:tcW w:w="45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3E96AE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事件评估与决策：快速判断事件类型与影响范围，明确恢复策略（原地修复、系统切换、数据恢复等）。</w:t>
            </w:r>
          </w:p>
        </w:tc>
        <w:tc>
          <w:tcPr>
            <w:tcW w:w="12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74E9C0A">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运维部经理</w:t>
            </w:r>
          </w:p>
        </w:tc>
        <w:tc>
          <w:tcPr>
            <w:tcW w:w="155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160A34A">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30分钟内</w:t>
            </w:r>
          </w:p>
        </w:tc>
      </w:tr>
      <w:tr w14:paraId="226BC067">
        <w:tblPrEx>
          <w:tblBorders>
            <w:top w:val="none" w:color="auto" w:sz="2" w:space="0"/>
            <w:left w:val="none" w:color="auto" w:sz="2" w:space="0"/>
            <w:bottom w:val="none" w:color="auto" w:sz="2" w:space="0"/>
            <w:right w:val="none" w:color="auto" w:sz="2" w:space="0"/>
            <w:insideH w:val="none" w:color="auto" w:sz="6" w:space="0"/>
            <w:insideV w:val="none" w:color="auto" w:sz="6" w:space="0"/>
          </w:tblBorders>
          <w:tblCellMar>
            <w:top w:w="0" w:type="dxa"/>
            <w:left w:w="10" w:type="dxa"/>
            <w:bottom w:w="0" w:type="dxa"/>
            <w:right w:w="10" w:type="dxa"/>
          </w:tblCellMar>
        </w:tblPrEx>
        <w:trPr>
          <w:trHeight w:val="0" w:hRule="atLeast"/>
          <w:jc w:val="center"/>
        </w:trPr>
        <w:tc>
          <w:tcPr>
            <w:tcW w:w="83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76772F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第3步</w:t>
            </w:r>
          </w:p>
        </w:tc>
        <w:tc>
          <w:tcPr>
            <w:tcW w:w="45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2B9F26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基础设施恢复：如涉及电力、网络、空调等问题，立即协调相关方维修或启用备用设施。</w:t>
            </w:r>
          </w:p>
        </w:tc>
        <w:tc>
          <w:tcPr>
            <w:tcW w:w="12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610D6FA">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基础环境运维工程师</w:t>
            </w:r>
          </w:p>
        </w:tc>
        <w:tc>
          <w:tcPr>
            <w:tcW w:w="155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ABDA3D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按需</w:t>
            </w:r>
          </w:p>
        </w:tc>
      </w:tr>
      <w:tr w14:paraId="4450606B">
        <w:tblPrEx>
          <w:tblBorders>
            <w:top w:val="none" w:color="auto" w:sz="2" w:space="0"/>
            <w:left w:val="none" w:color="auto" w:sz="2" w:space="0"/>
            <w:bottom w:val="none" w:color="auto" w:sz="2" w:space="0"/>
            <w:right w:val="none" w:color="auto" w:sz="2" w:space="0"/>
            <w:insideH w:val="none" w:color="auto" w:sz="6" w:space="0"/>
            <w:insideV w:val="none" w:color="auto" w:sz="6" w:space="0"/>
          </w:tblBorders>
          <w:tblCellMar>
            <w:top w:w="0" w:type="dxa"/>
            <w:left w:w="10" w:type="dxa"/>
            <w:bottom w:w="0" w:type="dxa"/>
            <w:right w:w="10" w:type="dxa"/>
          </w:tblCellMar>
        </w:tblPrEx>
        <w:trPr>
          <w:trHeight w:val="0" w:hRule="atLeast"/>
          <w:jc w:val="center"/>
        </w:trPr>
        <w:tc>
          <w:tcPr>
            <w:tcW w:w="83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B5A193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第4步</w:t>
            </w:r>
          </w:p>
        </w:tc>
        <w:tc>
          <w:tcPr>
            <w:tcW w:w="45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14BDB11">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硬件替换：从备件库调取可用设备，替换故障硬件。</w:t>
            </w:r>
          </w:p>
        </w:tc>
        <w:tc>
          <w:tcPr>
            <w:tcW w:w="12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84FDEB9">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备件库经理</w:t>
            </w:r>
          </w:p>
        </w:tc>
        <w:tc>
          <w:tcPr>
            <w:tcW w:w="155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B319DA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1小时内完成出库</w:t>
            </w:r>
          </w:p>
        </w:tc>
      </w:tr>
      <w:tr w14:paraId="15791B85">
        <w:tblPrEx>
          <w:tblBorders>
            <w:top w:val="none" w:color="auto" w:sz="2" w:space="0"/>
            <w:left w:val="none" w:color="auto" w:sz="2" w:space="0"/>
            <w:bottom w:val="none" w:color="auto" w:sz="2" w:space="0"/>
            <w:right w:val="none" w:color="auto" w:sz="2" w:space="0"/>
            <w:insideH w:val="none" w:color="auto" w:sz="6" w:space="0"/>
            <w:insideV w:val="none" w:color="auto" w:sz="6" w:space="0"/>
          </w:tblBorders>
          <w:tblCellMar>
            <w:top w:w="0" w:type="dxa"/>
            <w:left w:w="10" w:type="dxa"/>
            <w:bottom w:w="0" w:type="dxa"/>
            <w:right w:w="10" w:type="dxa"/>
          </w:tblCellMar>
        </w:tblPrEx>
        <w:trPr>
          <w:trHeight w:val="0" w:hRule="atLeast"/>
          <w:jc w:val="center"/>
        </w:trPr>
        <w:tc>
          <w:tcPr>
            <w:tcW w:w="83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FE4670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第5步</w:t>
            </w:r>
          </w:p>
        </w:tc>
        <w:tc>
          <w:tcPr>
            <w:tcW w:w="45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8D33F6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软件与数据恢复：使用最近的有效备份恢复系统数据与应用程序。</w:t>
            </w:r>
          </w:p>
        </w:tc>
        <w:tc>
          <w:tcPr>
            <w:tcW w:w="12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3EB2091">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数据库工程师/软件运维工程师</w:t>
            </w:r>
          </w:p>
        </w:tc>
        <w:tc>
          <w:tcPr>
            <w:tcW w:w="155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FB1729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按RTO目标</w:t>
            </w:r>
          </w:p>
        </w:tc>
      </w:tr>
      <w:tr w14:paraId="56629FFD">
        <w:tblPrEx>
          <w:tblBorders>
            <w:top w:val="none" w:color="auto" w:sz="2" w:space="0"/>
            <w:left w:val="none" w:color="auto" w:sz="2" w:space="0"/>
            <w:bottom w:val="none" w:color="auto" w:sz="2" w:space="0"/>
            <w:right w:val="none" w:color="auto" w:sz="2" w:space="0"/>
            <w:insideH w:val="none" w:color="auto" w:sz="6" w:space="0"/>
            <w:insideV w:val="none" w:color="auto" w:sz="6" w:space="0"/>
          </w:tblBorders>
          <w:tblCellMar>
            <w:top w:w="0" w:type="dxa"/>
            <w:left w:w="10" w:type="dxa"/>
            <w:bottom w:w="0" w:type="dxa"/>
            <w:right w:w="10" w:type="dxa"/>
          </w:tblCellMar>
        </w:tblPrEx>
        <w:trPr>
          <w:trHeight w:val="0" w:hRule="atLeast"/>
          <w:jc w:val="center"/>
        </w:trPr>
        <w:tc>
          <w:tcPr>
            <w:tcW w:w="83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787BC2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第6步</w:t>
            </w:r>
          </w:p>
        </w:tc>
        <w:tc>
          <w:tcPr>
            <w:tcW w:w="45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13FF574">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系统重启与测试：恢复后，严格按流程重启系统，并进行核心业务功能验证测试。</w:t>
            </w:r>
          </w:p>
        </w:tc>
        <w:tc>
          <w:tcPr>
            <w:tcW w:w="12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EEBF31B">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运维部经理</w:t>
            </w:r>
          </w:p>
        </w:tc>
        <w:tc>
          <w:tcPr>
            <w:tcW w:w="155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D0B88A6">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恢复后立即</w:t>
            </w:r>
          </w:p>
        </w:tc>
      </w:tr>
      <w:tr w14:paraId="4F8A2ACF">
        <w:tblPrEx>
          <w:tblBorders>
            <w:top w:val="none" w:color="auto" w:sz="2" w:space="0"/>
            <w:left w:val="none" w:color="auto" w:sz="2" w:space="0"/>
            <w:bottom w:val="none" w:color="auto" w:sz="2" w:space="0"/>
            <w:right w:val="none" w:color="auto" w:sz="2" w:space="0"/>
            <w:insideH w:val="none" w:color="auto" w:sz="6" w:space="0"/>
            <w:insideV w:val="none" w:color="auto" w:sz="6" w:space="0"/>
          </w:tblBorders>
          <w:tblCellMar>
            <w:top w:w="0" w:type="dxa"/>
            <w:left w:w="10" w:type="dxa"/>
            <w:bottom w:w="0" w:type="dxa"/>
            <w:right w:w="10" w:type="dxa"/>
          </w:tblCellMar>
        </w:tblPrEx>
        <w:trPr>
          <w:trHeight w:val="0" w:hRule="atLeast"/>
          <w:jc w:val="center"/>
        </w:trPr>
        <w:tc>
          <w:tcPr>
            <w:tcW w:w="83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589CEC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第7步</w:t>
            </w:r>
          </w:p>
        </w:tc>
        <w:tc>
          <w:tcPr>
            <w:tcW w:w="45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D1B80FA">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业务恢复与观察：确认系统稳定后，逐步恢复业务服务，并密切监控运行状态。</w:t>
            </w:r>
          </w:p>
        </w:tc>
        <w:tc>
          <w:tcPr>
            <w:tcW w:w="12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5D3E1C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服务台经理</w:t>
            </w:r>
          </w:p>
        </w:tc>
        <w:tc>
          <w:tcPr>
            <w:tcW w:w="155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138F81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持续</w:t>
            </w:r>
          </w:p>
        </w:tc>
      </w:tr>
      <w:tr w14:paraId="47039F1D">
        <w:tblPrEx>
          <w:tblBorders>
            <w:top w:val="none" w:color="auto" w:sz="2" w:space="0"/>
            <w:left w:val="none" w:color="auto" w:sz="2" w:space="0"/>
            <w:bottom w:val="none" w:color="auto" w:sz="2" w:space="0"/>
            <w:right w:val="none" w:color="auto" w:sz="2" w:space="0"/>
            <w:insideH w:val="none" w:color="auto" w:sz="6" w:space="0"/>
            <w:insideV w:val="none" w:color="auto" w:sz="6" w:space="0"/>
          </w:tblBorders>
          <w:tblCellMar>
            <w:top w:w="0" w:type="dxa"/>
            <w:left w:w="10" w:type="dxa"/>
            <w:bottom w:w="0" w:type="dxa"/>
            <w:right w:w="10" w:type="dxa"/>
          </w:tblCellMar>
        </w:tblPrEx>
        <w:trPr>
          <w:trHeight w:val="0" w:hRule="atLeast"/>
          <w:jc w:val="center"/>
        </w:trPr>
        <w:tc>
          <w:tcPr>
            <w:tcW w:w="832"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33E81C7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第8步</w:t>
            </w:r>
          </w:p>
        </w:tc>
        <w:tc>
          <w:tcPr>
            <w:tcW w:w="458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25DC7A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事件复盘与改进：编写《重大事件报告》，进行根因分析，更新预案。</w:t>
            </w:r>
          </w:p>
        </w:tc>
        <w:tc>
          <w:tcPr>
            <w:tcW w:w="128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DA3674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质量部经理</w:t>
            </w:r>
          </w:p>
        </w:tc>
        <w:tc>
          <w:tcPr>
            <w:tcW w:w="155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32692A39">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5个工作日内</w:t>
            </w:r>
          </w:p>
        </w:tc>
      </w:tr>
    </w:tbl>
    <w:p w14:paraId="57E2F812">
      <w:pPr>
        <w:pStyle w:val="3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2339"/>
      <w:r>
        <w:t>灾难恢复计划表</w:t>
      </w:r>
      <w:bookmarkEnd w:id="14"/>
      <w:bookmarkEnd w:id="15"/>
    </w:p>
    <w:tbl>
      <w:tblPr>
        <w:tblStyle w:val="21"/>
        <w:tblW w:w="8250" w:type="dxa"/>
        <w:jc w:val="center"/>
        <w:tblBorders>
          <w:top w:val="none" w:color="auto" w:sz="2" w:space="0"/>
          <w:left w:val="none" w:color="auto" w:sz="2" w:space="0"/>
          <w:bottom w:val="none" w:color="auto" w:sz="2" w:space="0"/>
          <w:right w:val="none" w:color="auto" w:sz="2" w:space="0"/>
          <w:insideH w:val="none" w:color="auto" w:sz="2" w:space="0"/>
          <w:insideV w:val="none" w:color="auto" w:sz="2" w:space="0"/>
        </w:tblBorders>
        <w:tblLayout w:type="autofit"/>
        <w:tblCellMar>
          <w:top w:w="0" w:type="dxa"/>
          <w:left w:w="10" w:type="dxa"/>
          <w:bottom w:w="0" w:type="dxa"/>
          <w:right w:w="10" w:type="dxa"/>
        </w:tblCellMar>
      </w:tblPr>
      <w:tblGrid>
        <w:gridCol w:w="1220"/>
        <w:gridCol w:w="3423"/>
        <w:gridCol w:w="1387"/>
        <w:gridCol w:w="2220"/>
      </w:tblGrid>
      <w:tr w14:paraId="06EE085B">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3E3E70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时间目标</w:t>
            </w:r>
          </w:p>
        </w:tc>
        <w:tc>
          <w:tcPr>
            <w:tcW w:w="342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2FE8F7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执行内容</w:t>
            </w:r>
          </w:p>
        </w:tc>
        <w:tc>
          <w:tcPr>
            <w:tcW w:w="138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CEADC4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负责人</w:t>
            </w:r>
          </w:p>
        </w:tc>
        <w:tc>
          <w:tcPr>
            <w:tcW w:w="222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945BAC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关键产出</w:t>
            </w:r>
          </w:p>
        </w:tc>
      </w:tr>
      <w:tr w14:paraId="4931D5D9">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3379DF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事件发生~15分钟内</w:t>
            </w:r>
          </w:p>
        </w:tc>
        <w:tc>
          <w:tcPr>
            <w:tcW w:w="34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C51791A">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监控告警触发，服务台记录事件，初步判断事件等级，通知运维部经理。</w:t>
            </w:r>
          </w:p>
        </w:tc>
        <w:tc>
          <w:tcPr>
            <w:tcW w:w="138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BE7E016">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lang w:val="en-US" w:eastAsia="zh-CN"/>
              </w:rPr>
            </w:pPr>
            <w:r>
              <w:rPr>
                <w:rFonts w:hint="eastAsia" w:ascii="Arial" w:eastAsia="宋体"/>
                <w:sz w:val="24"/>
                <w:lang w:val="en-US" w:eastAsia="zh-CN"/>
              </w:rPr>
              <w:t>服务台</w:t>
            </w:r>
          </w:p>
        </w:tc>
        <w:tc>
          <w:tcPr>
            <w:tcW w:w="222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D42D657">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事件工单</w:t>
            </w:r>
          </w:p>
        </w:tc>
      </w:tr>
      <w:tr w14:paraId="610C622D">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43A7EB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15分钟~30分钟内</w:t>
            </w:r>
          </w:p>
        </w:tc>
        <w:tc>
          <w:tcPr>
            <w:tcW w:w="34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25D6CE4">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运维部经理确认影响范围，如达到启动条件，立即通知副总经理启动连续性计划。</w:t>
            </w:r>
          </w:p>
        </w:tc>
        <w:tc>
          <w:tcPr>
            <w:tcW w:w="138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659EA3D">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运维部经理</w:t>
            </w:r>
          </w:p>
        </w:tc>
        <w:tc>
          <w:tcPr>
            <w:tcW w:w="222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4FE2B0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启动通知</w:t>
            </w:r>
          </w:p>
        </w:tc>
      </w:tr>
      <w:tr w14:paraId="29E1343C">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11C52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30分钟~1小时内</w:t>
            </w:r>
          </w:p>
        </w:tc>
        <w:tc>
          <w:tcPr>
            <w:tcW w:w="34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B1771CA">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应急小组集结完毕，完成事件定级与影响分析，制定详细恢复方案，通知甲方联络人。</w:t>
            </w:r>
          </w:p>
        </w:tc>
        <w:tc>
          <w:tcPr>
            <w:tcW w:w="138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3C4A0A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副总经理</w:t>
            </w:r>
          </w:p>
        </w:tc>
        <w:tc>
          <w:tcPr>
            <w:tcW w:w="222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0746BB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《应急响应方案》、通知记录</w:t>
            </w:r>
          </w:p>
        </w:tc>
      </w:tr>
      <w:tr w14:paraId="50744341">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3CBD56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1小时~4小时内</w:t>
            </w:r>
          </w:p>
        </w:tc>
        <w:tc>
          <w:tcPr>
            <w:tcW w:w="34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DFD189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执行恢复操作：基础设施抢修、硬件更换、数据恢复。</w:t>
            </w:r>
          </w:p>
        </w:tc>
        <w:tc>
          <w:tcPr>
            <w:tcW w:w="138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98CDE9B">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运维部经理</w:t>
            </w:r>
          </w:p>
        </w:tc>
        <w:tc>
          <w:tcPr>
            <w:tcW w:w="222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6D059D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恢复操作记录、备份恢复验证报告</w:t>
            </w:r>
          </w:p>
        </w:tc>
      </w:tr>
      <w:tr w14:paraId="08AEEC27">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8BF38D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4小时~6小时内</w:t>
            </w:r>
          </w:p>
        </w:tc>
        <w:tc>
          <w:tcPr>
            <w:tcW w:w="34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6E3ED8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系统重启，完成核心业务（核心交换机、路由器、服务器）功能测试。</w:t>
            </w:r>
          </w:p>
        </w:tc>
        <w:tc>
          <w:tcPr>
            <w:tcW w:w="138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9C16C28">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运维部经理</w:t>
            </w:r>
          </w:p>
        </w:tc>
        <w:tc>
          <w:tcPr>
            <w:tcW w:w="222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A95D1E1">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《系统恢复测试报告》</w:t>
            </w:r>
          </w:p>
        </w:tc>
      </w:tr>
      <w:tr w14:paraId="403F7684">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86A5AB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6小时~8小时内</w:t>
            </w:r>
          </w:p>
        </w:tc>
        <w:tc>
          <w:tcPr>
            <w:tcW w:w="34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DA161E1">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业务全面恢复，系统进入观察期，编写事件初步报告。</w:t>
            </w:r>
          </w:p>
        </w:tc>
        <w:tc>
          <w:tcPr>
            <w:tcW w:w="138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5CC7447">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副总经理</w:t>
            </w:r>
          </w:p>
        </w:tc>
        <w:tc>
          <w:tcPr>
            <w:tcW w:w="222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C3E21A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《业务恢复确认单》、《事件初步报告》</w:t>
            </w:r>
          </w:p>
        </w:tc>
      </w:tr>
      <w:tr w14:paraId="45F7F8E0">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122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6DFE02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5个工作日内</w:t>
            </w:r>
          </w:p>
        </w:tc>
        <w:tc>
          <w:tcPr>
            <w:tcW w:w="342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DF2DF9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完成根因分析，提交《重大事件报告》，更新应急预案。</w:t>
            </w:r>
          </w:p>
        </w:tc>
        <w:tc>
          <w:tcPr>
            <w:tcW w:w="138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998C56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质量部经理</w:t>
            </w:r>
          </w:p>
        </w:tc>
        <w:tc>
          <w:tcPr>
            <w:tcW w:w="222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33E2C5DB">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《重大事件报告》、预案更新记录</w:t>
            </w:r>
          </w:p>
        </w:tc>
      </w:tr>
    </w:tbl>
    <w:p w14:paraId="59C7AB2F">
      <w:pPr>
        <w:keepNext w:val="0"/>
        <w:keepLines w:val="0"/>
        <w:pageBreakBefore w:val="0"/>
        <w:widowControl w:val="0"/>
        <w:pBdr>
          <w:bottom w:val="single" w:color="DEE0E3" w:sz="2" w:space="0"/>
          <w:between w:val="single" w:color="DEE0E3" w:sz="2" w:space="0"/>
        </w:pBdr>
        <w:kinsoku w:val="0"/>
        <w:wordWrap/>
        <w:overflowPunct/>
        <w:topLinePunct w:val="0"/>
        <w:autoSpaceDE w:val="0"/>
        <w:autoSpaceDN w:val="0"/>
        <w:bidi w:val="0"/>
        <w:adjustRightInd w:val="0"/>
        <w:snapToGrid w:val="0"/>
        <w:spacing w:before="120" w:after="120" w:line="288" w:lineRule="auto"/>
        <w:textAlignment w:val="baseline"/>
      </w:pPr>
    </w:p>
    <w:p w14:paraId="2E84CBBD">
      <w:pPr>
        <w:pStyle w:val="3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5234"/>
      <w:bookmarkStart w:id="17" w:name="heading_8"/>
      <w:r>
        <w:t>连续性维护内容</w:t>
      </w:r>
      <w:bookmarkEnd w:id="16"/>
      <w:bookmarkEnd w:id="17"/>
    </w:p>
    <w:p w14:paraId="6C7B14C2">
      <w:pPr>
        <w:pStyle w:val="3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9"/>
      <w:bookmarkStart w:id="19" w:name="_Toc8800"/>
      <w:r>
        <w:t>日常维护</w:t>
      </w:r>
      <w:bookmarkEnd w:id="18"/>
      <w:bookmarkEnd w:id="19"/>
    </w:p>
    <w:p w14:paraId="63501001">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r>
        <w:t>为确保连续性计划的有效性，项目组需执行以下日常维护工作：</w:t>
      </w:r>
    </w:p>
    <w:tbl>
      <w:tblPr>
        <w:tblStyle w:val="21"/>
        <w:tblW w:w="8250" w:type="dxa"/>
        <w:jc w:val="center"/>
        <w:tblBorders>
          <w:top w:val="none" w:color="auto" w:sz="2" w:space="0"/>
          <w:left w:val="none" w:color="auto" w:sz="2" w:space="0"/>
          <w:bottom w:val="none" w:color="auto" w:sz="2" w:space="0"/>
          <w:right w:val="none" w:color="auto" w:sz="2" w:space="0"/>
          <w:insideH w:val="none" w:color="auto" w:sz="2" w:space="0"/>
          <w:insideV w:val="none" w:color="auto" w:sz="2" w:space="0"/>
        </w:tblBorders>
        <w:tblLayout w:type="autofit"/>
        <w:tblCellMar>
          <w:top w:w="0" w:type="dxa"/>
          <w:left w:w="10" w:type="dxa"/>
          <w:bottom w:w="0" w:type="dxa"/>
          <w:right w:w="10" w:type="dxa"/>
        </w:tblCellMar>
      </w:tblPr>
      <w:tblGrid>
        <w:gridCol w:w="3991"/>
        <w:gridCol w:w="1339"/>
        <w:gridCol w:w="1179"/>
        <w:gridCol w:w="1741"/>
      </w:tblGrid>
      <w:tr w14:paraId="576689E1">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tblHeader/>
          <w:jc w:val="center"/>
        </w:trPr>
        <w:tc>
          <w:tcPr>
            <w:tcW w:w="399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BF36A3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维护内容</w:t>
            </w:r>
          </w:p>
        </w:tc>
        <w:tc>
          <w:tcPr>
            <w:tcW w:w="133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A4915F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责任岗位</w:t>
            </w:r>
          </w:p>
        </w:tc>
        <w:tc>
          <w:tcPr>
            <w:tcW w:w="117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9A28CBD">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执行频率</w:t>
            </w:r>
          </w:p>
        </w:tc>
        <w:tc>
          <w:tcPr>
            <w:tcW w:w="174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9A5CDC7">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输出物</w:t>
            </w:r>
          </w:p>
        </w:tc>
      </w:tr>
      <w:tr w14:paraId="1BEB240A">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399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5A2573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确保备用环境（如有）的操作系统、数据库、中间件与生产环境保持版本兼容。</w:t>
            </w:r>
          </w:p>
        </w:tc>
        <w:tc>
          <w:tcPr>
            <w:tcW w:w="13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789E40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软件运维工程师</w:t>
            </w:r>
          </w:p>
        </w:tc>
        <w:tc>
          <w:tcPr>
            <w:tcW w:w="11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2F10D0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每月</w:t>
            </w:r>
          </w:p>
        </w:tc>
        <w:tc>
          <w:tcPr>
            <w:tcW w:w="174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D4B0D62">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《环境一致性检查报告》</w:t>
            </w:r>
          </w:p>
        </w:tc>
      </w:tr>
      <w:tr w14:paraId="4E61BDF8">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399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FD7976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定期对生产及备用系统进行安全加固、漏洞扫描与日志清理。</w:t>
            </w:r>
          </w:p>
        </w:tc>
        <w:tc>
          <w:tcPr>
            <w:tcW w:w="13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86C0C79">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rPr>
                <w:rFonts w:hint="eastAsia"/>
                <w:lang w:val="en-US" w:eastAsia="zh-CN"/>
              </w:rPr>
              <w:t>技术支持工程师</w:t>
            </w:r>
            <w:bookmarkStart w:id="28" w:name="_GoBack"/>
            <w:bookmarkEnd w:id="28"/>
          </w:p>
        </w:tc>
        <w:tc>
          <w:tcPr>
            <w:tcW w:w="11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C80FF6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每季度</w:t>
            </w:r>
          </w:p>
        </w:tc>
        <w:tc>
          <w:tcPr>
            <w:tcW w:w="174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012051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《安全加固记录》</w:t>
            </w:r>
          </w:p>
        </w:tc>
      </w:tr>
      <w:tr w14:paraId="07B4141D">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399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50B4D8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定期检查服务器硬件健康状况，清理冗余数据与临时文件。</w:t>
            </w:r>
          </w:p>
        </w:tc>
        <w:tc>
          <w:tcPr>
            <w:tcW w:w="13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23BC97">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基础环境运维工程师</w:t>
            </w:r>
          </w:p>
        </w:tc>
        <w:tc>
          <w:tcPr>
            <w:tcW w:w="11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ED901F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每周</w:t>
            </w:r>
          </w:p>
        </w:tc>
        <w:tc>
          <w:tcPr>
            <w:tcW w:w="174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D6513B7">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《硬件健康检查报告》</w:t>
            </w:r>
          </w:p>
        </w:tc>
      </w:tr>
      <w:tr w14:paraId="338E3497">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399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868E9C9">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备份恢复测试：从备份中恢复数据至测试环境，验证备份有效性。</w:t>
            </w:r>
          </w:p>
        </w:tc>
        <w:tc>
          <w:tcPr>
            <w:tcW w:w="13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C434038">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数据库工程师</w:t>
            </w:r>
          </w:p>
        </w:tc>
        <w:tc>
          <w:tcPr>
            <w:tcW w:w="11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87A1E3D">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每季度</w:t>
            </w:r>
          </w:p>
        </w:tc>
        <w:tc>
          <w:tcPr>
            <w:tcW w:w="174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DBB723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《备份恢复测试报告》</w:t>
            </w:r>
          </w:p>
        </w:tc>
      </w:tr>
      <w:tr w14:paraId="6F656993">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399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5CC115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演练计划制定与更新。</w:t>
            </w:r>
          </w:p>
        </w:tc>
        <w:tc>
          <w:tcPr>
            <w:tcW w:w="133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5401EA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117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BAD029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每半年</w:t>
            </w:r>
          </w:p>
        </w:tc>
        <w:tc>
          <w:tcPr>
            <w:tcW w:w="174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6304227">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《演练方案》</w:t>
            </w:r>
          </w:p>
        </w:tc>
      </w:tr>
    </w:tbl>
    <w:p w14:paraId="4C12EA6C">
      <w:pPr>
        <w:pStyle w:val="3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11"/>
      <w:bookmarkStart w:id="21" w:name="_Toc4668"/>
      <w:r>
        <w:t>备用数据</w:t>
      </w:r>
      <w:bookmarkEnd w:id="20"/>
      <w:bookmarkEnd w:id="21"/>
    </w:p>
    <w:p w14:paraId="07E1050E">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r>
        <w:t>依据合同第十一条《数据备份与恢复管理》要求，执行以下备份策略：</w:t>
      </w:r>
    </w:p>
    <w:tbl>
      <w:tblPr>
        <w:tblStyle w:val="21"/>
        <w:tblW w:w="8521" w:type="dxa"/>
        <w:jc w:val="center"/>
        <w:tblBorders>
          <w:top w:val="none" w:color="auto" w:sz="2" w:space="0"/>
          <w:left w:val="none" w:color="auto" w:sz="2" w:space="0"/>
          <w:bottom w:val="none" w:color="auto" w:sz="2" w:space="0"/>
          <w:right w:val="none" w:color="auto" w:sz="2" w:space="0"/>
          <w:insideH w:val="none" w:color="auto" w:sz="2" w:space="0"/>
          <w:insideV w:val="none" w:color="auto" w:sz="2" w:space="0"/>
        </w:tblBorders>
        <w:tblLayout w:type="autofit"/>
        <w:tblCellMar>
          <w:top w:w="0" w:type="dxa"/>
          <w:left w:w="10" w:type="dxa"/>
          <w:bottom w:w="0" w:type="dxa"/>
          <w:right w:w="10" w:type="dxa"/>
        </w:tblCellMar>
      </w:tblPr>
      <w:tblGrid>
        <w:gridCol w:w="1438"/>
        <w:gridCol w:w="2040"/>
        <w:gridCol w:w="1211"/>
        <w:gridCol w:w="1436"/>
        <w:gridCol w:w="1440"/>
        <w:gridCol w:w="956"/>
      </w:tblGrid>
      <w:tr w14:paraId="77708F88">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tblHeader/>
          <w:jc w:val="center"/>
        </w:trPr>
        <w:tc>
          <w:tcPr>
            <w:tcW w:w="1439"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348AC4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备份类型</w:t>
            </w:r>
          </w:p>
        </w:tc>
        <w:tc>
          <w:tcPr>
            <w:tcW w:w="204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1A11BA9">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执行频率</w:t>
            </w:r>
          </w:p>
        </w:tc>
        <w:tc>
          <w:tcPr>
            <w:tcW w:w="121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C01BFD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执行时间</w:t>
            </w:r>
          </w:p>
        </w:tc>
        <w:tc>
          <w:tcPr>
            <w:tcW w:w="1436"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DD0153D">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保留周期</w:t>
            </w:r>
          </w:p>
        </w:tc>
        <w:tc>
          <w:tcPr>
            <w:tcW w:w="144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C9EB82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责任岗位</w:t>
            </w:r>
          </w:p>
        </w:tc>
        <w:tc>
          <w:tcPr>
            <w:tcW w:w="95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F9084F6">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r>
      <w:tr w14:paraId="1D56E8D4">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143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9D55699">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全量备份</w:t>
            </w:r>
          </w:p>
        </w:tc>
        <w:tc>
          <w:tcPr>
            <w:tcW w:w="20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52088AA">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每周1次</w:t>
            </w:r>
          </w:p>
        </w:tc>
        <w:tc>
          <w:tcPr>
            <w:tcW w:w="121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F14B1A">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周日 02:00</w:t>
            </w:r>
          </w:p>
        </w:tc>
        <w:tc>
          <w:tcPr>
            <w:tcW w:w="143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9634AE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4周</w:t>
            </w:r>
          </w:p>
        </w:tc>
        <w:tc>
          <w:tcPr>
            <w:tcW w:w="14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0351B7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数据库工程师</w:t>
            </w:r>
          </w:p>
        </w:tc>
        <w:tc>
          <w:tcPr>
            <w:tcW w:w="95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F0B5F1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陈宇</w:t>
            </w:r>
          </w:p>
        </w:tc>
      </w:tr>
      <w:tr w14:paraId="3D46B486">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143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282D0EB">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增量备份</w:t>
            </w:r>
          </w:p>
        </w:tc>
        <w:tc>
          <w:tcPr>
            <w:tcW w:w="20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C3D4BB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每日1次</w:t>
            </w:r>
          </w:p>
        </w:tc>
        <w:tc>
          <w:tcPr>
            <w:tcW w:w="121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D91D421">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每日 02:00</w:t>
            </w:r>
          </w:p>
        </w:tc>
        <w:tc>
          <w:tcPr>
            <w:tcW w:w="143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68C532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7天</w:t>
            </w:r>
          </w:p>
        </w:tc>
        <w:tc>
          <w:tcPr>
            <w:tcW w:w="14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9094C62">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数据库工程师</w:t>
            </w:r>
          </w:p>
        </w:tc>
        <w:tc>
          <w:tcPr>
            <w:tcW w:w="95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F6F09ED">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陈宇</w:t>
            </w:r>
          </w:p>
        </w:tc>
      </w:tr>
      <w:tr w14:paraId="7762CA6D">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143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8A80634">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核心数据库备份</w:t>
            </w:r>
          </w:p>
        </w:tc>
        <w:tc>
          <w:tcPr>
            <w:tcW w:w="20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6C164C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每日全量 + 归档日志实时</w:t>
            </w:r>
          </w:p>
        </w:tc>
        <w:tc>
          <w:tcPr>
            <w:tcW w:w="121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2E31AAD">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w:t>
            </w:r>
          </w:p>
        </w:tc>
        <w:tc>
          <w:tcPr>
            <w:tcW w:w="143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836D46">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w:t>
            </w:r>
          </w:p>
        </w:tc>
        <w:tc>
          <w:tcPr>
            <w:tcW w:w="14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F864066">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数据库工程师</w:t>
            </w:r>
          </w:p>
        </w:tc>
        <w:tc>
          <w:tcPr>
            <w:tcW w:w="95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A9A9AB2">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陈宇</w:t>
            </w:r>
          </w:p>
        </w:tc>
      </w:tr>
      <w:tr w14:paraId="18DFE837">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1439"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F253F16">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异地备份</w:t>
            </w:r>
          </w:p>
        </w:tc>
        <w:tc>
          <w:tcPr>
            <w:tcW w:w="204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F584C3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每日同步</w:t>
            </w:r>
          </w:p>
        </w:tc>
        <w:tc>
          <w:tcPr>
            <w:tcW w:w="121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B4E50D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每日 03:00</w:t>
            </w:r>
          </w:p>
        </w:tc>
        <w:tc>
          <w:tcPr>
            <w:tcW w:w="1436"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C179A4D">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与本地一致</w:t>
            </w:r>
          </w:p>
        </w:tc>
        <w:tc>
          <w:tcPr>
            <w:tcW w:w="144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629E831">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软件运维工程师</w:t>
            </w:r>
          </w:p>
        </w:tc>
        <w:tc>
          <w:tcPr>
            <w:tcW w:w="95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57C9B42">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刘洋</w:t>
            </w:r>
          </w:p>
        </w:tc>
      </w:tr>
    </w:tbl>
    <w:p w14:paraId="705F62A8">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r>
        <w:t>存储与安全：</w:t>
      </w:r>
    </w:p>
    <w:p w14:paraId="53E8643A">
      <w:pPr>
        <w:pStyle w:val="46"/>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备份数据在本地存储的同时，需加密传输并异地保存一份，确保物理隔离。</w:t>
      </w:r>
    </w:p>
    <w:p w14:paraId="0047A03F">
      <w:pPr>
        <w:pStyle w:val="46"/>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异地备份由软件运维工程师负责执行，质量部经理每季度审计一次。</w:t>
      </w:r>
    </w:p>
    <w:p w14:paraId="17ACD67C">
      <w:pPr>
        <w:pStyle w:val="46"/>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pPr>
      <w:r>
        <w:t>恢复验证：</w:t>
      </w:r>
    </w:p>
    <w:p w14:paraId="7D61246C">
      <w:pPr>
        <w:pStyle w:val="46"/>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每季度进行一次备份数据恢复测试，由数据库工程师主导，质量部见证。</w:t>
      </w:r>
    </w:p>
    <w:p w14:paraId="1BDB90E6">
      <w:pPr>
        <w:pStyle w:val="46"/>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恢复测试报告由质量管理专员归档备案。</w:t>
      </w:r>
    </w:p>
    <w:p w14:paraId="440D3D4E">
      <w:pPr>
        <w:pStyle w:val="3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2"/>
      <w:bookmarkStart w:id="23" w:name="_Toc14885"/>
      <w:r>
        <w:t>计划测试</w:t>
      </w:r>
      <w:bookmarkEnd w:id="22"/>
      <w:bookmarkEnd w:id="23"/>
    </w:p>
    <w:tbl>
      <w:tblPr>
        <w:tblStyle w:val="21"/>
        <w:tblW w:w="852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90"/>
        <w:gridCol w:w="7531"/>
      </w:tblGrid>
      <w:tr w14:paraId="69A0E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90" w:type="dxa"/>
            <w:tcBorders>
              <w:top w:val="single" w:color="auto" w:sz="12" w:space="0"/>
              <w:left w:val="single" w:color="auto" w:sz="12" w:space="0"/>
              <w:bottom w:val="nil"/>
              <w:right w:val="nil"/>
            </w:tcBorders>
            <w:shd w:val="clear" w:color="auto" w:fill="auto"/>
            <w:noWrap w:val="0"/>
            <w:tcMar>
              <w:top w:w="120" w:type="dxa"/>
              <w:left w:w="-1" w:type="dxa"/>
              <w:bottom w:w="120" w:type="dxa"/>
              <w:right w:w="192" w:type="dxa"/>
            </w:tcMar>
            <w:vAlign w:val="center"/>
          </w:tcPr>
          <w:p w14:paraId="137022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F1115"/>
                <w:spacing w:val="0"/>
                <w:kern w:val="0"/>
                <w:sz w:val="18"/>
                <w:szCs w:val="18"/>
                <w:lang w:val="en-US" w:eastAsia="zh-CN" w:bidi="ar"/>
              </w:rPr>
              <w:t>项目</w:t>
            </w:r>
          </w:p>
        </w:tc>
        <w:tc>
          <w:tcPr>
            <w:tcW w:w="7531" w:type="dxa"/>
            <w:tcBorders>
              <w:top w:val="single" w:color="auto" w:sz="12" w:space="0"/>
              <w:left w:val="single" w:color="auto" w:sz="4" w:space="0"/>
              <w:bottom w:val="nil"/>
              <w:right w:val="single" w:color="auto" w:sz="12" w:space="0"/>
            </w:tcBorders>
            <w:shd w:val="clear" w:color="auto" w:fill="auto"/>
            <w:noWrap w:val="0"/>
            <w:tcMar>
              <w:top w:w="120" w:type="dxa"/>
              <w:left w:w="192" w:type="dxa"/>
              <w:bottom w:w="120" w:type="dxa"/>
              <w:right w:w="192" w:type="dxa"/>
            </w:tcMar>
            <w:vAlign w:val="center"/>
          </w:tcPr>
          <w:p w14:paraId="50B972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F1115"/>
                <w:spacing w:val="0"/>
                <w:kern w:val="0"/>
                <w:sz w:val="18"/>
                <w:szCs w:val="18"/>
                <w:lang w:val="en-US" w:eastAsia="zh-CN" w:bidi="ar"/>
              </w:rPr>
              <w:t>要求</w:t>
            </w:r>
          </w:p>
        </w:tc>
      </w:tr>
      <w:tr w14:paraId="3789E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990"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1FFB0A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F1115"/>
                <w:spacing w:val="0"/>
                <w:kern w:val="0"/>
                <w:sz w:val="18"/>
                <w:szCs w:val="18"/>
                <w:lang w:val="en-US" w:eastAsia="zh-CN" w:bidi="ar"/>
              </w:rPr>
              <w:t>测试频率</w:t>
            </w:r>
          </w:p>
        </w:tc>
        <w:tc>
          <w:tcPr>
            <w:tcW w:w="7531"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2A54A7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lang w:val="en-US" w:eastAsia="zh-CN" w:bidi="ar"/>
              </w:rPr>
              <w:t>每年至少组织一次综合性业务连续性演练（合同要求）。2025年度计划执行</w:t>
            </w:r>
            <w:r>
              <w:rPr>
                <w:rFonts w:hint="eastAsia" w:ascii="Segoe UI" w:hAnsi="Segoe UI" w:eastAsia="Segoe UI" w:cs="Segoe UI"/>
                <w:i w:val="0"/>
                <w:iCs w:val="0"/>
                <w:caps w:val="0"/>
                <w:snapToGrid w:val="0"/>
                <w:color w:val="0F1115"/>
                <w:spacing w:val="0"/>
                <w:kern w:val="0"/>
                <w:sz w:val="18"/>
                <w:szCs w:val="18"/>
                <w:lang w:val="en-US" w:eastAsia="zh-CN" w:bidi="ar"/>
              </w:rPr>
              <w:t>1</w:t>
            </w:r>
            <w:r>
              <w:rPr>
                <w:rFonts w:hint="default" w:ascii="Segoe UI" w:hAnsi="Segoe UI" w:eastAsia="Segoe UI" w:cs="Segoe UI"/>
                <w:i w:val="0"/>
                <w:iCs w:val="0"/>
                <w:caps w:val="0"/>
                <w:snapToGrid w:val="0"/>
                <w:color w:val="0F1115"/>
                <w:spacing w:val="0"/>
                <w:kern w:val="0"/>
                <w:sz w:val="18"/>
                <w:szCs w:val="18"/>
                <w:lang w:val="en-US" w:eastAsia="zh-CN" w:bidi="ar"/>
              </w:rPr>
              <w:t>次。</w:t>
            </w:r>
          </w:p>
        </w:tc>
      </w:tr>
      <w:tr w14:paraId="3BA29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990"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2617F9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F1115"/>
                <w:spacing w:val="0"/>
                <w:kern w:val="0"/>
                <w:sz w:val="18"/>
                <w:szCs w:val="18"/>
                <w:lang w:val="en-US" w:eastAsia="zh-CN" w:bidi="ar"/>
              </w:rPr>
              <w:t>测试形式</w:t>
            </w:r>
          </w:p>
        </w:tc>
        <w:tc>
          <w:tcPr>
            <w:tcW w:w="7531"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774D61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lang w:val="en-US" w:eastAsia="zh-CN" w:bidi="ar"/>
              </w:rPr>
              <w:t>可采用桌面推演、模拟故障、部分设备切换等不同形式，每次选择不同主题。</w:t>
            </w:r>
          </w:p>
        </w:tc>
      </w:tr>
      <w:tr w14:paraId="5E069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990"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32A0D0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F1115"/>
                <w:spacing w:val="0"/>
                <w:kern w:val="0"/>
                <w:sz w:val="18"/>
                <w:szCs w:val="18"/>
                <w:lang w:val="en-US" w:eastAsia="zh-CN" w:bidi="ar"/>
              </w:rPr>
              <w:t>演练主题</w:t>
            </w:r>
          </w:p>
        </w:tc>
        <w:tc>
          <w:tcPr>
            <w:tcW w:w="7531"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1C2249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lang w:val="en-US" w:eastAsia="zh-CN" w:bidi="ar"/>
              </w:rPr>
              <w:t>主题一：核心交换机主备切换演练（</w:t>
            </w:r>
            <w:r>
              <w:rPr>
                <w:rFonts w:hint="eastAsia" w:ascii="Segoe UI" w:hAnsi="Segoe UI" w:eastAsia="Segoe UI" w:cs="Segoe UI"/>
                <w:i w:val="0"/>
                <w:iCs w:val="0"/>
                <w:caps w:val="0"/>
                <w:snapToGrid w:val="0"/>
                <w:color w:val="0F1115"/>
                <w:spacing w:val="0"/>
                <w:kern w:val="0"/>
                <w:sz w:val="18"/>
                <w:szCs w:val="18"/>
                <w:lang w:val="en-US" w:eastAsia="zh-CN" w:bidi="ar"/>
              </w:rPr>
              <w:t>12</w:t>
            </w:r>
            <w:r>
              <w:rPr>
                <w:rFonts w:hint="default" w:ascii="Segoe UI" w:hAnsi="Segoe UI" w:eastAsia="Segoe UI" w:cs="Segoe UI"/>
                <w:i w:val="0"/>
                <w:iCs w:val="0"/>
                <w:caps w:val="0"/>
                <w:snapToGrid w:val="0"/>
                <w:color w:val="0F1115"/>
                <w:spacing w:val="0"/>
                <w:kern w:val="0"/>
                <w:sz w:val="18"/>
                <w:szCs w:val="18"/>
                <w:lang w:val="en-US" w:eastAsia="zh-CN" w:bidi="ar"/>
              </w:rPr>
              <w:t>月）。</w:t>
            </w:r>
          </w:p>
        </w:tc>
      </w:tr>
      <w:tr w14:paraId="43D58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990"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0AD21AF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F1115"/>
                <w:spacing w:val="0"/>
                <w:kern w:val="0"/>
                <w:sz w:val="18"/>
                <w:szCs w:val="18"/>
                <w:lang w:val="en-US" w:eastAsia="zh-CN" w:bidi="ar"/>
              </w:rPr>
              <w:t>审批流程</w:t>
            </w:r>
          </w:p>
        </w:tc>
        <w:tc>
          <w:tcPr>
            <w:tcW w:w="7531"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24BF35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lang w:val="en-US" w:eastAsia="zh-CN" w:bidi="ar"/>
              </w:rPr>
              <w:t>演练计划需报公司管理层及甲方相关负责人批准后实施。</w:t>
            </w:r>
          </w:p>
        </w:tc>
      </w:tr>
      <w:tr w14:paraId="407D2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990"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7D3AC3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F1115"/>
                <w:spacing w:val="0"/>
                <w:kern w:val="0"/>
                <w:sz w:val="18"/>
                <w:szCs w:val="18"/>
                <w:lang w:val="en-US" w:eastAsia="zh-CN" w:bidi="ar"/>
              </w:rPr>
              <w:t>记录要求</w:t>
            </w:r>
          </w:p>
        </w:tc>
        <w:tc>
          <w:tcPr>
            <w:tcW w:w="7531"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03C3F4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lang w:val="en-US" w:eastAsia="zh-CN" w:bidi="ar"/>
              </w:rPr>
              <w:t>演练过程需详细记录，演练结束后需形成《连续性演练总结报告》，分析不足并制定改进措施。</w:t>
            </w:r>
          </w:p>
        </w:tc>
      </w:tr>
      <w:tr w14:paraId="617F1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990" w:type="dxa"/>
            <w:tcBorders>
              <w:top w:val="single" w:color="auto" w:sz="4" w:space="0"/>
              <w:left w:val="single" w:color="auto" w:sz="12" w:space="0"/>
              <w:bottom w:val="single" w:color="auto" w:sz="12" w:space="0"/>
              <w:right w:val="nil"/>
            </w:tcBorders>
            <w:shd w:val="clear" w:color="auto" w:fill="auto"/>
            <w:noWrap w:val="0"/>
            <w:tcMar>
              <w:top w:w="120" w:type="dxa"/>
              <w:left w:w="-1" w:type="dxa"/>
              <w:bottom w:w="120" w:type="dxa"/>
              <w:right w:w="192" w:type="dxa"/>
            </w:tcMar>
            <w:vAlign w:val="center"/>
          </w:tcPr>
          <w:p w14:paraId="5D54C3B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F1115"/>
                <w:spacing w:val="0"/>
                <w:kern w:val="0"/>
                <w:sz w:val="18"/>
                <w:szCs w:val="18"/>
                <w:lang w:val="en-US" w:eastAsia="zh-CN" w:bidi="ar"/>
              </w:rPr>
              <w:t>归档责任</w:t>
            </w:r>
          </w:p>
        </w:tc>
        <w:tc>
          <w:tcPr>
            <w:tcW w:w="7531" w:type="dxa"/>
            <w:tcBorders>
              <w:top w:val="single" w:color="auto" w:sz="4" w:space="0"/>
              <w:left w:val="single" w:color="auto" w:sz="4" w:space="0"/>
              <w:bottom w:val="single" w:color="auto" w:sz="12" w:space="0"/>
              <w:right w:val="single" w:color="auto" w:sz="12" w:space="0"/>
            </w:tcBorders>
            <w:shd w:val="clear" w:color="auto" w:fill="auto"/>
            <w:noWrap w:val="0"/>
            <w:tcMar>
              <w:top w:w="120" w:type="dxa"/>
              <w:left w:w="192" w:type="dxa"/>
              <w:bottom w:w="120" w:type="dxa"/>
              <w:right w:w="-1" w:type="dxa"/>
            </w:tcMar>
            <w:vAlign w:val="center"/>
          </w:tcPr>
          <w:p w14:paraId="7DE083B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F1115"/>
                <w:spacing w:val="0"/>
                <w:kern w:val="0"/>
                <w:sz w:val="18"/>
                <w:szCs w:val="18"/>
                <w:lang w:val="en-US" w:eastAsia="zh-CN" w:bidi="ar"/>
              </w:rPr>
              <w:t>由质量管理专员负责归档备案。</w:t>
            </w:r>
          </w:p>
        </w:tc>
      </w:tr>
    </w:tbl>
    <w:p w14:paraId="281C8CF0">
      <w:pPr>
        <w:pStyle w:val="3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3"/>
      <w:bookmarkStart w:id="25" w:name="_Toc20131"/>
      <w:r>
        <w:t>计划的培训</w:t>
      </w:r>
      <w:bookmarkEnd w:id="24"/>
      <w:bookmarkEnd w:id="25"/>
    </w:p>
    <w:tbl>
      <w:tblPr>
        <w:tblStyle w:val="21"/>
        <w:tblW w:w="8250" w:type="dxa"/>
        <w:jc w:val="center"/>
        <w:tblBorders>
          <w:top w:val="none" w:color="auto" w:sz="2" w:space="0"/>
          <w:left w:val="none" w:color="auto" w:sz="2" w:space="0"/>
          <w:bottom w:val="none" w:color="auto" w:sz="2" w:space="0"/>
          <w:right w:val="none" w:color="auto" w:sz="2" w:space="0"/>
          <w:insideH w:val="none" w:color="auto" w:sz="2" w:space="0"/>
          <w:insideV w:val="none" w:color="auto" w:sz="2" w:space="0"/>
        </w:tblBorders>
        <w:tblLayout w:type="autofit"/>
        <w:tblCellMar>
          <w:top w:w="0" w:type="dxa"/>
          <w:left w:w="10" w:type="dxa"/>
          <w:bottom w:w="0" w:type="dxa"/>
          <w:right w:w="10" w:type="dxa"/>
        </w:tblCellMar>
      </w:tblPr>
      <w:tblGrid>
        <w:gridCol w:w="1414"/>
        <w:gridCol w:w="2691"/>
        <w:gridCol w:w="1794"/>
        <w:gridCol w:w="1415"/>
        <w:gridCol w:w="936"/>
      </w:tblGrid>
      <w:tr w14:paraId="4CCB70CA">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tblHeader/>
          <w:jc w:val="center"/>
        </w:trPr>
        <w:tc>
          <w:tcPr>
            <w:tcW w:w="141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1030737">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培训类型</w:t>
            </w:r>
          </w:p>
        </w:tc>
        <w:tc>
          <w:tcPr>
            <w:tcW w:w="269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3FE4B5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培训对象</w:t>
            </w:r>
          </w:p>
        </w:tc>
        <w:tc>
          <w:tcPr>
            <w:tcW w:w="179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3B8FB18">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频率</w:t>
            </w:r>
          </w:p>
        </w:tc>
        <w:tc>
          <w:tcPr>
            <w:tcW w:w="141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9E30186">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责任岗位</w:t>
            </w:r>
          </w:p>
        </w:tc>
        <w:tc>
          <w:tcPr>
            <w:tcW w:w="93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6C903D8">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r>
      <w:tr w14:paraId="774A0BB2">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141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711ECE9">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全员培训</w:t>
            </w:r>
          </w:p>
        </w:tc>
        <w:tc>
          <w:tcPr>
            <w:tcW w:w="269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52426C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项目组全体成员（运维、开发、管理）</w:t>
            </w:r>
          </w:p>
        </w:tc>
        <w:tc>
          <w:tcPr>
            <w:tcW w:w="179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AB14F9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每年至少1次</w:t>
            </w:r>
          </w:p>
        </w:tc>
        <w:tc>
          <w:tcPr>
            <w:tcW w:w="141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757EAE4">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综合部经理</w:t>
            </w:r>
          </w:p>
        </w:tc>
        <w:tc>
          <w:tcPr>
            <w:tcW w:w="93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D85CA36">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唐雪珊</w:t>
            </w:r>
          </w:p>
        </w:tc>
      </w:tr>
      <w:tr w14:paraId="60CA06A0">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141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572E1A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新员工培训</w:t>
            </w:r>
          </w:p>
        </w:tc>
        <w:tc>
          <w:tcPr>
            <w:tcW w:w="269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B7CC22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新入职员工</w:t>
            </w:r>
          </w:p>
        </w:tc>
        <w:tc>
          <w:tcPr>
            <w:tcW w:w="179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38FDE68">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入职后1周内</w:t>
            </w:r>
          </w:p>
        </w:tc>
        <w:tc>
          <w:tcPr>
            <w:tcW w:w="141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5E5C13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人事专员</w:t>
            </w:r>
          </w:p>
        </w:tc>
        <w:tc>
          <w:tcPr>
            <w:tcW w:w="93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785121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唐雪珊</w:t>
            </w:r>
          </w:p>
        </w:tc>
      </w:tr>
      <w:tr w14:paraId="7FDE9D2F">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141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DD9BFEB">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更新培训</w:t>
            </w:r>
          </w:p>
        </w:tc>
        <w:tc>
          <w:tcPr>
            <w:tcW w:w="269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32D41C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全体相关人员</w:t>
            </w:r>
          </w:p>
        </w:tc>
        <w:tc>
          <w:tcPr>
            <w:tcW w:w="179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CE242D2">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计划重大修订后2周内</w:t>
            </w:r>
          </w:p>
        </w:tc>
        <w:tc>
          <w:tcPr>
            <w:tcW w:w="141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98BA8E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93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CB945F2">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王朋</w:t>
            </w:r>
          </w:p>
        </w:tc>
      </w:tr>
    </w:tbl>
    <w:p w14:paraId="7ACF33D6">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r>
        <w:t>培训要求：</w:t>
      </w:r>
    </w:p>
    <w:p w14:paraId="7B33391C">
      <w:pPr>
        <w:pStyle w:val="46"/>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所有培训需保存签到表、培训材料及考核记录。</w:t>
      </w:r>
    </w:p>
    <w:p w14:paraId="780DB547">
      <w:pPr>
        <w:pStyle w:val="46"/>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培训考核通过率须达到100%，未通过者需补训。</w:t>
      </w:r>
    </w:p>
    <w:p w14:paraId="7FEAF335">
      <w:pPr>
        <w:pStyle w:val="46"/>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培训记录由人事专员归档，质量部定期审计。</w:t>
      </w:r>
    </w:p>
    <w:p w14:paraId="368B3501">
      <w:pPr>
        <w:keepNext w:val="0"/>
        <w:keepLines w:val="0"/>
        <w:pageBreakBefore w:val="0"/>
        <w:widowControl w:val="0"/>
        <w:pBdr>
          <w:bottom w:val="single" w:color="DEE0E3" w:sz="2" w:space="0"/>
          <w:between w:val="single" w:color="DEE0E3" w:sz="2" w:space="0"/>
        </w:pBdr>
        <w:kinsoku w:val="0"/>
        <w:wordWrap/>
        <w:overflowPunct/>
        <w:topLinePunct w:val="0"/>
        <w:autoSpaceDE w:val="0"/>
        <w:autoSpaceDN w:val="0"/>
        <w:bidi w:val="0"/>
        <w:adjustRightInd w:val="0"/>
        <w:snapToGrid w:val="0"/>
        <w:spacing w:before="120" w:after="120" w:line="288" w:lineRule="auto"/>
        <w:textAlignment w:val="baseline"/>
      </w:pPr>
    </w:p>
    <w:p w14:paraId="25BCD692">
      <w:pPr>
        <w:pStyle w:val="35"/>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21612"/>
      <w:bookmarkStart w:id="27" w:name="heading_14"/>
      <w:r>
        <w:t>应急联系方式</w:t>
      </w:r>
      <w:bookmarkEnd w:id="26"/>
      <w:bookmarkEnd w:id="27"/>
    </w:p>
    <w:tbl>
      <w:tblPr>
        <w:tblStyle w:val="21"/>
        <w:tblW w:w="8521" w:type="dxa"/>
        <w:jc w:val="center"/>
        <w:tblBorders>
          <w:top w:val="none" w:color="auto" w:sz="2" w:space="0"/>
          <w:left w:val="none" w:color="auto" w:sz="2" w:space="0"/>
          <w:bottom w:val="none" w:color="auto" w:sz="2" w:space="0"/>
          <w:right w:val="none" w:color="auto" w:sz="2" w:space="0"/>
          <w:insideH w:val="none" w:color="auto" w:sz="2" w:space="0"/>
          <w:insideV w:val="none" w:color="auto" w:sz="2" w:space="0"/>
        </w:tblBorders>
        <w:tblLayout w:type="autofit"/>
        <w:tblCellMar>
          <w:top w:w="0" w:type="dxa"/>
          <w:left w:w="10" w:type="dxa"/>
          <w:bottom w:w="0" w:type="dxa"/>
          <w:right w:w="10" w:type="dxa"/>
        </w:tblCellMar>
      </w:tblPr>
      <w:tblGrid>
        <w:gridCol w:w="3102"/>
        <w:gridCol w:w="2323"/>
        <w:gridCol w:w="1548"/>
        <w:gridCol w:w="1548"/>
      </w:tblGrid>
      <w:tr w14:paraId="0A6C9CF0">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tblHeader/>
          <w:jc w:val="center"/>
        </w:trPr>
        <w:tc>
          <w:tcPr>
            <w:tcW w:w="3102"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A4690F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角色</w:t>
            </w:r>
          </w:p>
        </w:tc>
        <w:tc>
          <w:tcPr>
            <w:tcW w:w="232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41AF0DF">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岗位</w:t>
            </w:r>
          </w:p>
        </w:tc>
        <w:tc>
          <w:tcPr>
            <w:tcW w:w="154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FB2BB77">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54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01601B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备岗</w:t>
            </w:r>
          </w:p>
        </w:tc>
      </w:tr>
      <w:tr w14:paraId="7DA872B9">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310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4F9B0D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应急总指挥</w:t>
            </w:r>
          </w:p>
        </w:tc>
        <w:tc>
          <w:tcPr>
            <w:tcW w:w="23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B90D2D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副总经理</w:t>
            </w:r>
          </w:p>
        </w:tc>
        <w:tc>
          <w:tcPr>
            <w:tcW w:w="154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D9D45C0">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张广麟</w:t>
            </w:r>
          </w:p>
        </w:tc>
        <w:tc>
          <w:tcPr>
            <w:tcW w:w="154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A28D1AB">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史晓玲</w:t>
            </w:r>
          </w:p>
        </w:tc>
      </w:tr>
      <w:tr w14:paraId="4A1A20B1">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310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93E8D2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运维执行负责人</w:t>
            </w:r>
          </w:p>
        </w:tc>
        <w:tc>
          <w:tcPr>
            <w:tcW w:w="23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53911D1">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154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D5DC95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王朋</w:t>
            </w:r>
          </w:p>
        </w:tc>
        <w:tc>
          <w:tcPr>
            <w:tcW w:w="154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8ABB725">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李伟</w:t>
            </w:r>
          </w:p>
        </w:tc>
      </w:tr>
      <w:tr w14:paraId="4F39FA49">
        <w:tblPrEx>
          <w:tblBorders>
            <w:top w:val="none" w:color="auto" w:sz="2" w:space="0"/>
            <w:left w:val="none" w:color="auto" w:sz="2" w:space="0"/>
            <w:bottom w:val="none" w:color="auto" w:sz="2" w:space="0"/>
            <w:right w:val="none" w:color="auto" w:sz="2" w:space="0"/>
            <w:insideH w:val="none" w:color="auto" w:sz="2" w:space="0"/>
            <w:insideV w:val="none" w:color="auto" w:sz="2" w:space="0"/>
          </w:tblBorders>
          <w:tblCellMar>
            <w:top w:w="0" w:type="dxa"/>
            <w:left w:w="10" w:type="dxa"/>
            <w:bottom w:w="0" w:type="dxa"/>
            <w:right w:w="10" w:type="dxa"/>
          </w:tblCellMar>
        </w:tblPrEx>
        <w:trPr>
          <w:trHeight w:val="0" w:hRule="atLeast"/>
          <w:jc w:val="center"/>
        </w:trPr>
        <w:tc>
          <w:tcPr>
            <w:tcW w:w="3102"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26F1B7ED">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服务台</w:t>
            </w:r>
          </w:p>
        </w:tc>
        <w:tc>
          <w:tcPr>
            <w:tcW w:w="232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3B8FB3E">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服务台经理</w:t>
            </w:r>
          </w:p>
        </w:tc>
        <w:tc>
          <w:tcPr>
            <w:tcW w:w="154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9A3D4F3">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徐丽</w:t>
            </w:r>
          </w:p>
        </w:tc>
        <w:tc>
          <w:tcPr>
            <w:tcW w:w="154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43C5FDC">
            <w:pPr>
              <w:pStyle w:val="36"/>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郑爽</w:t>
            </w:r>
          </w:p>
        </w:tc>
      </w:tr>
    </w:tbl>
    <w:p w14:paraId="2C4CC966">
      <w:pPr>
        <w:pStyle w:val="20"/>
        <w:keepNext w:val="0"/>
        <w:keepLines w:val="0"/>
        <w:pageBreakBefore w:val="0"/>
        <w:widowControl w:val="0"/>
        <w:kinsoku w:val="0"/>
        <w:wordWrap/>
        <w:overflowPunct/>
        <w:topLinePunct w:val="0"/>
        <w:autoSpaceDE w:val="0"/>
        <w:autoSpaceDN w:val="0"/>
        <w:bidi w:val="0"/>
        <w:adjustRightInd w:val="0"/>
        <w:snapToGrid w:val="0"/>
        <w:jc w:val="both"/>
        <w:textAlignment w:val="baseline"/>
      </w:pPr>
    </w:p>
    <w:sectPr>
      <w:pgSz w:w="11905" w:h="16840"/>
      <w:pgMar w:top="1440" w:right="1800" w:bottom="1440" w:left="18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095891E"/>
    <w:multiLevelType w:val="singleLevel"/>
    <w:tmpl w:val="A095891E"/>
    <w:lvl w:ilvl="0" w:tentative="0">
      <w:start w:val="1"/>
      <w:numFmt w:val="decimal"/>
      <w:lvlText w:val="%1."/>
      <w:lvlJc w:val="left"/>
      <w:pPr>
        <w:ind w:left="425" w:hanging="425"/>
      </w:pPr>
      <w:rPr>
        <w:rFonts w:hint="default"/>
      </w:rPr>
    </w:lvl>
  </w:abstractNum>
  <w:abstractNum w:abstractNumId="2">
    <w:nsid w:val="D75B92CB"/>
    <w:multiLevelType w:val="singleLevel"/>
    <w:tmpl w:val="D75B92CB"/>
    <w:lvl w:ilvl="0" w:tentative="0">
      <w:start w:val="1"/>
      <w:numFmt w:val="decimal"/>
      <w:lvlText w:val="%1."/>
      <w:lvlJc w:val="left"/>
      <w:pPr>
        <w:ind w:left="425" w:hanging="425"/>
      </w:pPr>
      <w:rPr>
        <w:rFonts w:hint="default"/>
      </w:rPr>
    </w:lvl>
  </w:abstractNum>
  <w:abstractNum w:abstractNumId="3">
    <w:nsid w:val="DD6376CA"/>
    <w:multiLevelType w:val="singleLevel"/>
    <w:tmpl w:val="DD6376CA"/>
    <w:lvl w:ilvl="0" w:tentative="0">
      <w:start w:val="1"/>
      <w:numFmt w:val="decimal"/>
      <w:lvlText w:val="%1."/>
      <w:lvlJc w:val="left"/>
      <w:pPr>
        <w:ind w:left="425" w:hanging="425"/>
      </w:pPr>
      <w:rPr>
        <w:rFonts w:hint="default"/>
      </w:rPr>
    </w:lvl>
  </w:abstractNum>
  <w:abstractNum w:abstractNumId="4">
    <w:nsid w:val="54D70C83"/>
    <w:multiLevelType w:val="singleLevel"/>
    <w:tmpl w:val="54D70C83"/>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rsids>
    <w:rsidRoot w:val="007D2AFB"/>
    <w:rsid w:val="00005F3F"/>
    <w:rsid w:val="00087C1A"/>
    <w:rsid w:val="00521DEE"/>
    <w:rsid w:val="00603BB0"/>
    <w:rsid w:val="007A39E6"/>
    <w:rsid w:val="007D2AFB"/>
    <w:rsid w:val="009C2ED3"/>
    <w:rsid w:val="00AB4C88"/>
    <w:rsid w:val="00AD3F30"/>
    <w:rsid w:val="00E54D24"/>
    <w:rsid w:val="017D142E"/>
    <w:rsid w:val="044E498E"/>
    <w:rsid w:val="066C0621"/>
    <w:rsid w:val="09F9539C"/>
    <w:rsid w:val="0A856C30"/>
    <w:rsid w:val="0B5331D2"/>
    <w:rsid w:val="0F072309"/>
    <w:rsid w:val="14B60A59"/>
    <w:rsid w:val="162E0A88"/>
    <w:rsid w:val="19804F81"/>
    <w:rsid w:val="1A07140F"/>
    <w:rsid w:val="1A575149"/>
    <w:rsid w:val="1B2F32F6"/>
    <w:rsid w:val="1F070103"/>
    <w:rsid w:val="22C02AA3"/>
    <w:rsid w:val="246758CC"/>
    <w:rsid w:val="259B1656"/>
    <w:rsid w:val="276854B7"/>
    <w:rsid w:val="28A075FF"/>
    <w:rsid w:val="2B595843"/>
    <w:rsid w:val="2C273B93"/>
    <w:rsid w:val="2D031CD2"/>
    <w:rsid w:val="2D1E0AF2"/>
    <w:rsid w:val="2FB43990"/>
    <w:rsid w:val="309F1F4A"/>
    <w:rsid w:val="34D10B40"/>
    <w:rsid w:val="36590DED"/>
    <w:rsid w:val="36D823D7"/>
    <w:rsid w:val="37113475"/>
    <w:rsid w:val="37691503"/>
    <w:rsid w:val="38B93DC5"/>
    <w:rsid w:val="3CB74ABF"/>
    <w:rsid w:val="3E3B77AB"/>
    <w:rsid w:val="43F2498B"/>
    <w:rsid w:val="45124F88"/>
    <w:rsid w:val="45D16BF2"/>
    <w:rsid w:val="4A69564B"/>
    <w:rsid w:val="4B893ACB"/>
    <w:rsid w:val="4F2307E8"/>
    <w:rsid w:val="50502E09"/>
    <w:rsid w:val="506A5C79"/>
    <w:rsid w:val="51C413B8"/>
    <w:rsid w:val="51EB4B97"/>
    <w:rsid w:val="5358402F"/>
    <w:rsid w:val="54112301"/>
    <w:rsid w:val="587315D8"/>
    <w:rsid w:val="5AE14D89"/>
    <w:rsid w:val="5AEE394A"/>
    <w:rsid w:val="5B4560D2"/>
    <w:rsid w:val="5B8B2F47"/>
    <w:rsid w:val="5BB71BBE"/>
    <w:rsid w:val="5CE13766"/>
    <w:rsid w:val="5E0F6BAC"/>
    <w:rsid w:val="5ECE7D1A"/>
    <w:rsid w:val="6AC56475"/>
    <w:rsid w:val="6DE632D7"/>
    <w:rsid w:val="6DFF3A4C"/>
    <w:rsid w:val="72C72545"/>
    <w:rsid w:val="7513602F"/>
    <w:rsid w:val="7B6B0973"/>
    <w:rsid w:val="7C23124E"/>
    <w:rsid w:val="7D036989"/>
    <w:rsid w:val="7D8713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Balloon Text"/>
    <w:basedOn w:val="1"/>
    <w:link w:val="34"/>
    <w:uiPriority w:val="0"/>
    <w:rPr>
      <w:sz w:val="18"/>
    </w:rPr>
  </w:style>
  <w:style w:type="paragraph" w:styleId="15">
    <w:name w:val="footer"/>
    <w:basedOn w:val="1"/>
    <w:link w:val="33"/>
    <w:qFormat/>
    <w:uiPriority w:val="0"/>
    <w:pPr>
      <w:tabs>
        <w:tab w:val="center" w:pos="4153"/>
        <w:tab w:val="right" w:pos="8306"/>
      </w:tabs>
      <w:snapToGrid w:val="0"/>
      <w:jc w:val="left"/>
    </w:pPr>
    <w:rPr>
      <w:sz w:val="18"/>
    </w:rPr>
  </w:style>
  <w:style w:type="paragraph" w:styleId="16">
    <w:name w:val="header"/>
    <w:basedOn w:val="1"/>
    <w:link w:val="32"/>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link w:val="28"/>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Hyperlink"/>
    <w:basedOn w:val="23"/>
    <w:qFormat/>
    <w:uiPriority w:val="0"/>
    <w:rPr>
      <w:color w:val="0000FF"/>
      <w:u w:val="single"/>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0"/>
    <w:qFormat/>
    <w:uiPriority w:val="0"/>
    <w:pPr>
      <w:spacing w:after="600" w:afterLines="600"/>
    </w:pPr>
    <w:rPr>
      <w:rFonts w:hint="eastAsia" w:ascii="宋体" w:hAnsi="宋体" w:eastAsia="宋体" w:cs="宋体"/>
      <w:bCs/>
      <w:spacing w:val="-6"/>
      <w:sz w:val="52"/>
      <w:szCs w:val="52"/>
    </w:rPr>
  </w:style>
  <w:style w:type="character" w:customStyle="1" w:styleId="28">
    <w:name w:val="标题 Char"/>
    <w:link w:val="20"/>
    <w:qFormat/>
    <w:uiPriority w:val="10"/>
    <w:rPr>
      <w:rFonts w:ascii="Arial" w:hAnsi="Arial"/>
      <w:b/>
      <w:sz w:val="32"/>
    </w:rPr>
  </w:style>
  <w:style w:type="paragraph" w:customStyle="1" w:styleId="29">
    <w:name w:val="柴_文档名"/>
    <w:basedOn w:val="20"/>
    <w:qFormat/>
    <w:uiPriority w:val="0"/>
    <w:pPr>
      <w:spacing w:after="900" w:afterLines="900"/>
    </w:pPr>
    <w:rPr>
      <w:rFonts w:ascii="黑体" w:hAnsi="黑体" w:eastAsia="黑体" w:cs="黑体"/>
      <w:bCs/>
      <w:spacing w:val="-7"/>
      <w:sz w:val="52"/>
      <w:szCs w:val="52"/>
    </w:rPr>
  </w:style>
  <w:style w:type="table" w:customStyle="1" w:styleId="30">
    <w:name w:val="Table Normal_0"/>
    <w:semiHidden/>
    <w:unhideWhenUsed/>
    <w:qFormat/>
    <w:uiPriority w:val="0"/>
    <w:rPr>
      <w:rFonts w:ascii="Times New Roman" w:hAnsi="Times New Roman" w:eastAsia="宋体" w:cs="Times New Roman"/>
      <w:kern w:val="0"/>
      <w:sz w:val="20"/>
      <w:szCs w:val="20"/>
    </w:rPr>
    <w:tblPr>
      <w:tblCellMar>
        <w:top w:w="0" w:type="dxa"/>
        <w:left w:w="0" w:type="dxa"/>
        <w:bottom w:w="0" w:type="dxa"/>
        <w:right w:w="0" w:type="dxa"/>
      </w:tblCellMar>
    </w:tblPr>
  </w:style>
  <w:style w:type="paragraph" w:customStyle="1" w:styleId="31">
    <w:name w:val="Table Text"/>
    <w:basedOn w:val="1"/>
    <w:semiHidden/>
    <w:qFormat/>
    <w:uiPriority w:val="0"/>
    <w:rPr>
      <w:rFonts w:ascii="宋体" w:hAnsi="宋体" w:eastAsia="宋体" w:cs="宋体"/>
      <w:sz w:val="21"/>
      <w:szCs w:val="21"/>
      <w:lang w:val="en-US" w:eastAsia="en-US" w:bidi="ar-SA"/>
    </w:rPr>
  </w:style>
  <w:style w:type="character" w:customStyle="1" w:styleId="32">
    <w:name w:val="页眉 Char"/>
    <w:link w:val="16"/>
    <w:semiHidden/>
    <w:qFormat/>
    <w:uiPriority w:val="99"/>
    <w:rPr>
      <w:sz w:val="18"/>
    </w:rPr>
  </w:style>
  <w:style w:type="character" w:customStyle="1" w:styleId="33">
    <w:name w:val="页脚 Char"/>
    <w:link w:val="15"/>
    <w:semiHidden/>
    <w:qFormat/>
    <w:uiPriority w:val="99"/>
    <w:rPr>
      <w:sz w:val="18"/>
    </w:rPr>
  </w:style>
  <w:style w:type="character" w:customStyle="1" w:styleId="34">
    <w:name w:val="批注框文本 Char"/>
    <w:link w:val="14"/>
    <w:semiHidden/>
    <w:qFormat/>
    <w:uiPriority w:val="99"/>
    <w:rPr>
      <w:sz w:val="18"/>
    </w:rPr>
  </w:style>
  <w:style w:type="paragraph" w:customStyle="1" w:styleId="35">
    <w:name w:val="柴_标题1"/>
    <w:basedOn w:val="2"/>
    <w:next w:val="36"/>
    <w:link w:val="45"/>
    <w:qFormat/>
    <w:uiPriority w:val="0"/>
    <w:pPr>
      <w:spacing w:before="100" w:after="90" w:line="360" w:lineRule="auto"/>
    </w:pPr>
    <w:rPr>
      <w:rFonts w:ascii="Arial" w:hAnsi="Arial" w:eastAsia="宋体"/>
      <w:sz w:val="32"/>
    </w:rPr>
  </w:style>
  <w:style w:type="paragraph" w:customStyle="1" w:styleId="36">
    <w:name w:val="柴_正文"/>
    <w:basedOn w:val="12"/>
    <w:link w:val="48"/>
    <w:qFormat/>
    <w:uiPriority w:val="0"/>
    <w:pPr>
      <w:spacing w:line="360" w:lineRule="auto"/>
      <w:ind w:firstLine="470" w:firstLineChars="200"/>
    </w:pPr>
    <w:rPr>
      <w:rFonts w:ascii="Arial" w:hAnsi="Arial" w:eastAsia="宋体"/>
      <w:sz w:val="24"/>
      <w:lang w:eastAsia="zh-CN"/>
    </w:rPr>
  </w:style>
  <w:style w:type="paragraph" w:customStyle="1" w:styleId="37">
    <w:name w:val="柴_标题2"/>
    <w:basedOn w:val="3"/>
    <w:next w:val="36"/>
    <w:link w:val="51"/>
    <w:qFormat/>
    <w:uiPriority w:val="0"/>
    <w:pPr>
      <w:spacing w:line="360" w:lineRule="auto"/>
    </w:pPr>
    <w:rPr>
      <w:rFonts w:ascii="Arial" w:hAnsi="Arial" w:eastAsia="宋体"/>
      <w:sz w:val="28"/>
    </w:rPr>
  </w:style>
  <w:style w:type="paragraph" w:customStyle="1" w:styleId="38">
    <w:name w:val="柴_标题3"/>
    <w:basedOn w:val="4"/>
    <w:next w:val="36"/>
    <w:qFormat/>
    <w:uiPriority w:val="0"/>
    <w:pPr>
      <w:spacing w:line="360" w:lineRule="auto"/>
      <w:ind w:left="0" w:firstLine="472" w:firstLineChars="200"/>
    </w:pPr>
    <w:rPr>
      <w:rFonts w:ascii="宋体" w:hAnsi="宋体" w:eastAsia="宋体" w:cs="宋体"/>
      <w:spacing w:val="-2"/>
      <w:sz w:val="24"/>
      <w:szCs w:val="24"/>
    </w:rPr>
  </w:style>
  <w:style w:type="paragraph" w:customStyle="1" w:styleId="39">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40">
    <w:name w:val="WPSOffice手动目录 1"/>
    <w:qFormat/>
    <w:uiPriority w:val="0"/>
    <w:pPr>
      <w:ind w:leftChars="0"/>
    </w:pPr>
    <w:rPr>
      <w:rFonts w:ascii="Times New Roman" w:hAnsi="Times New Roman" w:eastAsia="宋体" w:cs="Times New Roman"/>
      <w:sz w:val="20"/>
      <w:szCs w:val="20"/>
    </w:rPr>
  </w:style>
  <w:style w:type="paragraph" w:customStyle="1" w:styleId="41">
    <w:name w:val="WPSOffice手动目录 2"/>
    <w:qFormat/>
    <w:uiPriority w:val="0"/>
    <w:pPr>
      <w:ind w:leftChars="200"/>
    </w:pPr>
    <w:rPr>
      <w:rFonts w:ascii="Times New Roman" w:hAnsi="Times New Roman" w:eastAsia="宋体" w:cs="Times New Roman"/>
      <w:sz w:val="20"/>
      <w:szCs w:val="20"/>
    </w:rPr>
  </w:style>
  <w:style w:type="paragraph" w:customStyle="1" w:styleId="42">
    <w:name w:val="WPSOffice手动目录 3"/>
    <w:qFormat/>
    <w:uiPriority w:val="0"/>
    <w:pPr>
      <w:ind w:leftChars="400"/>
    </w:pPr>
    <w:rPr>
      <w:rFonts w:ascii="Times New Roman" w:hAnsi="Times New Roman" w:eastAsia="宋体" w:cs="Times New Roman"/>
      <w:sz w:val="20"/>
      <w:szCs w:val="20"/>
    </w:rPr>
  </w:style>
  <w:style w:type="paragraph" w:customStyle="1" w:styleId="43">
    <w:name w:val="Compact"/>
    <w:basedOn w:val="12"/>
    <w:qFormat/>
    <w:uiPriority w:val="0"/>
    <w:pPr>
      <w:spacing w:before="36" w:after="36"/>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5">
    <w:name w:val="柴_标题1 Char"/>
    <w:link w:val="35"/>
    <w:qFormat/>
    <w:uiPriority w:val="0"/>
    <w:rPr>
      <w:rFonts w:ascii="Arial" w:hAnsi="Arial" w:eastAsia="宋体"/>
      <w:sz w:val="32"/>
    </w:rPr>
  </w:style>
  <w:style w:type="paragraph" w:customStyle="1" w:styleId="46">
    <w:name w:val="柴_正文_无缩进"/>
    <w:basedOn w:val="1"/>
    <w:link w:val="50"/>
    <w:qFormat/>
    <w:uiPriority w:val="0"/>
    <w:pPr>
      <w:ind w:firstLine="0" w:firstLineChars="0"/>
    </w:pPr>
    <w:rPr>
      <w:rFonts w:ascii="Arial" w:hAnsi="Arial"/>
      <w:sz w:val="24"/>
      <w:lang w:eastAsia="zh-CN"/>
    </w:rPr>
  </w:style>
  <w:style w:type="paragraph" w:customStyle="1" w:styleId="47">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8">
    <w:name w:val="柴_正文 Char"/>
    <w:link w:val="36"/>
    <w:qFormat/>
    <w:uiPriority w:val="0"/>
    <w:rPr>
      <w:rFonts w:ascii="Arial" w:hAnsi="Arial" w:eastAsia="宋体"/>
      <w:sz w:val="24"/>
      <w:lang w:eastAsia="zh-CN"/>
    </w:rPr>
  </w:style>
  <w:style w:type="table" w:customStyle="1" w:styleId="49">
    <w:name w:val="Table Normal_0_0"/>
    <w:semiHidden/>
    <w:unhideWhenUsed/>
    <w:qFormat/>
    <w:uiPriority w:val="0"/>
    <w:tblPr>
      <w:tblCellMar>
        <w:top w:w="0" w:type="dxa"/>
        <w:left w:w="0" w:type="dxa"/>
        <w:bottom w:w="0" w:type="dxa"/>
        <w:right w:w="0" w:type="dxa"/>
      </w:tblCellMar>
    </w:tblPr>
  </w:style>
  <w:style w:type="character" w:customStyle="1" w:styleId="50">
    <w:name w:val="柴_正文_无缩进 Char"/>
    <w:link w:val="46"/>
    <w:qFormat/>
    <w:uiPriority w:val="0"/>
    <w:rPr>
      <w:rFonts w:ascii="Arial" w:hAnsi="Arial"/>
      <w:sz w:val="24"/>
      <w:lang w:eastAsia="zh-CN"/>
    </w:rPr>
  </w:style>
  <w:style w:type="character" w:customStyle="1" w:styleId="51">
    <w:name w:val="柴_标题2 Char"/>
    <w:link w:val="37"/>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2174</Words>
  <Characters>2284</Characters>
  <Lines>41</Lines>
  <Paragraphs>11</Paragraphs>
  <TotalTime>0</TotalTime>
  <ScaleCrop>false</ScaleCrop>
  <LinksUpToDate>false</LinksUpToDate>
  <CharactersWithSpaces>2347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2026-04-14T02:29:00Z</dcterms:created>
  <dc:creator>Apache POI</dc:creator>
  <cp:lastModifiedBy>郝宇</cp:lastModifiedBy>
  <dcterms:modified xsi:type="dcterms:W3CDTF">2026-04-27T07:32:21Z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eyJoZGlkIjoiZWI4NmUzMGY2ODA3MDc4ZTFlMjZjZTAyMjM0NmVmODgiLCJ1c2VySWQiOiIxMDc1MzgyOSJ9</vt:lpwstr>
  </property>
  <property fmtid="{D5CDD505-2E9C-101B-9397-08002B2CF9AE}" pid="3" name="KSOProductBuildVer">
    <vt:lpwstr>2052-12.1.0.25865</vt:lpwstr>
  </property>
  <property fmtid="{D5CDD505-2E9C-101B-9397-08002B2CF9AE}" pid="4" name="ICV">
    <vt:lpwstr>C70E7779891B4486B2A20AE87AA964C7_12</vt:lpwstr>
  </property>
</Properties>
</file>