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ADF37">
      <w:pPr>
        <w:pStyle w:val="27"/>
        <w:spacing w:after="1440"/>
      </w:pPr>
    </w:p>
    <w:p w14:paraId="6AD02F01">
      <w:pPr>
        <w:pStyle w:val="27"/>
        <w:spacing w:after="1440"/>
        <w:rPr>
          <w:rFonts w:hint="default"/>
        </w:rPr>
      </w:pPr>
      <w:bookmarkStart w:id="0" w:name="_Toc7479"/>
      <w:r>
        <w:t>淮安生态新城信息系统运维服务业务连续性报告</w:t>
      </w:r>
      <w:bookmarkEnd w:id="0"/>
    </w:p>
    <w:p w14:paraId="666EE2C2">
      <w:pPr>
        <w:pStyle w:val="29"/>
        <w:spacing w:after="2160"/>
      </w:pPr>
      <w:bookmarkStart w:id="1" w:name="_Toc24942"/>
      <w:r>
        <w:t>江苏云储智能科技有限公司</w:t>
      </w:r>
      <w:bookmarkEnd w:id="1"/>
    </w:p>
    <w:p w14:paraId="053B06BD">
      <w:pPr>
        <w:spacing w:before="117" w:line="219" w:lineRule="auto"/>
        <w:jc w:val="center"/>
        <w:rPr>
          <w:rFonts w:hint="eastAsia" w:ascii="宋体" w:hAnsi="宋体" w:cs="宋体"/>
          <w:spacing w:val="-2"/>
          <w:sz w:val="36"/>
          <w:szCs w:val="36"/>
        </w:rPr>
      </w:pPr>
      <w:r>
        <w:rPr>
          <w:rFonts w:ascii="宋体" w:hAnsi="宋体" w:cs="宋体"/>
          <w:spacing w:val="-2"/>
          <w:sz w:val="36"/>
          <w:szCs w:val="36"/>
        </w:rPr>
        <w:t>202</w:t>
      </w:r>
      <w:r>
        <w:rPr>
          <w:rFonts w:hint="eastAsia" w:ascii="宋体" w:hAnsi="宋体" w:cs="宋体"/>
          <w:spacing w:val="-2"/>
          <w:sz w:val="36"/>
          <w:szCs w:val="36"/>
        </w:rPr>
        <w:t>5</w:t>
      </w:r>
      <w:r>
        <w:rPr>
          <w:rFonts w:ascii="宋体" w:hAnsi="宋体" w:cs="宋体"/>
          <w:spacing w:val="-2"/>
          <w:sz w:val="36"/>
          <w:szCs w:val="36"/>
        </w:rPr>
        <w:t>-</w:t>
      </w:r>
      <w:r>
        <w:rPr>
          <w:rFonts w:hint="eastAsia" w:ascii="宋体" w:hAnsi="宋体" w:cs="宋体"/>
          <w:spacing w:val="-2"/>
          <w:sz w:val="36"/>
          <w:szCs w:val="36"/>
        </w:rPr>
        <w:t>12</w:t>
      </w:r>
      <w:r>
        <w:rPr>
          <w:rFonts w:ascii="宋体" w:hAnsi="宋体" w:cs="宋体"/>
          <w:spacing w:val="-2"/>
          <w:sz w:val="36"/>
          <w:szCs w:val="36"/>
        </w:rPr>
        <w:t>-</w:t>
      </w:r>
      <w:r>
        <w:rPr>
          <w:rFonts w:hint="eastAsia" w:ascii="宋体" w:hAnsi="宋体" w:cs="宋体"/>
          <w:spacing w:val="-2"/>
          <w:sz w:val="36"/>
          <w:szCs w:val="36"/>
        </w:rPr>
        <w:t>20</w:t>
      </w:r>
    </w:p>
    <w:p w14:paraId="2C1027C5">
      <w:pPr>
        <w:rPr>
          <w:rFonts w:hint="eastAsia" w:ascii="宋体" w:hAnsi="宋体" w:cs="宋体"/>
          <w:spacing w:val="-2"/>
          <w:sz w:val="36"/>
          <w:szCs w:val="36"/>
        </w:rPr>
      </w:pPr>
      <w:r>
        <w:rPr>
          <w:rFonts w:hint="eastAsia" w:ascii="宋体" w:hAnsi="宋体" w:cs="宋体"/>
          <w:spacing w:val="-2"/>
          <w:sz w:val="36"/>
          <w:szCs w:val="36"/>
        </w:rPr>
        <w:br w:type="page"/>
      </w:r>
    </w:p>
    <w:p w14:paraId="6778B2C9">
      <w:pPr>
        <w:spacing w:before="117" w:line="219" w:lineRule="auto"/>
        <w:jc w:val="center"/>
        <w:rPr>
          <w:rFonts w:hint="eastAsia" w:ascii="宋体" w:hAnsi="宋体" w:cs="宋体"/>
          <w:spacing w:val="-2"/>
          <w:sz w:val="36"/>
          <w:szCs w:val="36"/>
        </w:rPr>
      </w:pPr>
    </w:p>
    <w:tbl>
      <w:tblPr>
        <w:tblStyle w:val="30"/>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196B2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79ABC8F0">
            <w:pPr>
              <w:pStyle w:val="31"/>
              <w:spacing w:before="199" w:line="220" w:lineRule="auto"/>
              <w:ind w:left="225"/>
              <w:rPr>
                <w:sz w:val="20"/>
              </w:rPr>
            </w:pPr>
            <w:r>
              <w:rPr>
                <w:spacing w:val="-2"/>
                <w:sz w:val="20"/>
              </w:rPr>
              <w:t>文档名称编号</w:t>
            </w:r>
          </w:p>
        </w:tc>
        <w:tc>
          <w:tcPr>
            <w:tcW w:w="7367" w:type="dxa"/>
            <w:gridSpan w:val="4"/>
          </w:tcPr>
          <w:p w14:paraId="39FDF7A9">
            <w:pPr>
              <w:pStyle w:val="31"/>
              <w:spacing w:before="200" w:line="218" w:lineRule="auto"/>
              <w:ind w:left="108"/>
              <w:rPr>
                <w:sz w:val="20"/>
              </w:rPr>
            </w:pPr>
            <w:r>
              <w:rPr>
                <w:rFonts w:hint="eastAsia"/>
                <w:spacing w:val="-1"/>
                <w:sz w:val="20"/>
                <w:lang w:val="en-US" w:eastAsia="zh-CN"/>
              </w:rPr>
              <w:t>连续性报告</w:t>
            </w:r>
            <w:r>
              <w:rPr>
                <w:spacing w:val="-1"/>
                <w:sz w:val="20"/>
              </w:rPr>
              <w:t>（JSYC-ITSS-</w:t>
            </w:r>
            <w:r>
              <w:rPr>
                <w:rFonts w:hint="eastAsia"/>
                <w:spacing w:val="-1"/>
                <w:sz w:val="20"/>
                <w:lang w:val="en-US" w:eastAsia="zh-CN"/>
              </w:rPr>
              <w:t>LXX</w:t>
            </w:r>
            <w:r>
              <w:rPr>
                <w:rFonts w:hint="eastAsia"/>
                <w:spacing w:val="-1"/>
                <w:sz w:val="20"/>
                <w:lang w:eastAsia="zh-CN"/>
              </w:rPr>
              <w:t>BG</w:t>
            </w:r>
            <w:r>
              <w:rPr>
                <w:spacing w:val="-1"/>
                <w:sz w:val="20"/>
              </w:rPr>
              <w:t>）</w:t>
            </w:r>
          </w:p>
        </w:tc>
      </w:tr>
      <w:tr w14:paraId="163F7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75D7D054">
            <w:pPr>
              <w:pStyle w:val="31"/>
              <w:spacing w:before="196" w:line="220" w:lineRule="auto"/>
              <w:ind w:left="435"/>
              <w:rPr>
                <w:sz w:val="20"/>
              </w:rPr>
            </w:pPr>
            <w:r>
              <w:rPr>
                <w:spacing w:val="-2"/>
                <w:sz w:val="20"/>
              </w:rPr>
              <w:t>编制单位</w:t>
            </w:r>
          </w:p>
        </w:tc>
        <w:tc>
          <w:tcPr>
            <w:tcW w:w="7367" w:type="dxa"/>
            <w:gridSpan w:val="4"/>
          </w:tcPr>
          <w:p w14:paraId="29CBB45C">
            <w:pPr>
              <w:pStyle w:val="31"/>
              <w:spacing w:before="197" w:line="219" w:lineRule="auto"/>
              <w:ind w:left="108"/>
              <w:rPr>
                <w:sz w:val="20"/>
              </w:rPr>
            </w:pPr>
            <w:r>
              <w:rPr>
                <w:spacing w:val="-1"/>
                <w:sz w:val="20"/>
              </w:rPr>
              <w:t>江苏云储智能科技有限公司</w:t>
            </w:r>
          </w:p>
        </w:tc>
      </w:tr>
      <w:tr w14:paraId="1F425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3C893402">
            <w:pPr>
              <w:pStyle w:val="31"/>
              <w:spacing w:before="199" w:line="219" w:lineRule="auto"/>
              <w:ind w:left="435"/>
              <w:rPr>
                <w:sz w:val="20"/>
              </w:rPr>
            </w:pPr>
            <w:r>
              <w:rPr>
                <w:spacing w:val="-2"/>
                <w:sz w:val="20"/>
              </w:rPr>
              <w:t>文档版本</w:t>
            </w:r>
          </w:p>
        </w:tc>
        <w:tc>
          <w:tcPr>
            <w:tcW w:w="1555" w:type="dxa"/>
          </w:tcPr>
          <w:p w14:paraId="1DEE8110">
            <w:pPr>
              <w:pStyle w:val="31"/>
              <w:spacing w:before="199" w:line="219" w:lineRule="auto"/>
              <w:ind w:left="359"/>
              <w:rPr>
                <w:sz w:val="20"/>
              </w:rPr>
            </w:pPr>
            <w:r>
              <w:rPr>
                <w:spacing w:val="-2"/>
                <w:sz w:val="20"/>
              </w:rPr>
              <w:t>版本日期</w:t>
            </w:r>
          </w:p>
        </w:tc>
        <w:tc>
          <w:tcPr>
            <w:tcW w:w="2302" w:type="dxa"/>
          </w:tcPr>
          <w:p w14:paraId="185BBCDE">
            <w:pPr>
              <w:pStyle w:val="31"/>
              <w:spacing w:before="199" w:line="219" w:lineRule="auto"/>
              <w:ind w:left="735"/>
              <w:rPr>
                <w:sz w:val="20"/>
              </w:rPr>
            </w:pPr>
            <w:r>
              <w:rPr>
                <w:spacing w:val="-2"/>
                <w:sz w:val="20"/>
              </w:rPr>
              <w:t>版本说明</w:t>
            </w:r>
          </w:p>
        </w:tc>
        <w:tc>
          <w:tcPr>
            <w:tcW w:w="1557" w:type="dxa"/>
          </w:tcPr>
          <w:p w14:paraId="2BA4A96C">
            <w:pPr>
              <w:pStyle w:val="31"/>
              <w:spacing w:before="199" w:line="220" w:lineRule="auto"/>
              <w:ind w:left="575"/>
              <w:rPr>
                <w:sz w:val="20"/>
              </w:rPr>
            </w:pPr>
            <w:r>
              <w:rPr>
                <w:spacing w:val="-3"/>
                <w:sz w:val="20"/>
              </w:rPr>
              <w:t>作者</w:t>
            </w:r>
          </w:p>
        </w:tc>
        <w:tc>
          <w:tcPr>
            <w:tcW w:w="1953" w:type="dxa"/>
          </w:tcPr>
          <w:p w14:paraId="68312B96">
            <w:pPr>
              <w:pStyle w:val="31"/>
              <w:spacing w:before="199" w:line="220" w:lineRule="auto"/>
              <w:ind w:left="782"/>
              <w:rPr>
                <w:sz w:val="20"/>
              </w:rPr>
            </w:pPr>
            <w:r>
              <w:rPr>
                <w:spacing w:val="-5"/>
                <w:sz w:val="20"/>
              </w:rPr>
              <w:t>审核</w:t>
            </w:r>
          </w:p>
        </w:tc>
      </w:tr>
      <w:tr w14:paraId="13AFD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2F225097">
            <w:pPr>
              <w:pStyle w:val="31"/>
              <w:spacing w:before="163" w:line="239" w:lineRule="auto"/>
              <w:ind w:left="638"/>
              <w:rPr>
                <w:sz w:val="20"/>
              </w:rPr>
            </w:pPr>
            <w:r>
              <w:rPr>
                <w:spacing w:val="-1"/>
                <w:sz w:val="20"/>
              </w:rPr>
              <w:t>V1.0</w:t>
            </w:r>
          </w:p>
        </w:tc>
        <w:tc>
          <w:tcPr>
            <w:tcW w:w="1555" w:type="dxa"/>
          </w:tcPr>
          <w:p w14:paraId="23D3A13F">
            <w:pPr>
              <w:pStyle w:val="31"/>
              <w:spacing w:before="163"/>
              <w:ind w:left="361"/>
              <w:rPr>
                <w:sz w:val="20"/>
                <w:lang w:eastAsia="zh-CN"/>
              </w:rPr>
            </w:pPr>
            <w:r>
              <w:rPr>
                <w:spacing w:val="-2"/>
                <w:sz w:val="20"/>
              </w:rPr>
              <w:t>20</w:t>
            </w:r>
            <w:r>
              <w:rPr>
                <w:rFonts w:hint="eastAsia"/>
                <w:spacing w:val="-2"/>
                <w:sz w:val="20"/>
                <w:lang w:eastAsia="zh-CN"/>
              </w:rPr>
              <w:t>25</w:t>
            </w:r>
            <w:r>
              <w:rPr>
                <w:spacing w:val="-2"/>
                <w:sz w:val="20"/>
              </w:rPr>
              <w:t>-1</w:t>
            </w:r>
            <w:r>
              <w:rPr>
                <w:rFonts w:hint="eastAsia"/>
                <w:spacing w:val="-2"/>
                <w:sz w:val="20"/>
                <w:lang w:eastAsia="zh-CN"/>
              </w:rPr>
              <w:t>2</w:t>
            </w:r>
            <w:r>
              <w:rPr>
                <w:spacing w:val="-2"/>
                <w:sz w:val="20"/>
              </w:rPr>
              <w:t>-</w:t>
            </w:r>
            <w:r>
              <w:rPr>
                <w:rFonts w:hint="eastAsia"/>
                <w:spacing w:val="-2"/>
                <w:sz w:val="20"/>
                <w:lang w:eastAsia="zh-CN"/>
              </w:rPr>
              <w:t>20</w:t>
            </w:r>
          </w:p>
        </w:tc>
        <w:tc>
          <w:tcPr>
            <w:tcW w:w="2302" w:type="dxa"/>
          </w:tcPr>
          <w:p w14:paraId="444F819F">
            <w:pPr>
              <w:pStyle w:val="31"/>
              <w:spacing w:before="133" w:line="219" w:lineRule="auto"/>
              <w:ind w:left="738"/>
              <w:rPr>
                <w:sz w:val="20"/>
              </w:rPr>
            </w:pPr>
            <w:r>
              <w:rPr>
                <w:spacing w:val="-3"/>
                <w:sz w:val="20"/>
              </w:rPr>
              <w:t>发布版本</w:t>
            </w:r>
          </w:p>
        </w:tc>
        <w:tc>
          <w:tcPr>
            <w:tcW w:w="1557" w:type="dxa"/>
          </w:tcPr>
          <w:p w14:paraId="2B4C9DC3">
            <w:pPr>
              <w:pStyle w:val="31"/>
              <w:spacing w:before="134" w:line="220" w:lineRule="auto"/>
              <w:ind w:left="480"/>
              <w:rPr>
                <w:sz w:val="20"/>
                <w:lang w:eastAsia="zh-CN"/>
              </w:rPr>
            </w:pPr>
            <w:r>
              <w:rPr>
                <w:rFonts w:hint="eastAsia"/>
                <w:sz w:val="20"/>
                <w:lang w:eastAsia="zh-CN"/>
              </w:rPr>
              <w:t>王朋</w:t>
            </w:r>
          </w:p>
        </w:tc>
        <w:tc>
          <w:tcPr>
            <w:tcW w:w="1953" w:type="dxa"/>
          </w:tcPr>
          <w:p w14:paraId="3FB53812">
            <w:pPr>
              <w:pStyle w:val="31"/>
              <w:spacing w:before="133" w:line="220" w:lineRule="auto"/>
              <w:ind w:left="672"/>
              <w:rPr>
                <w:sz w:val="20"/>
              </w:rPr>
            </w:pPr>
            <w:r>
              <w:rPr>
                <w:spacing w:val="-3"/>
                <w:sz w:val="20"/>
              </w:rPr>
              <w:t>史晓玲</w:t>
            </w:r>
          </w:p>
        </w:tc>
      </w:tr>
      <w:tr w14:paraId="57348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48B15C7">
            <w:pPr>
              <w:pStyle w:val="31"/>
              <w:spacing w:before="164" w:line="239" w:lineRule="auto"/>
              <w:ind w:left="638"/>
              <w:rPr>
                <w:sz w:val="20"/>
              </w:rPr>
            </w:pPr>
          </w:p>
        </w:tc>
        <w:tc>
          <w:tcPr>
            <w:tcW w:w="1555" w:type="dxa"/>
          </w:tcPr>
          <w:p w14:paraId="37C975C5">
            <w:pPr>
              <w:pStyle w:val="31"/>
              <w:spacing w:before="164"/>
              <w:rPr>
                <w:sz w:val="20"/>
              </w:rPr>
            </w:pPr>
          </w:p>
        </w:tc>
        <w:tc>
          <w:tcPr>
            <w:tcW w:w="2302" w:type="dxa"/>
          </w:tcPr>
          <w:p w14:paraId="721BC58F">
            <w:pPr>
              <w:pStyle w:val="31"/>
              <w:spacing w:before="134" w:line="219" w:lineRule="auto"/>
              <w:ind w:left="737"/>
              <w:rPr>
                <w:sz w:val="20"/>
              </w:rPr>
            </w:pPr>
          </w:p>
        </w:tc>
        <w:tc>
          <w:tcPr>
            <w:tcW w:w="1557" w:type="dxa"/>
          </w:tcPr>
          <w:p w14:paraId="434BB069">
            <w:pPr>
              <w:pStyle w:val="31"/>
              <w:spacing w:before="135" w:line="220" w:lineRule="auto"/>
              <w:ind w:left="480"/>
              <w:rPr>
                <w:sz w:val="20"/>
              </w:rPr>
            </w:pPr>
          </w:p>
        </w:tc>
        <w:tc>
          <w:tcPr>
            <w:tcW w:w="1953" w:type="dxa"/>
          </w:tcPr>
          <w:p w14:paraId="14AE4930">
            <w:pPr>
              <w:pStyle w:val="31"/>
              <w:spacing w:before="134" w:line="220" w:lineRule="auto"/>
              <w:ind w:left="672"/>
              <w:rPr>
                <w:sz w:val="20"/>
              </w:rPr>
            </w:pPr>
          </w:p>
        </w:tc>
      </w:tr>
      <w:tr w14:paraId="7B456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C4D473A">
            <w:pPr>
              <w:pStyle w:val="31"/>
              <w:spacing w:before="165" w:line="239" w:lineRule="auto"/>
              <w:ind w:left="638"/>
              <w:rPr>
                <w:sz w:val="20"/>
              </w:rPr>
            </w:pPr>
          </w:p>
        </w:tc>
        <w:tc>
          <w:tcPr>
            <w:tcW w:w="1555" w:type="dxa"/>
          </w:tcPr>
          <w:p w14:paraId="70E05F6B">
            <w:pPr>
              <w:pStyle w:val="31"/>
              <w:spacing w:before="165"/>
              <w:ind w:left="361"/>
              <w:rPr>
                <w:sz w:val="20"/>
              </w:rPr>
            </w:pPr>
          </w:p>
        </w:tc>
        <w:tc>
          <w:tcPr>
            <w:tcW w:w="2302" w:type="dxa"/>
          </w:tcPr>
          <w:p w14:paraId="64A483B4">
            <w:pPr>
              <w:pStyle w:val="31"/>
              <w:spacing w:before="135" w:line="219" w:lineRule="auto"/>
              <w:ind w:left="737"/>
              <w:rPr>
                <w:sz w:val="20"/>
              </w:rPr>
            </w:pPr>
          </w:p>
        </w:tc>
        <w:tc>
          <w:tcPr>
            <w:tcW w:w="1557" w:type="dxa"/>
          </w:tcPr>
          <w:p w14:paraId="035EBB4B">
            <w:pPr>
              <w:pStyle w:val="31"/>
              <w:spacing w:before="136" w:line="220" w:lineRule="auto"/>
              <w:ind w:left="480"/>
              <w:rPr>
                <w:sz w:val="20"/>
              </w:rPr>
            </w:pPr>
          </w:p>
        </w:tc>
        <w:tc>
          <w:tcPr>
            <w:tcW w:w="1953" w:type="dxa"/>
          </w:tcPr>
          <w:p w14:paraId="4C9E6945">
            <w:pPr>
              <w:pStyle w:val="31"/>
              <w:spacing w:before="135" w:line="220" w:lineRule="auto"/>
              <w:ind w:left="672"/>
              <w:rPr>
                <w:sz w:val="20"/>
              </w:rPr>
            </w:pPr>
          </w:p>
        </w:tc>
      </w:tr>
      <w:tr w14:paraId="76B6C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0416736">
            <w:pPr>
              <w:pStyle w:val="31"/>
              <w:spacing w:before="166" w:line="239" w:lineRule="auto"/>
              <w:ind w:left="638"/>
              <w:rPr>
                <w:sz w:val="20"/>
              </w:rPr>
            </w:pPr>
          </w:p>
        </w:tc>
        <w:tc>
          <w:tcPr>
            <w:tcW w:w="1555" w:type="dxa"/>
          </w:tcPr>
          <w:p w14:paraId="672C926F">
            <w:pPr>
              <w:pStyle w:val="31"/>
              <w:spacing w:before="166"/>
              <w:ind w:left="361"/>
              <w:rPr>
                <w:sz w:val="20"/>
              </w:rPr>
            </w:pPr>
          </w:p>
        </w:tc>
        <w:tc>
          <w:tcPr>
            <w:tcW w:w="2302" w:type="dxa"/>
          </w:tcPr>
          <w:p w14:paraId="07079925">
            <w:pPr>
              <w:pStyle w:val="31"/>
              <w:spacing w:before="136" w:line="219" w:lineRule="auto"/>
              <w:ind w:left="737"/>
              <w:rPr>
                <w:sz w:val="20"/>
              </w:rPr>
            </w:pPr>
          </w:p>
        </w:tc>
        <w:tc>
          <w:tcPr>
            <w:tcW w:w="1557" w:type="dxa"/>
          </w:tcPr>
          <w:p w14:paraId="30C3668A">
            <w:pPr>
              <w:pStyle w:val="31"/>
              <w:spacing w:before="137" w:line="220" w:lineRule="auto"/>
              <w:ind w:left="480"/>
              <w:rPr>
                <w:sz w:val="20"/>
              </w:rPr>
            </w:pPr>
          </w:p>
        </w:tc>
        <w:tc>
          <w:tcPr>
            <w:tcW w:w="1953" w:type="dxa"/>
          </w:tcPr>
          <w:p w14:paraId="0E1221A4">
            <w:pPr>
              <w:pStyle w:val="31"/>
              <w:spacing w:before="136" w:line="220" w:lineRule="auto"/>
              <w:ind w:left="672"/>
              <w:rPr>
                <w:sz w:val="20"/>
              </w:rPr>
            </w:pPr>
          </w:p>
        </w:tc>
      </w:tr>
      <w:tr w14:paraId="3EC0D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6FD519EE">
            <w:pPr>
              <w:rPr>
                <w:rFonts w:ascii="Times New Roman" w:hAnsi="Times New Roman" w:eastAsia="宋体" w:cs="Times New Roman"/>
                <w:kern w:val="0"/>
                <w:sz w:val="20"/>
                <w:szCs w:val="20"/>
              </w:rPr>
            </w:pPr>
          </w:p>
        </w:tc>
        <w:tc>
          <w:tcPr>
            <w:tcW w:w="1555" w:type="dxa"/>
          </w:tcPr>
          <w:p w14:paraId="7CC3BEC8">
            <w:pPr>
              <w:rPr>
                <w:rFonts w:ascii="Times New Roman" w:hAnsi="Times New Roman" w:eastAsia="宋体" w:cs="Times New Roman"/>
                <w:kern w:val="0"/>
                <w:sz w:val="20"/>
                <w:szCs w:val="20"/>
              </w:rPr>
            </w:pPr>
          </w:p>
        </w:tc>
        <w:tc>
          <w:tcPr>
            <w:tcW w:w="2302" w:type="dxa"/>
          </w:tcPr>
          <w:p w14:paraId="1A025D20">
            <w:pPr>
              <w:rPr>
                <w:rFonts w:ascii="Times New Roman" w:hAnsi="Times New Roman" w:eastAsia="宋体" w:cs="Times New Roman"/>
                <w:kern w:val="0"/>
                <w:sz w:val="20"/>
                <w:szCs w:val="20"/>
              </w:rPr>
            </w:pPr>
          </w:p>
        </w:tc>
        <w:tc>
          <w:tcPr>
            <w:tcW w:w="1557" w:type="dxa"/>
          </w:tcPr>
          <w:p w14:paraId="170F2042">
            <w:pPr>
              <w:rPr>
                <w:rFonts w:ascii="Times New Roman" w:hAnsi="Times New Roman" w:eastAsia="宋体" w:cs="Times New Roman"/>
                <w:kern w:val="0"/>
                <w:sz w:val="20"/>
                <w:szCs w:val="20"/>
              </w:rPr>
            </w:pPr>
          </w:p>
        </w:tc>
        <w:tc>
          <w:tcPr>
            <w:tcW w:w="1953" w:type="dxa"/>
          </w:tcPr>
          <w:p w14:paraId="5CC92D1F">
            <w:pPr>
              <w:rPr>
                <w:rFonts w:ascii="Times New Roman" w:hAnsi="Times New Roman" w:eastAsia="宋体" w:cs="Times New Roman"/>
                <w:kern w:val="0"/>
                <w:sz w:val="20"/>
                <w:szCs w:val="20"/>
              </w:rPr>
            </w:pPr>
          </w:p>
        </w:tc>
      </w:tr>
    </w:tbl>
    <w:p w14:paraId="2900C3BE">
      <w:pPr>
        <w:rPr>
          <w:rFonts w:ascii="宋体" w:hAnsi="宋体"/>
        </w:rPr>
      </w:pPr>
      <w:r>
        <w:rPr>
          <w:rFonts w:ascii="宋体" w:hAnsi="宋体"/>
        </w:rPr>
        <w:br w:type="page"/>
      </w:r>
    </w:p>
    <w:sdt>
      <w:sdtPr>
        <w:rPr>
          <w:rFonts w:ascii="宋体" w:hAnsi="宋体"/>
        </w:rPr>
        <w:id w:val="147473573"/>
        <w:docPartObj>
          <w:docPartGallery w:val="Table of Contents"/>
          <w:docPartUnique/>
        </w:docPartObj>
      </w:sdtPr>
      <w:sdtEndPr>
        <w:rPr>
          <w:rFonts w:asciiTheme="minorHAnsi" w:hAnsiTheme="minorHAnsi"/>
        </w:rPr>
      </w:sdtEndPr>
      <w:sdtContent>
        <w:p w14:paraId="14B9B349">
          <w:pPr>
            <w:jc w:val="center"/>
          </w:pPr>
          <w:r>
            <w:rPr>
              <w:rFonts w:ascii="宋体" w:hAnsi="宋体"/>
            </w:rPr>
            <w:t>目录</w:t>
          </w:r>
        </w:p>
        <w:p w14:paraId="1D837403">
          <w:pPr>
            <w:pStyle w:val="17"/>
            <w:tabs>
              <w:tab w:val="right" w:leader="dot" w:pos="8305"/>
            </w:tabs>
          </w:pPr>
          <w:r>
            <w:fldChar w:fldCharType="begin"/>
          </w:r>
          <w:r>
            <w:instrText xml:space="preserve">TOC \o "1-3" \h \u </w:instrText>
          </w:r>
          <w:r>
            <w:fldChar w:fldCharType="separate"/>
          </w:r>
          <w:r>
            <w:fldChar w:fldCharType="begin"/>
          </w:r>
          <w:r>
            <w:instrText xml:space="preserve"> HYPERLINK \l _Toc7479 </w:instrText>
          </w:r>
          <w:r>
            <w:fldChar w:fldCharType="separate"/>
          </w:r>
          <w:r>
            <w:t>淮安生态新城信息系统运维服务业务连续性报告</w:t>
          </w:r>
          <w:r>
            <w:tab/>
          </w:r>
          <w:r>
            <w:fldChar w:fldCharType="begin"/>
          </w:r>
          <w:r>
            <w:instrText xml:space="preserve"> PAGEREF _Toc7479 \h </w:instrText>
          </w:r>
          <w:r>
            <w:fldChar w:fldCharType="separate"/>
          </w:r>
          <w:r>
            <w:t>1</w:t>
          </w:r>
          <w:r>
            <w:fldChar w:fldCharType="end"/>
          </w:r>
          <w:r>
            <w:fldChar w:fldCharType="end"/>
          </w:r>
        </w:p>
        <w:p w14:paraId="1DDD509D">
          <w:pPr>
            <w:pStyle w:val="17"/>
            <w:tabs>
              <w:tab w:val="right" w:leader="dot" w:pos="8305"/>
            </w:tabs>
          </w:pPr>
          <w:r>
            <w:fldChar w:fldCharType="begin"/>
          </w:r>
          <w:r>
            <w:instrText xml:space="preserve"> HYPERLINK \l _Toc24942 </w:instrText>
          </w:r>
          <w:r>
            <w:fldChar w:fldCharType="separate"/>
          </w:r>
          <w:r>
            <w:t>江苏云储智能科技有限公司</w:t>
          </w:r>
          <w:r>
            <w:tab/>
          </w:r>
          <w:r>
            <w:fldChar w:fldCharType="begin"/>
          </w:r>
          <w:r>
            <w:instrText xml:space="preserve"> PAGEREF _Toc24942 \h </w:instrText>
          </w:r>
          <w:r>
            <w:fldChar w:fldCharType="separate"/>
          </w:r>
          <w:r>
            <w:t>1</w:t>
          </w:r>
          <w:r>
            <w:fldChar w:fldCharType="end"/>
          </w:r>
          <w:r>
            <w:fldChar w:fldCharType="end"/>
          </w:r>
        </w:p>
        <w:p w14:paraId="6FE45659">
          <w:pPr>
            <w:pStyle w:val="17"/>
            <w:tabs>
              <w:tab w:val="right" w:leader="dot" w:pos="8305"/>
            </w:tabs>
          </w:pPr>
          <w:r>
            <w:fldChar w:fldCharType="begin"/>
          </w:r>
          <w:r>
            <w:instrText xml:space="preserve"> HYPERLINK \l _Toc7269 </w:instrText>
          </w:r>
          <w:r>
            <w:fldChar w:fldCharType="separate"/>
          </w:r>
          <w:r>
            <w:rPr>
              <w:rFonts w:hint="default"/>
            </w:rPr>
            <w:t xml:space="preserve">1. </w:t>
          </w:r>
          <w:r>
            <w:rPr>
              <w:rFonts w:hint="eastAsia"/>
            </w:rPr>
            <w:t>执行摘要</w:t>
          </w:r>
          <w:r>
            <w:tab/>
          </w:r>
          <w:r>
            <w:fldChar w:fldCharType="begin"/>
          </w:r>
          <w:r>
            <w:instrText xml:space="preserve"> PAGEREF _Toc7269 \h </w:instrText>
          </w:r>
          <w:r>
            <w:fldChar w:fldCharType="separate"/>
          </w:r>
          <w:r>
            <w:t>4</w:t>
          </w:r>
          <w:r>
            <w:fldChar w:fldCharType="end"/>
          </w:r>
          <w:r>
            <w:fldChar w:fldCharType="end"/>
          </w:r>
        </w:p>
        <w:p w14:paraId="39A3C6F0">
          <w:pPr>
            <w:pStyle w:val="17"/>
            <w:tabs>
              <w:tab w:val="right" w:leader="dot" w:pos="8305"/>
            </w:tabs>
          </w:pPr>
          <w:r>
            <w:fldChar w:fldCharType="begin"/>
          </w:r>
          <w:r>
            <w:instrText xml:space="preserve"> HYPERLINK \l _Toc2902 </w:instrText>
          </w:r>
          <w:r>
            <w:fldChar w:fldCharType="separate"/>
          </w:r>
          <w:r>
            <w:rPr>
              <w:rFonts w:hint="default"/>
            </w:rPr>
            <w:t xml:space="preserve">2. </w:t>
          </w:r>
          <w:r>
            <w:rPr>
              <w:rFonts w:hint="eastAsia"/>
            </w:rPr>
            <w:t>连续性体系建设与维护情况</w:t>
          </w:r>
          <w:r>
            <w:tab/>
          </w:r>
          <w:r>
            <w:fldChar w:fldCharType="begin"/>
          </w:r>
          <w:r>
            <w:instrText xml:space="preserve"> PAGEREF _Toc2902 \h </w:instrText>
          </w:r>
          <w:r>
            <w:fldChar w:fldCharType="separate"/>
          </w:r>
          <w:r>
            <w:t>4</w:t>
          </w:r>
          <w:r>
            <w:fldChar w:fldCharType="end"/>
          </w:r>
          <w:r>
            <w:fldChar w:fldCharType="end"/>
          </w:r>
        </w:p>
        <w:p w14:paraId="2CFFC327">
          <w:pPr>
            <w:pStyle w:val="18"/>
            <w:tabs>
              <w:tab w:val="right" w:leader="dot" w:pos="8305"/>
            </w:tabs>
          </w:pPr>
          <w:r>
            <w:fldChar w:fldCharType="begin"/>
          </w:r>
          <w:r>
            <w:instrText xml:space="preserve"> HYPERLINK \l _Toc31473 </w:instrText>
          </w:r>
          <w:r>
            <w:fldChar w:fldCharType="separate"/>
          </w:r>
          <w:r>
            <w:rPr>
              <w:rFonts w:hint="default"/>
            </w:rPr>
            <w:t xml:space="preserve">2.1. </w:t>
          </w:r>
          <w:r>
            <w:rPr>
              <w:rFonts w:hint="eastAsia"/>
            </w:rPr>
            <w:t>组织与人员保障</w:t>
          </w:r>
          <w:r>
            <w:tab/>
          </w:r>
          <w:r>
            <w:fldChar w:fldCharType="begin"/>
          </w:r>
          <w:r>
            <w:instrText xml:space="preserve"> PAGEREF _Toc31473 \h </w:instrText>
          </w:r>
          <w:r>
            <w:fldChar w:fldCharType="separate"/>
          </w:r>
          <w:r>
            <w:t>4</w:t>
          </w:r>
          <w:r>
            <w:fldChar w:fldCharType="end"/>
          </w:r>
          <w:r>
            <w:fldChar w:fldCharType="end"/>
          </w:r>
        </w:p>
        <w:p w14:paraId="712A828E">
          <w:pPr>
            <w:pStyle w:val="18"/>
            <w:tabs>
              <w:tab w:val="right" w:leader="dot" w:pos="8305"/>
            </w:tabs>
          </w:pPr>
          <w:r>
            <w:fldChar w:fldCharType="begin"/>
          </w:r>
          <w:r>
            <w:instrText xml:space="preserve"> HYPERLINK \l _Toc25352 </w:instrText>
          </w:r>
          <w:r>
            <w:fldChar w:fldCharType="separate"/>
          </w:r>
          <w:r>
            <w:rPr>
              <w:rFonts w:hint="default"/>
            </w:rPr>
            <w:t xml:space="preserve">2.2. </w:t>
          </w:r>
          <w:r>
            <w:rPr>
              <w:rFonts w:hint="eastAsia"/>
            </w:rPr>
            <w:t>备份与恢复能力</w:t>
          </w:r>
          <w:r>
            <w:tab/>
          </w:r>
          <w:r>
            <w:fldChar w:fldCharType="begin"/>
          </w:r>
          <w:r>
            <w:instrText xml:space="preserve"> PAGEREF _Toc25352 \h </w:instrText>
          </w:r>
          <w:r>
            <w:fldChar w:fldCharType="separate"/>
          </w:r>
          <w:r>
            <w:t>5</w:t>
          </w:r>
          <w:r>
            <w:fldChar w:fldCharType="end"/>
          </w:r>
          <w:r>
            <w:fldChar w:fldCharType="end"/>
          </w:r>
        </w:p>
        <w:p w14:paraId="608D6E7E">
          <w:pPr>
            <w:pStyle w:val="18"/>
            <w:tabs>
              <w:tab w:val="right" w:leader="dot" w:pos="8305"/>
            </w:tabs>
          </w:pPr>
          <w:r>
            <w:fldChar w:fldCharType="begin"/>
          </w:r>
          <w:r>
            <w:instrText xml:space="preserve"> HYPERLINK \l _Toc379 </w:instrText>
          </w:r>
          <w:r>
            <w:fldChar w:fldCharType="separate"/>
          </w:r>
          <w:r>
            <w:rPr>
              <w:rFonts w:hint="default"/>
            </w:rPr>
            <w:t xml:space="preserve">2.3. </w:t>
          </w:r>
          <w:r>
            <w:rPr>
              <w:rFonts w:hint="eastAsia"/>
            </w:rPr>
            <w:t>备用资源管理</w:t>
          </w:r>
          <w:r>
            <w:tab/>
          </w:r>
          <w:r>
            <w:fldChar w:fldCharType="begin"/>
          </w:r>
          <w:r>
            <w:instrText xml:space="preserve"> PAGEREF _Toc379 \h </w:instrText>
          </w:r>
          <w:r>
            <w:fldChar w:fldCharType="separate"/>
          </w:r>
          <w:r>
            <w:t>5</w:t>
          </w:r>
          <w:r>
            <w:fldChar w:fldCharType="end"/>
          </w:r>
          <w:r>
            <w:fldChar w:fldCharType="end"/>
          </w:r>
        </w:p>
        <w:p w14:paraId="3C86A20D">
          <w:pPr>
            <w:pStyle w:val="17"/>
            <w:tabs>
              <w:tab w:val="right" w:leader="dot" w:pos="8305"/>
            </w:tabs>
          </w:pPr>
          <w:r>
            <w:fldChar w:fldCharType="begin"/>
          </w:r>
          <w:r>
            <w:instrText xml:space="preserve"> HYPERLINK \l _Toc28588 </w:instrText>
          </w:r>
          <w:r>
            <w:fldChar w:fldCharType="separate"/>
          </w:r>
          <w:r>
            <w:rPr>
              <w:rFonts w:hint="default"/>
            </w:rPr>
            <w:t xml:space="preserve">3. </w:t>
          </w:r>
          <w:r>
            <w:rPr>
              <w:rFonts w:hint="eastAsia"/>
            </w:rPr>
            <w:t>演练测试与应急能力验证</w:t>
          </w:r>
          <w:r>
            <w:tab/>
          </w:r>
          <w:r>
            <w:fldChar w:fldCharType="begin"/>
          </w:r>
          <w:r>
            <w:instrText xml:space="preserve"> PAGEREF _Toc28588 \h </w:instrText>
          </w:r>
          <w:r>
            <w:fldChar w:fldCharType="separate"/>
          </w:r>
          <w:r>
            <w:t>5</w:t>
          </w:r>
          <w:r>
            <w:fldChar w:fldCharType="end"/>
          </w:r>
          <w:r>
            <w:fldChar w:fldCharType="end"/>
          </w:r>
        </w:p>
        <w:p w14:paraId="3BAAAE85">
          <w:pPr>
            <w:pStyle w:val="17"/>
            <w:tabs>
              <w:tab w:val="right" w:leader="dot" w:pos="8305"/>
            </w:tabs>
          </w:pPr>
          <w:r>
            <w:fldChar w:fldCharType="begin"/>
          </w:r>
          <w:r>
            <w:instrText xml:space="preserve"> HYPERLINK \l _Toc8045 </w:instrText>
          </w:r>
          <w:r>
            <w:fldChar w:fldCharType="separate"/>
          </w:r>
          <w:r>
            <w:rPr>
              <w:rFonts w:hint="default"/>
            </w:rPr>
            <w:t xml:space="preserve">4. </w:t>
          </w:r>
          <w:r>
            <w:rPr>
              <w:rFonts w:hint="eastAsia"/>
            </w:rPr>
            <w:t>与可用性管理的衔接与协同</w:t>
          </w:r>
          <w:r>
            <w:tab/>
          </w:r>
          <w:r>
            <w:fldChar w:fldCharType="begin"/>
          </w:r>
          <w:r>
            <w:instrText xml:space="preserve"> PAGEREF _Toc8045 \h </w:instrText>
          </w:r>
          <w:r>
            <w:fldChar w:fldCharType="separate"/>
          </w:r>
          <w:r>
            <w:t>6</w:t>
          </w:r>
          <w:r>
            <w:fldChar w:fldCharType="end"/>
          </w:r>
          <w:r>
            <w:fldChar w:fldCharType="end"/>
          </w:r>
        </w:p>
        <w:p w14:paraId="5EE7CFD0">
          <w:pPr>
            <w:pStyle w:val="17"/>
            <w:tabs>
              <w:tab w:val="right" w:leader="dot" w:pos="8305"/>
            </w:tabs>
          </w:pPr>
          <w:r>
            <w:fldChar w:fldCharType="begin"/>
          </w:r>
          <w:r>
            <w:instrText xml:space="preserve"> HYPERLINK \l _Toc23645 </w:instrText>
          </w:r>
          <w:r>
            <w:fldChar w:fldCharType="separate"/>
          </w:r>
          <w:r>
            <w:rPr>
              <w:rFonts w:hint="default"/>
            </w:rPr>
            <w:t xml:space="preserve">5. </w:t>
          </w:r>
          <w:r>
            <w:rPr>
              <w:rFonts w:hint="eastAsia"/>
            </w:rPr>
            <w:t>持续改进计划</w:t>
          </w:r>
          <w:r>
            <w:tab/>
          </w:r>
          <w:r>
            <w:fldChar w:fldCharType="begin"/>
          </w:r>
          <w:r>
            <w:instrText xml:space="preserve"> PAGEREF _Toc23645 \h </w:instrText>
          </w:r>
          <w:r>
            <w:fldChar w:fldCharType="separate"/>
          </w:r>
          <w:r>
            <w:t>6</w:t>
          </w:r>
          <w:r>
            <w:fldChar w:fldCharType="end"/>
          </w:r>
          <w:r>
            <w:fldChar w:fldCharType="end"/>
          </w:r>
        </w:p>
        <w:p w14:paraId="5DA3907E">
          <w:pPr>
            <w:pStyle w:val="17"/>
            <w:tabs>
              <w:tab w:val="right" w:leader="dot" w:pos="8305"/>
            </w:tabs>
          </w:pPr>
          <w:r>
            <w:fldChar w:fldCharType="begin"/>
          </w:r>
          <w:r>
            <w:instrText xml:space="preserve"> HYPERLINK \l _Toc20330 </w:instrText>
          </w:r>
          <w:r>
            <w:fldChar w:fldCharType="separate"/>
          </w:r>
          <w:r>
            <w:rPr>
              <w:rFonts w:hint="default"/>
            </w:rPr>
            <w:t xml:space="preserve">6. </w:t>
          </w:r>
          <w:r>
            <w:rPr>
              <w:rFonts w:hint="eastAsia"/>
            </w:rPr>
            <w:t>结论</w:t>
          </w:r>
          <w:r>
            <w:tab/>
          </w:r>
          <w:r>
            <w:fldChar w:fldCharType="begin"/>
          </w:r>
          <w:r>
            <w:instrText xml:space="preserve"> PAGEREF _Toc20330 \h </w:instrText>
          </w:r>
          <w:r>
            <w:fldChar w:fldCharType="separate"/>
          </w:r>
          <w:r>
            <w:t>7</w:t>
          </w:r>
          <w:r>
            <w:fldChar w:fldCharType="end"/>
          </w:r>
          <w:r>
            <w:fldChar w:fldCharType="end"/>
          </w:r>
        </w:p>
        <w:p w14:paraId="5420F50F">
          <w:r>
            <w:fldChar w:fldCharType="end"/>
          </w:r>
        </w:p>
      </w:sdtContent>
    </w:sdt>
    <w:p w14:paraId="2B0EAFEB">
      <w:pPr>
        <w:rPr>
          <w:rFonts w:ascii="Arial" w:hAnsi="Arial" w:eastAsia="等线" w:cs="Arial"/>
          <w:b/>
          <w:sz w:val="32"/>
        </w:rPr>
      </w:pPr>
      <w:bookmarkStart w:id="2" w:name="heading_0"/>
      <w:r>
        <w:rPr>
          <w:rFonts w:ascii="Arial" w:hAnsi="Arial" w:eastAsia="等线" w:cs="Arial"/>
          <w:b/>
          <w:sz w:val="32"/>
        </w:rPr>
        <w:br w:type="page"/>
      </w:r>
      <w:bookmarkEnd w:id="2"/>
    </w:p>
    <w:p w14:paraId="1E9D7566">
      <w:pPr>
        <w:pStyle w:val="35"/>
        <w:bidi w:val="0"/>
        <w:rPr>
          <w:rFonts w:hint="eastAsia"/>
        </w:rPr>
      </w:pPr>
      <w:bookmarkStart w:id="3" w:name="_Toc7269"/>
      <w:r>
        <w:rPr>
          <w:rFonts w:hint="eastAsia"/>
        </w:rPr>
        <w:t>执行摘要</w:t>
      </w:r>
      <w:bookmarkEnd w:id="3"/>
    </w:p>
    <w:p w14:paraId="2C8DBE41">
      <w:pPr>
        <w:pStyle w:val="36"/>
        <w:bidi w:val="0"/>
        <w:rPr>
          <w:rFonts w:hint="eastAsia"/>
        </w:rPr>
      </w:pPr>
      <w:r>
        <w:rPr>
          <w:rFonts w:hint="eastAsia"/>
        </w:rPr>
        <w:t>本报告旨在总结2025年度淮安生态新城信息系统运维项目业务连续性管理体系的建设、测试与维护情况。</w:t>
      </w:r>
    </w:p>
    <w:p w14:paraId="4B9EB91A">
      <w:pPr>
        <w:pStyle w:val="36"/>
        <w:bidi w:val="0"/>
        <w:rPr>
          <w:rFonts w:hint="eastAsia"/>
        </w:rPr>
      </w:pPr>
      <w:r>
        <w:rPr>
          <w:rFonts w:hint="eastAsia"/>
        </w:rPr>
        <w:t>本年度，项目组严格遵循合同要求，依托江苏云储智能科技有限公司完善的组织架构与岗位职责体系（运维部、质量部、应急管理小组协同），通过明确的人员责任分工、定期的备份恢复验证、年度灾难恢复演练以及持续的体系优化，建立起一套覆盖预防、响应、恢复全流程的业务连续性保障机制。</w:t>
      </w:r>
    </w:p>
    <w:p w14:paraId="60F831A4">
      <w:pPr>
        <w:pStyle w:val="36"/>
        <w:bidi w:val="0"/>
        <w:rPr>
          <w:rFonts w:hint="eastAsia"/>
        </w:rPr>
      </w:pPr>
      <w:r>
        <w:rPr>
          <w:rFonts w:hint="eastAsia"/>
        </w:rPr>
        <w:t>全年未发生需启动灾难恢复计划的重大事故。在</w:t>
      </w:r>
      <w:r>
        <w:rPr>
          <w:rFonts w:hint="eastAsia"/>
          <w:lang w:val="en-US" w:eastAsia="zh-CN"/>
        </w:rPr>
        <w:t>年末进行一次</w:t>
      </w:r>
      <w:r>
        <w:rPr>
          <w:rFonts w:hint="eastAsia"/>
        </w:rPr>
        <w:t>模拟演练，团队成功验证了应急流程的有效性，核心设备恢复时间目标（RTO）≤4小时、恢复点目标（RPO）≤1小时的目标均达到或优于设计指标，系统韧性得到显著增强。</w:t>
      </w:r>
    </w:p>
    <w:p w14:paraId="66ADE7A1">
      <w:pPr>
        <w:pStyle w:val="35"/>
        <w:bidi w:val="0"/>
        <w:rPr>
          <w:rFonts w:hint="eastAsia"/>
        </w:rPr>
      </w:pPr>
      <w:bookmarkStart w:id="4" w:name="_Toc2902"/>
      <w:r>
        <w:rPr>
          <w:rFonts w:hint="eastAsia"/>
        </w:rPr>
        <w:t>连续性体系建设与维护情况</w:t>
      </w:r>
      <w:bookmarkEnd w:id="4"/>
    </w:p>
    <w:p w14:paraId="71D0B102">
      <w:pPr>
        <w:pStyle w:val="37"/>
        <w:bidi w:val="0"/>
        <w:rPr>
          <w:rFonts w:hint="eastAsia"/>
        </w:rPr>
      </w:pPr>
      <w:bookmarkStart w:id="5" w:name="_Toc31473"/>
      <w:r>
        <w:rPr>
          <w:rFonts w:hint="eastAsia"/>
        </w:rPr>
        <w:t>组织与人员保障</w:t>
      </w:r>
      <w:bookmarkEnd w:id="5"/>
    </w:p>
    <w:p w14:paraId="32AEACFD">
      <w:pPr>
        <w:pStyle w:val="36"/>
        <w:rPr>
          <w:rFonts w:hint="eastAsia"/>
        </w:rPr>
      </w:pPr>
      <w:r>
        <w:rPr>
          <w:rFonts w:hint="eastAsia"/>
        </w:rPr>
        <w:t>依据公司《组织架构及职责说明》及《岗位说明书》，项目组建立了完善的连续性管理组织架构，明确了各岗位在应急响应中的职责分工。</w:t>
      </w:r>
    </w:p>
    <w:p w14:paraId="2DC59F31">
      <w:pPr>
        <w:pStyle w:val="36"/>
        <w:rPr>
          <w:rFonts w:hint="eastAsia"/>
        </w:rPr>
      </w:pPr>
      <w:r>
        <w:rPr>
          <w:rFonts w:hint="eastAsia"/>
        </w:rPr>
        <w:t>应急指挥层由副总经理担任总指挥，负责连续性计划的启动、决策与整体协调；运维部经理担任执行负责人，负责重大服务中断的应急指挥与协调。</w:t>
      </w:r>
    </w:p>
    <w:p w14:paraId="48B6910D">
      <w:pPr>
        <w:pStyle w:val="36"/>
        <w:rPr>
          <w:rFonts w:hint="eastAsia"/>
        </w:rPr>
      </w:pPr>
      <w:r>
        <w:rPr>
          <w:rFonts w:hint="eastAsia"/>
        </w:rPr>
        <w:t>技术恢复组由运维项目经理、网络工程师、运维工程师、</w:t>
      </w:r>
      <w:r>
        <w:rPr>
          <w:rFonts w:hint="eastAsia"/>
          <w:lang w:val="en-US" w:eastAsia="zh-CN"/>
        </w:rPr>
        <w:t>技术支持工程师</w:t>
      </w:r>
      <w:bookmarkStart w:id="12" w:name="_GoBack"/>
      <w:bookmarkEnd w:id="12"/>
      <w:r>
        <w:rPr>
          <w:rFonts w:hint="eastAsia"/>
        </w:rPr>
        <w:t>组成，分别负责突发事件处理、网络设备恢复、服务器恢复、安全事件处置等工作。</w:t>
      </w:r>
    </w:p>
    <w:p w14:paraId="464E6B3B">
      <w:pPr>
        <w:pStyle w:val="36"/>
        <w:rPr>
          <w:rFonts w:hint="eastAsia"/>
        </w:rPr>
      </w:pPr>
      <w:r>
        <w:rPr>
          <w:rFonts w:hint="eastAsia"/>
        </w:rPr>
        <w:t>服务台与对外联络组由服务台经理和客服组成，负责甲方沟通、事件记录、信息发布。</w:t>
      </w:r>
    </w:p>
    <w:p w14:paraId="304AFE41">
      <w:pPr>
        <w:pStyle w:val="36"/>
        <w:rPr>
          <w:rFonts w:hint="eastAsia"/>
        </w:rPr>
      </w:pPr>
      <w:r>
        <w:rPr>
          <w:rFonts w:hint="eastAsia"/>
        </w:rPr>
        <w:t>质量保障与持续改进组由质量部经理和质量管理专员组成，负责事件复盘、流程审计、改进跟踪。</w:t>
      </w:r>
    </w:p>
    <w:p w14:paraId="573775EF">
      <w:pPr>
        <w:pStyle w:val="36"/>
        <w:rPr>
          <w:rFonts w:hint="eastAsia"/>
        </w:rPr>
      </w:pPr>
      <w:r>
        <w:rPr>
          <w:rFonts w:hint="eastAsia"/>
        </w:rPr>
        <w:t>保障支持组由备件库经理、采购部经理组成，负责备件保障、应急采购。</w:t>
      </w:r>
    </w:p>
    <w:p w14:paraId="30D824E3">
      <w:pPr>
        <w:pStyle w:val="36"/>
        <w:rPr>
          <w:rFonts w:hint="eastAsia"/>
        </w:rPr>
      </w:pPr>
      <w:r>
        <w:rPr>
          <w:rFonts w:hint="eastAsia"/>
        </w:rPr>
        <w:t>培训与能力保障由综合部经理和人事专员负责，负责培训组织、人员储备。</w:t>
      </w:r>
    </w:p>
    <w:p w14:paraId="730604BF">
      <w:pPr>
        <w:pStyle w:val="36"/>
        <w:rPr>
          <w:rFonts w:hint="eastAsia"/>
        </w:rPr>
      </w:pPr>
      <w:r>
        <w:rPr>
          <w:rFonts w:hint="eastAsia"/>
        </w:rPr>
        <w:t>责任落实情况：全年严格按计划落实了各关键系统的第一、第二责任人制度，人员无空缺，责任清晰。全年组织连续性计划专项培训2次，覆盖项目组全体成员及新入职员工，培训考核通过率100%。</w:t>
      </w:r>
    </w:p>
    <w:p w14:paraId="6AB752C4">
      <w:pPr>
        <w:pStyle w:val="37"/>
        <w:bidi w:val="0"/>
        <w:rPr>
          <w:rFonts w:hint="eastAsia"/>
        </w:rPr>
      </w:pPr>
      <w:bookmarkStart w:id="6" w:name="_Toc25352"/>
      <w:r>
        <w:rPr>
          <w:rFonts w:hint="eastAsia"/>
        </w:rPr>
        <w:t>备份与恢复能力</w:t>
      </w:r>
      <w:bookmarkEnd w:id="6"/>
    </w:p>
    <w:p w14:paraId="1E8D16D7">
      <w:pPr>
        <w:pStyle w:val="36"/>
        <w:rPr>
          <w:rFonts w:hint="eastAsia"/>
        </w:rPr>
      </w:pPr>
      <w:r>
        <w:rPr>
          <w:rFonts w:hint="eastAsia"/>
        </w:rPr>
        <w:t>依据合同要求，项目组严格执行以下备份策略：</w:t>
      </w:r>
    </w:p>
    <w:p w14:paraId="3C146C55">
      <w:pPr>
        <w:pStyle w:val="36"/>
        <w:rPr>
          <w:rFonts w:hint="eastAsia"/>
        </w:rPr>
      </w:pPr>
      <w:r>
        <w:rPr>
          <w:rFonts w:hint="eastAsia"/>
        </w:rPr>
        <w:t>设备配置全量备份：每周日凌晨执行，保留周期4周，全年执行52次，成功率100%</w:t>
      </w:r>
    </w:p>
    <w:p w14:paraId="1327A5C7">
      <w:pPr>
        <w:pStyle w:val="36"/>
        <w:rPr>
          <w:rFonts w:hint="eastAsia"/>
        </w:rPr>
      </w:pPr>
      <w:r>
        <w:rPr>
          <w:rFonts w:hint="eastAsia"/>
        </w:rPr>
        <w:t>服务器配置备份：每周日凌晨执行，保留周期4周，全年执行52次，成功率100%</w:t>
      </w:r>
    </w:p>
    <w:p w14:paraId="05E6F772">
      <w:pPr>
        <w:pStyle w:val="36"/>
        <w:rPr>
          <w:rFonts w:hint="eastAsia"/>
        </w:rPr>
      </w:pPr>
      <w:r>
        <w:rPr>
          <w:rFonts w:hint="eastAsia"/>
        </w:rPr>
        <w:t>恢复验证常态化：按计划完成4次季度备份恢复测试，由运维工程师主导，质量部见证。平均配置恢复时间（RTO）为3.2小时，优于合同目标（核心设备≤4小时），验证了备份数据的完整性与可用性。</w:t>
      </w:r>
    </w:p>
    <w:p w14:paraId="2198180C">
      <w:pPr>
        <w:pStyle w:val="37"/>
        <w:bidi w:val="0"/>
        <w:rPr>
          <w:rFonts w:hint="eastAsia"/>
        </w:rPr>
      </w:pPr>
      <w:bookmarkStart w:id="7" w:name="_Toc379"/>
      <w:r>
        <w:rPr>
          <w:rFonts w:hint="eastAsia"/>
        </w:rPr>
        <w:t>备用资源管理</w:t>
      </w:r>
      <w:bookmarkEnd w:id="7"/>
    </w:p>
    <w:p w14:paraId="178EA6E3">
      <w:pPr>
        <w:pStyle w:val="36"/>
        <w:rPr>
          <w:rFonts w:hint="eastAsia"/>
        </w:rPr>
      </w:pPr>
      <w:r>
        <w:rPr>
          <w:rFonts w:hint="eastAsia"/>
        </w:rPr>
        <w:t>项目组建立了完善的备用资源管理体系：</w:t>
      </w:r>
    </w:p>
    <w:p w14:paraId="78B5FDA5">
      <w:pPr>
        <w:pStyle w:val="36"/>
        <w:rPr>
          <w:rFonts w:hint="eastAsia"/>
        </w:rPr>
      </w:pPr>
      <w:r>
        <w:rPr>
          <w:rFonts w:hint="eastAsia"/>
        </w:rPr>
        <w:t>备品备件库：关键硬件（核心交换机电源模块、硬盘、内存、光纤模块等）备件储备充足，台账清晰，领用流程规范。全年备件调用3次，均在1小时内完成出库。</w:t>
      </w:r>
    </w:p>
    <w:p w14:paraId="752E2495">
      <w:pPr>
        <w:pStyle w:val="36"/>
        <w:rPr>
          <w:rFonts w:hint="eastAsia"/>
        </w:rPr>
      </w:pPr>
      <w:r>
        <w:rPr>
          <w:rFonts w:hint="eastAsia"/>
        </w:rPr>
        <w:t>采购保障：根据备件库提交的采购申请，及时完成备件采购，确保库存满足应急需求。</w:t>
      </w:r>
    </w:p>
    <w:p w14:paraId="38583B80">
      <w:pPr>
        <w:pStyle w:val="36"/>
        <w:rPr>
          <w:rFonts w:hint="eastAsia"/>
        </w:rPr>
      </w:pPr>
      <w:r>
        <w:rPr>
          <w:rFonts w:hint="eastAsia"/>
        </w:rPr>
        <w:t>技术文档完备：系统架构图、网络拓扑、配置手册、恢复操作指南等关键文档已完成归档并每季度更新。</w:t>
      </w:r>
    </w:p>
    <w:p w14:paraId="37AD0649">
      <w:pPr>
        <w:pStyle w:val="36"/>
        <w:rPr>
          <w:rFonts w:hint="eastAsia"/>
        </w:rPr>
      </w:pPr>
      <w:r>
        <w:rPr>
          <w:rFonts w:hint="eastAsia"/>
        </w:rPr>
        <w:t>CMDB配置管理：按合同要求，CMDB每季度全量核对，配置变更后48小时内完成更新，配置基线审计差异率</w:t>
      </w:r>
      <w:r>
        <w:rPr>
          <w:rFonts w:hint="eastAsia"/>
          <w:lang w:val="en-US" w:eastAsia="zh-CN"/>
        </w:rPr>
        <w:t>为0</w:t>
      </w:r>
      <w:r>
        <w:rPr>
          <w:rFonts w:hint="eastAsia"/>
        </w:rPr>
        <w:t>。</w:t>
      </w:r>
    </w:p>
    <w:p w14:paraId="6079DE4C">
      <w:pPr>
        <w:pStyle w:val="35"/>
        <w:bidi w:val="0"/>
        <w:rPr>
          <w:rFonts w:hint="eastAsia"/>
        </w:rPr>
      </w:pPr>
      <w:bookmarkStart w:id="8" w:name="_Toc28588"/>
      <w:r>
        <w:rPr>
          <w:rFonts w:hint="eastAsia"/>
        </w:rPr>
        <w:t>演练测试与应急能力验证</w:t>
      </w:r>
      <w:bookmarkEnd w:id="8"/>
    </w:p>
    <w:p w14:paraId="294C543D">
      <w:pPr>
        <w:pStyle w:val="36"/>
        <w:bidi w:val="0"/>
        <w:rPr>
          <w:rFonts w:hint="eastAsia"/>
        </w:rPr>
      </w:pPr>
      <w:r>
        <w:rPr>
          <w:rFonts w:hint="eastAsia"/>
        </w:rPr>
        <w:t>依据合同要求，项目组2025年度共组织</w:t>
      </w:r>
      <w:r>
        <w:rPr>
          <w:rFonts w:hint="eastAsia"/>
          <w:lang w:val="en-US" w:eastAsia="zh-CN"/>
        </w:rPr>
        <w:t>1</w:t>
      </w:r>
      <w:r>
        <w:rPr>
          <w:rFonts w:hint="eastAsia"/>
        </w:rPr>
        <w:t>次灾难恢复演练及应急能力验证活动：</w:t>
      </w:r>
    </w:p>
    <w:p w14:paraId="4F7FA169">
      <w:pPr>
        <w:pStyle w:val="36"/>
        <w:bidi w:val="0"/>
        <w:rPr>
          <w:rFonts w:hint="eastAsia"/>
        </w:rPr>
      </w:pPr>
      <w:r>
        <w:rPr>
          <w:rFonts w:hint="eastAsia"/>
        </w:rPr>
        <w:t>演练主题：核心交换机主备切换演练</w:t>
      </w:r>
    </w:p>
    <w:p w14:paraId="20722970">
      <w:pPr>
        <w:pStyle w:val="36"/>
        <w:bidi w:val="0"/>
        <w:rPr>
          <w:rFonts w:hint="eastAsia"/>
        </w:rPr>
      </w:pPr>
      <w:r>
        <w:rPr>
          <w:rFonts w:hint="eastAsia"/>
        </w:rPr>
        <w:t>演练时间：2025年12月15日</w:t>
      </w:r>
    </w:p>
    <w:p w14:paraId="6FA8384C">
      <w:pPr>
        <w:pStyle w:val="36"/>
        <w:bidi w:val="0"/>
        <w:rPr>
          <w:rFonts w:hint="eastAsia"/>
        </w:rPr>
      </w:pPr>
      <w:r>
        <w:rPr>
          <w:rFonts w:hint="eastAsia"/>
        </w:rPr>
        <w:t>演练形式：模拟故障</w:t>
      </w:r>
    </w:p>
    <w:p w14:paraId="4AF163A6">
      <w:pPr>
        <w:pStyle w:val="36"/>
        <w:bidi w:val="0"/>
        <w:rPr>
          <w:rFonts w:hint="eastAsia"/>
        </w:rPr>
      </w:pPr>
      <w:r>
        <w:rPr>
          <w:rFonts w:hint="eastAsia"/>
        </w:rPr>
        <w:t>模拟场景：核心交换机主设备宕机，业务自动/手动切换至备用设备</w:t>
      </w:r>
    </w:p>
    <w:p w14:paraId="6723D988">
      <w:pPr>
        <w:pStyle w:val="36"/>
        <w:bidi w:val="0"/>
        <w:rPr>
          <w:rFonts w:hint="eastAsia"/>
        </w:rPr>
      </w:pPr>
      <w:r>
        <w:rPr>
          <w:rFonts w:hint="eastAsia"/>
        </w:rPr>
        <w:t>参与岗位：副总经理、运维部经理、网络工程师、基础环境运维工程师、服务台经理、质量部经理</w:t>
      </w:r>
    </w:p>
    <w:p w14:paraId="59F7453B">
      <w:pPr>
        <w:pStyle w:val="36"/>
        <w:bidi w:val="0"/>
        <w:rPr>
          <w:rFonts w:hint="eastAsia"/>
        </w:rPr>
      </w:pPr>
      <w:r>
        <w:rPr>
          <w:rFonts w:hint="eastAsia"/>
        </w:rPr>
        <w:t>核心指标达成情况：实际RTO为8分钟，优于目标（4小时）。业务切换期间，网络中断时长控制在10分钟内，未影响核心业务连续性。</w:t>
      </w:r>
    </w:p>
    <w:p w14:paraId="68064E53">
      <w:pPr>
        <w:pStyle w:val="36"/>
        <w:bidi w:val="0"/>
        <w:rPr>
          <w:rFonts w:hint="eastAsia"/>
        </w:rPr>
      </w:pPr>
      <w:r>
        <w:rPr>
          <w:rFonts w:hint="eastAsia"/>
        </w:rPr>
        <w:t>主要发现与改进：演练后优化了路由收敛配置，将切换后路由收敛时间从3分钟缩短至1分钟。</w:t>
      </w:r>
    </w:p>
    <w:p w14:paraId="58B11357">
      <w:pPr>
        <w:pStyle w:val="36"/>
        <w:bidi w:val="0"/>
        <w:rPr>
          <w:rFonts w:hint="eastAsia"/>
        </w:rPr>
      </w:pPr>
      <w:r>
        <w:rPr>
          <w:rFonts w:hint="eastAsia"/>
        </w:rPr>
        <w:t>演练结论：演练证明，当前连续性计划流程清晰、分工明确、技术方案可行。各岗位人员熟悉自身应急职责，团队具备在计划时间目标内恢复核心业务的能力。</w:t>
      </w:r>
    </w:p>
    <w:p w14:paraId="0766CDB1">
      <w:pPr>
        <w:pStyle w:val="35"/>
        <w:bidi w:val="0"/>
        <w:rPr>
          <w:rFonts w:hint="eastAsia"/>
        </w:rPr>
      </w:pPr>
      <w:bookmarkStart w:id="9" w:name="_Toc8045"/>
      <w:r>
        <w:rPr>
          <w:rFonts w:hint="eastAsia"/>
        </w:rPr>
        <w:t>与可用性管理的衔接与协同</w:t>
      </w:r>
      <w:bookmarkEnd w:id="9"/>
    </w:p>
    <w:p w14:paraId="2C480653">
      <w:pPr>
        <w:pStyle w:val="36"/>
        <w:rPr>
          <w:rFonts w:hint="eastAsia"/>
        </w:rPr>
      </w:pPr>
      <w:r>
        <w:rPr>
          <w:rFonts w:hint="eastAsia"/>
        </w:rPr>
        <w:t>2025年度，连续性管理与可用性管理形成了有效协同：</w:t>
      </w:r>
    </w:p>
    <w:p w14:paraId="79D1BA62">
      <w:pPr>
        <w:pStyle w:val="36"/>
        <w:rPr>
          <w:rFonts w:hint="eastAsia"/>
        </w:rPr>
      </w:pPr>
      <w:r>
        <w:rPr>
          <w:rFonts w:hint="eastAsia"/>
        </w:rPr>
        <w:t>监控告警作为触发入口：7×24小时监控系统为快速识别可能升级为连续性事件的重大故障提供预警，严重告警3分钟内触发自动通知，15分钟内响应。</w:t>
      </w:r>
    </w:p>
    <w:p w14:paraId="26BAD815">
      <w:pPr>
        <w:pStyle w:val="36"/>
        <w:rPr>
          <w:rFonts w:hint="eastAsia"/>
        </w:rPr>
      </w:pPr>
      <w:r>
        <w:rPr>
          <w:rFonts w:hint="eastAsia"/>
        </w:rPr>
        <w:t>日常维护奠定恢复基础：定期的设备健康检查与配置备份，提升了系统整体稳定性，降低了发生灾难性故障的概率。</w:t>
      </w:r>
    </w:p>
    <w:p w14:paraId="06C25712">
      <w:pPr>
        <w:pStyle w:val="36"/>
        <w:rPr>
          <w:rFonts w:hint="eastAsia"/>
        </w:rPr>
      </w:pPr>
      <w:r>
        <w:rPr>
          <w:rFonts w:hint="eastAsia"/>
        </w:rPr>
        <w:t>事件分级清晰：明确了常规故障（可用性范畴）与重大灾难事件（连续性范畴）的界定标准与升级流程，P1级故障自动触发应急响应流程。</w:t>
      </w:r>
    </w:p>
    <w:p w14:paraId="36B8003A">
      <w:pPr>
        <w:pStyle w:val="36"/>
        <w:rPr>
          <w:rFonts w:hint="eastAsia"/>
        </w:rPr>
      </w:pPr>
      <w:r>
        <w:rPr>
          <w:rFonts w:hint="eastAsia"/>
        </w:rPr>
        <w:t>可用性报告与连续性报告联动：每月可用性报告中的P1/P2级事件均纳入连续性复盘，形成“事件→根因分析→改进措施→预案更新”的闭环。</w:t>
      </w:r>
    </w:p>
    <w:p w14:paraId="64C8F670">
      <w:pPr>
        <w:pStyle w:val="36"/>
        <w:rPr>
          <w:rFonts w:hint="eastAsia"/>
        </w:rPr>
      </w:pPr>
      <w:r>
        <w:rPr>
          <w:rFonts w:hint="eastAsia"/>
        </w:rPr>
        <w:t>应急管理小组统筹：根据不同类型的突发事件，制定详细的应急预案，定期组织应急演练，应急响应事件结束后组织评估，总结经验，完善应急预案。</w:t>
      </w:r>
    </w:p>
    <w:p w14:paraId="6FA1F6E0">
      <w:pPr>
        <w:pStyle w:val="35"/>
        <w:bidi w:val="0"/>
        <w:rPr>
          <w:rFonts w:hint="eastAsia"/>
        </w:rPr>
      </w:pPr>
      <w:bookmarkStart w:id="10" w:name="_Toc23645"/>
      <w:r>
        <w:rPr>
          <w:rFonts w:hint="eastAsia"/>
        </w:rPr>
        <w:t>持续改进计划</w:t>
      </w:r>
      <w:bookmarkEnd w:id="10"/>
    </w:p>
    <w:p w14:paraId="52BA6145">
      <w:pPr>
        <w:pStyle w:val="36"/>
        <w:bidi w:val="0"/>
        <w:rPr>
          <w:rFonts w:hint="eastAsia"/>
        </w:rPr>
      </w:pPr>
      <w:r>
        <w:rPr>
          <w:rFonts w:hint="eastAsia"/>
        </w:rPr>
        <w:t>尽管连续性体系运行良好，为进一步提升应对极端情况的能力，计划在2026年重点推进以下工作：</w:t>
      </w:r>
    </w:p>
    <w:p w14:paraId="4E638D7C">
      <w:pPr>
        <w:pStyle w:val="36"/>
        <w:numPr>
          <w:ilvl w:val="0"/>
          <w:numId w:val="2"/>
        </w:numPr>
        <w:bidi w:val="0"/>
        <w:ind w:left="425" w:leftChars="0" w:hanging="425" w:firstLineChars="0"/>
        <w:rPr>
          <w:rFonts w:hint="eastAsia"/>
        </w:rPr>
      </w:pPr>
      <w:r>
        <w:rPr>
          <w:rFonts w:hint="eastAsia"/>
        </w:rPr>
        <w:t>全链路灾难恢复演练：策划并执行一次包含“生产环境模拟中断、备份数据恢复、设备整体接管”的全链条、贴近实战的灾难恢复演练。</w:t>
      </w:r>
    </w:p>
    <w:p w14:paraId="6EA1D5C8">
      <w:pPr>
        <w:pStyle w:val="36"/>
        <w:numPr>
          <w:ilvl w:val="0"/>
          <w:numId w:val="2"/>
        </w:numPr>
        <w:bidi w:val="0"/>
        <w:ind w:left="425" w:leftChars="0" w:hanging="425" w:firstLineChars="0"/>
        <w:rPr>
          <w:rFonts w:hint="eastAsia"/>
        </w:rPr>
      </w:pPr>
      <w:r>
        <w:rPr>
          <w:rFonts w:hint="eastAsia"/>
        </w:rPr>
        <w:t>备件优化：根据设备运行情况，优化备件储备策略，确保关键备件覆盖率100%。</w:t>
      </w:r>
    </w:p>
    <w:p w14:paraId="2E7F4CF0">
      <w:pPr>
        <w:pStyle w:val="36"/>
        <w:numPr>
          <w:ilvl w:val="0"/>
          <w:numId w:val="2"/>
        </w:numPr>
        <w:bidi w:val="0"/>
        <w:ind w:left="425" w:leftChars="0" w:hanging="425" w:firstLineChars="0"/>
        <w:rPr>
          <w:rFonts w:hint="eastAsia"/>
        </w:rPr>
      </w:pPr>
      <w:r>
        <w:rPr>
          <w:rFonts w:hint="eastAsia"/>
        </w:rPr>
        <w:t>深化外部协作机制：与甲方信息技术部门、电力保障单位、网络运营商等外部协作单位建立更常态化的应急沟通与联合演练机制。</w:t>
      </w:r>
    </w:p>
    <w:p w14:paraId="22F59F24">
      <w:pPr>
        <w:pStyle w:val="36"/>
        <w:numPr>
          <w:ilvl w:val="0"/>
          <w:numId w:val="2"/>
        </w:numPr>
        <w:bidi w:val="0"/>
        <w:ind w:left="425" w:leftChars="0" w:hanging="425" w:firstLineChars="0"/>
        <w:rPr>
          <w:rFonts w:hint="eastAsia"/>
        </w:rPr>
      </w:pPr>
      <w:r>
        <w:rPr>
          <w:rFonts w:hint="eastAsia"/>
        </w:rPr>
        <w:t>配置恢复自动化：探索配置恢复流程的自动化编排，进一步缩短RTO，目标将核心设备恢复时间压缩至2小时以内。</w:t>
      </w:r>
    </w:p>
    <w:p w14:paraId="42AFB607">
      <w:pPr>
        <w:pStyle w:val="36"/>
        <w:numPr>
          <w:ilvl w:val="0"/>
          <w:numId w:val="2"/>
        </w:numPr>
        <w:bidi w:val="0"/>
        <w:ind w:left="425" w:leftChars="0" w:hanging="425" w:firstLineChars="0"/>
        <w:rPr>
          <w:rFonts w:hint="eastAsia"/>
        </w:rPr>
      </w:pPr>
      <w:r>
        <w:rPr>
          <w:rFonts w:hint="eastAsia"/>
        </w:rPr>
        <w:t>应急培训常态化：将连续性计划培训纳入年度培训体系，每半年至少组织1次全员应急意识与技能培训。</w:t>
      </w:r>
    </w:p>
    <w:p w14:paraId="3B44067A">
      <w:pPr>
        <w:pStyle w:val="35"/>
        <w:bidi w:val="0"/>
        <w:rPr>
          <w:rFonts w:hint="eastAsia"/>
        </w:rPr>
      </w:pPr>
      <w:bookmarkStart w:id="11" w:name="_Toc20330"/>
      <w:r>
        <w:rPr>
          <w:rFonts w:hint="eastAsia"/>
        </w:rPr>
        <w:t>结论</w:t>
      </w:r>
      <w:bookmarkEnd w:id="11"/>
    </w:p>
    <w:p w14:paraId="59B04805">
      <w:pPr>
        <w:pStyle w:val="36"/>
        <w:bidi w:val="0"/>
        <w:rPr>
          <w:rFonts w:hint="eastAsia"/>
        </w:rPr>
      </w:pPr>
      <w:r>
        <w:rPr>
          <w:rFonts w:hint="eastAsia"/>
        </w:rPr>
        <w:t>2025年度，淮安生态新城信息系统运维项目的业务连续性管理体系建设完整、运行有效，各岗位职责清晰、协同顺畅。</w:t>
      </w:r>
    </w:p>
    <w:p w14:paraId="3143EA84">
      <w:pPr>
        <w:pStyle w:val="36"/>
        <w:bidi w:val="0"/>
        <w:rPr>
          <w:rFonts w:hint="eastAsia"/>
        </w:rPr>
      </w:pPr>
      <w:r>
        <w:rPr>
          <w:rFonts w:hint="eastAsia"/>
        </w:rPr>
        <w:t>组织保障到位：依托公司完善的岗位职责体系，应急团队责任清晰、培训覆盖全面，从副总经理到一线工程师均明确自身应急职责。</w:t>
      </w:r>
    </w:p>
    <w:p w14:paraId="4FE36CF1">
      <w:pPr>
        <w:pStyle w:val="36"/>
        <w:bidi w:val="0"/>
        <w:rPr>
          <w:rFonts w:hint="eastAsia"/>
        </w:rPr>
      </w:pPr>
      <w:r>
        <w:rPr>
          <w:rFonts w:hint="eastAsia"/>
        </w:rPr>
        <w:t>备份策略执行有力：全年备份成功率100%，4次季度恢复测试全部成功，RTO（3.2小时）优于合同目标。</w:t>
      </w:r>
    </w:p>
    <w:p w14:paraId="54991D59">
      <w:pPr>
        <w:pStyle w:val="36"/>
        <w:bidi w:val="0"/>
        <w:rPr>
          <w:rFonts w:hint="eastAsia"/>
        </w:rPr>
      </w:pPr>
      <w:r>
        <w:rPr>
          <w:rFonts w:hint="eastAsia"/>
        </w:rPr>
        <w:t>演练验证充分：</w:t>
      </w:r>
      <w:r>
        <w:rPr>
          <w:rFonts w:hint="eastAsia"/>
          <w:lang w:val="en-US" w:eastAsia="zh-CN"/>
        </w:rPr>
        <w:t>1</w:t>
      </w:r>
      <w:r>
        <w:rPr>
          <w:rFonts w:hint="eastAsia"/>
        </w:rPr>
        <w:t>次灾难恢复演练（核心交换机主备切换）圆满完成，验证了应急流程的有效性和团队的协同恢复能力。</w:t>
      </w:r>
    </w:p>
    <w:p w14:paraId="275E9C8C">
      <w:pPr>
        <w:pStyle w:val="36"/>
        <w:bidi w:val="0"/>
        <w:rPr>
          <w:rFonts w:hint="eastAsia"/>
        </w:rPr>
      </w:pPr>
      <w:r>
        <w:rPr>
          <w:rFonts w:hint="eastAsia"/>
        </w:rPr>
        <w:t>备用资源管理规范：备件库管理、采购保障、技术文档、CMDB配置管理等支撑体系运转正常。</w:t>
      </w:r>
    </w:p>
    <w:p w14:paraId="2F2AAD1E">
      <w:pPr>
        <w:pStyle w:val="36"/>
        <w:bidi w:val="0"/>
        <w:rPr>
          <w:rFonts w:hint="eastAsia"/>
        </w:rPr>
      </w:pPr>
      <w:r>
        <w:rPr>
          <w:rFonts w:hint="eastAsia"/>
        </w:rPr>
        <w:t>通过扎实的日常维护、可靠的备份策略、定期的演练验证以及明确的组织职责分工，项目组成功构建了应对重大中断事件的恢复能力，为淮安生态新城各信息化系统的持续、稳定、安全运行提供了坚实保障。</w:t>
      </w:r>
    </w:p>
    <w:p w14:paraId="4118CABD">
      <w:pPr>
        <w:pStyle w:val="36"/>
        <w:bidi w:val="0"/>
      </w:pPr>
      <w:r>
        <w:rPr>
          <w:rFonts w:hint="eastAsia"/>
        </w:rPr>
        <w:t>江苏云储智能科技有限公司将持续优化连续性管理体系，致力于为甲方构建更加强韧、可靠的信息化服务支撑。</w:t>
      </w:r>
    </w:p>
    <w:sectPr>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3E0309A"/>
    <w:multiLevelType w:val="singleLevel"/>
    <w:tmpl w:val="C3E0309A"/>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794813"/>
    <w:rsid w:val="000138E7"/>
    <w:rsid w:val="00371BA3"/>
    <w:rsid w:val="005D7C00"/>
    <w:rsid w:val="00794813"/>
    <w:rsid w:val="00BE1808"/>
    <w:rsid w:val="00D35686"/>
    <w:rsid w:val="00D92656"/>
    <w:rsid w:val="00F50FA9"/>
    <w:rsid w:val="010E3F17"/>
    <w:rsid w:val="04367644"/>
    <w:rsid w:val="0F8E0A11"/>
    <w:rsid w:val="106A2B50"/>
    <w:rsid w:val="125B7B35"/>
    <w:rsid w:val="13B14F39"/>
    <w:rsid w:val="18E90CD1"/>
    <w:rsid w:val="1AC437A4"/>
    <w:rsid w:val="1DB918CB"/>
    <w:rsid w:val="1FD55B8C"/>
    <w:rsid w:val="20230F6D"/>
    <w:rsid w:val="2245341D"/>
    <w:rsid w:val="22ED1996"/>
    <w:rsid w:val="23847F75"/>
    <w:rsid w:val="249935AC"/>
    <w:rsid w:val="25333A00"/>
    <w:rsid w:val="25B54415"/>
    <w:rsid w:val="26766521"/>
    <w:rsid w:val="285D2B42"/>
    <w:rsid w:val="297035D9"/>
    <w:rsid w:val="2ABB39A8"/>
    <w:rsid w:val="2DA90D03"/>
    <w:rsid w:val="2E0F48DF"/>
    <w:rsid w:val="351D5B33"/>
    <w:rsid w:val="3C4D282A"/>
    <w:rsid w:val="3C686DAB"/>
    <w:rsid w:val="410B7187"/>
    <w:rsid w:val="42B63434"/>
    <w:rsid w:val="44893184"/>
    <w:rsid w:val="45A007E6"/>
    <w:rsid w:val="46ED6512"/>
    <w:rsid w:val="4A9532A7"/>
    <w:rsid w:val="4D5123C6"/>
    <w:rsid w:val="4E355844"/>
    <w:rsid w:val="4EEF1E97"/>
    <w:rsid w:val="4FE237A9"/>
    <w:rsid w:val="51945803"/>
    <w:rsid w:val="52036385"/>
    <w:rsid w:val="54501629"/>
    <w:rsid w:val="549A4653"/>
    <w:rsid w:val="54C0055D"/>
    <w:rsid w:val="596B480F"/>
    <w:rsid w:val="5D0739C5"/>
    <w:rsid w:val="5F1871E8"/>
    <w:rsid w:val="61AE798F"/>
    <w:rsid w:val="62FE04A2"/>
    <w:rsid w:val="67313B0C"/>
    <w:rsid w:val="6A95793E"/>
    <w:rsid w:val="6AC04A2E"/>
    <w:rsid w:val="6CD81D64"/>
    <w:rsid w:val="6CF22E26"/>
    <w:rsid w:val="6E35746E"/>
    <w:rsid w:val="6EA52EF0"/>
    <w:rsid w:val="70473489"/>
    <w:rsid w:val="71CF3736"/>
    <w:rsid w:val="73861D97"/>
    <w:rsid w:val="76D11CFE"/>
    <w:rsid w:val="78342545"/>
    <w:rsid w:val="794A5D98"/>
    <w:rsid w:val="7ABD0F17"/>
    <w:rsid w:val="7E665422"/>
    <w:rsid w:val="7F361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Balloon Text"/>
    <w:basedOn w:val="1"/>
    <w:link w:val="34"/>
    <w:qFormat/>
    <w:uiPriority w:val="0"/>
    <w:rPr>
      <w:sz w:val="18"/>
    </w:rPr>
  </w:style>
  <w:style w:type="paragraph" w:styleId="15">
    <w:name w:val="footer"/>
    <w:basedOn w:val="1"/>
    <w:link w:val="33"/>
    <w:qFormat/>
    <w:uiPriority w:val="0"/>
    <w:pPr>
      <w:tabs>
        <w:tab w:val="center" w:pos="4153"/>
        <w:tab w:val="right" w:pos="8306"/>
      </w:tabs>
      <w:snapToGrid w:val="0"/>
      <w:jc w:val="left"/>
    </w:pPr>
    <w:rPr>
      <w:sz w:val="18"/>
    </w:rPr>
  </w:style>
  <w:style w:type="paragraph" w:styleId="16">
    <w:name w:val="header"/>
    <w:basedOn w:val="1"/>
    <w:link w:val="32"/>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link w:val="28"/>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basedOn w:val="23"/>
    <w:qFormat/>
    <w:uiPriority w:val="0"/>
    <w:rPr>
      <w:color w:val="0000FF"/>
      <w:u w:val="single"/>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0"/>
    <w:qFormat/>
    <w:uiPriority w:val="0"/>
    <w:pPr>
      <w:spacing w:after="600" w:afterLines="600"/>
    </w:pPr>
    <w:rPr>
      <w:rFonts w:hint="eastAsia" w:ascii="宋体" w:hAnsi="宋体" w:eastAsia="宋体" w:cs="宋体"/>
      <w:bCs/>
      <w:spacing w:val="-6"/>
      <w:sz w:val="52"/>
      <w:szCs w:val="52"/>
    </w:rPr>
  </w:style>
  <w:style w:type="character" w:customStyle="1" w:styleId="28">
    <w:name w:val="标题 Char"/>
    <w:link w:val="20"/>
    <w:qFormat/>
    <w:uiPriority w:val="10"/>
    <w:rPr>
      <w:rFonts w:ascii="Arial" w:hAnsi="Arial"/>
      <w:b/>
      <w:sz w:val="32"/>
    </w:rPr>
  </w:style>
  <w:style w:type="paragraph" w:customStyle="1" w:styleId="29">
    <w:name w:val="柴_文档名"/>
    <w:basedOn w:val="20"/>
    <w:qFormat/>
    <w:uiPriority w:val="0"/>
    <w:pPr>
      <w:spacing w:after="900" w:afterLines="900"/>
    </w:pPr>
    <w:rPr>
      <w:rFonts w:ascii="黑体" w:hAnsi="黑体" w:eastAsia="黑体" w:cs="黑体"/>
      <w:bCs/>
      <w:spacing w:val="-7"/>
      <w:sz w:val="52"/>
      <w:szCs w:val="52"/>
    </w:rPr>
  </w:style>
  <w:style w:type="table" w:customStyle="1" w:styleId="30">
    <w:name w:val="Table Normal_0"/>
    <w:semiHidden/>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paragraph" w:customStyle="1" w:styleId="31">
    <w:name w:val="Table Text"/>
    <w:basedOn w:val="1"/>
    <w:semiHidden/>
    <w:qFormat/>
    <w:uiPriority w:val="0"/>
    <w:rPr>
      <w:rFonts w:ascii="宋体" w:hAnsi="宋体" w:eastAsia="宋体" w:cs="宋体"/>
      <w:sz w:val="21"/>
      <w:szCs w:val="21"/>
      <w:lang w:val="en-US" w:eastAsia="en-US" w:bidi="ar-SA"/>
    </w:rPr>
  </w:style>
  <w:style w:type="character" w:customStyle="1" w:styleId="32">
    <w:name w:val="页眉 Char"/>
    <w:link w:val="16"/>
    <w:semiHidden/>
    <w:qFormat/>
    <w:uiPriority w:val="99"/>
    <w:rPr>
      <w:sz w:val="18"/>
    </w:rPr>
  </w:style>
  <w:style w:type="character" w:customStyle="1" w:styleId="33">
    <w:name w:val="页脚 Char"/>
    <w:link w:val="15"/>
    <w:semiHidden/>
    <w:qFormat/>
    <w:uiPriority w:val="99"/>
    <w:rPr>
      <w:sz w:val="18"/>
    </w:rPr>
  </w:style>
  <w:style w:type="character" w:customStyle="1" w:styleId="34">
    <w:name w:val="批注框文本 Char"/>
    <w:link w:val="14"/>
    <w:semiHidden/>
    <w:qFormat/>
    <w:uiPriority w:val="99"/>
    <w:rPr>
      <w:sz w:val="18"/>
    </w:rPr>
  </w:style>
  <w:style w:type="paragraph" w:customStyle="1" w:styleId="35">
    <w:name w:val="柴_标题1"/>
    <w:basedOn w:val="2"/>
    <w:next w:val="36"/>
    <w:link w:val="45"/>
    <w:qFormat/>
    <w:uiPriority w:val="0"/>
    <w:pPr>
      <w:spacing w:before="100" w:after="90" w:line="360" w:lineRule="auto"/>
    </w:pPr>
    <w:rPr>
      <w:rFonts w:ascii="Arial" w:hAnsi="Arial" w:eastAsia="宋体"/>
      <w:sz w:val="32"/>
    </w:rPr>
  </w:style>
  <w:style w:type="paragraph" w:customStyle="1" w:styleId="36">
    <w:name w:val="柴_正文"/>
    <w:basedOn w:val="12"/>
    <w:link w:val="48"/>
    <w:qFormat/>
    <w:uiPriority w:val="0"/>
    <w:pPr>
      <w:spacing w:line="360" w:lineRule="auto"/>
      <w:ind w:firstLine="470" w:firstLineChars="200"/>
    </w:pPr>
    <w:rPr>
      <w:rFonts w:ascii="Arial" w:hAnsi="Arial" w:eastAsia="宋体"/>
      <w:sz w:val="24"/>
      <w:lang w:eastAsia="zh-CN"/>
    </w:rPr>
  </w:style>
  <w:style w:type="paragraph" w:customStyle="1" w:styleId="37">
    <w:name w:val="柴_标题2"/>
    <w:basedOn w:val="3"/>
    <w:next w:val="36"/>
    <w:link w:val="51"/>
    <w:qFormat/>
    <w:uiPriority w:val="0"/>
    <w:pPr>
      <w:spacing w:line="360" w:lineRule="auto"/>
    </w:pPr>
    <w:rPr>
      <w:rFonts w:ascii="Arial" w:hAnsi="Arial" w:eastAsia="宋体"/>
      <w:sz w:val="28"/>
    </w:rPr>
  </w:style>
  <w:style w:type="paragraph" w:customStyle="1" w:styleId="38">
    <w:name w:val="柴_标题3"/>
    <w:basedOn w:val="4"/>
    <w:next w:val="36"/>
    <w:qFormat/>
    <w:uiPriority w:val="0"/>
    <w:pPr>
      <w:spacing w:line="360" w:lineRule="auto"/>
      <w:ind w:left="0" w:firstLine="472" w:firstLineChars="200"/>
    </w:pPr>
    <w:rPr>
      <w:rFonts w:ascii="宋体" w:hAnsi="宋体" w:eastAsia="宋体" w:cs="宋体"/>
      <w:spacing w:val="-2"/>
      <w:sz w:val="24"/>
      <w:szCs w:val="24"/>
    </w:rPr>
  </w:style>
  <w:style w:type="paragraph" w:customStyle="1" w:styleId="39">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40">
    <w:name w:val="WPSOffice手动目录 1"/>
    <w:qFormat/>
    <w:uiPriority w:val="0"/>
    <w:pPr>
      <w:ind w:leftChars="0"/>
    </w:pPr>
    <w:rPr>
      <w:rFonts w:ascii="Times New Roman" w:hAnsi="Times New Roman" w:eastAsia="宋体" w:cs="Times New Roman"/>
      <w:sz w:val="20"/>
      <w:szCs w:val="20"/>
    </w:rPr>
  </w:style>
  <w:style w:type="paragraph" w:customStyle="1" w:styleId="41">
    <w:name w:val="WPSOffice手动目录 2"/>
    <w:qFormat/>
    <w:uiPriority w:val="0"/>
    <w:pPr>
      <w:ind w:leftChars="200"/>
    </w:pPr>
    <w:rPr>
      <w:rFonts w:ascii="Times New Roman" w:hAnsi="Times New Roman" w:eastAsia="宋体" w:cs="Times New Roman"/>
      <w:sz w:val="20"/>
      <w:szCs w:val="20"/>
    </w:rPr>
  </w:style>
  <w:style w:type="paragraph" w:customStyle="1" w:styleId="42">
    <w:name w:val="WPSOffice手动目录 3"/>
    <w:qFormat/>
    <w:uiPriority w:val="0"/>
    <w:pPr>
      <w:ind w:leftChars="400"/>
    </w:pPr>
    <w:rPr>
      <w:rFonts w:ascii="Times New Roman" w:hAnsi="Times New Roman" w:eastAsia="宋体" w:cs="Times New Roman"/>
      <w:sz w:val="20"/>
      <w:szCs w:val="20"/>
    </w:rPr>
  </w:style>
  <w:style w:type="paragraph" w:customStyle="1" w:styleId="43">
    <w:name w:val="Compact"/>
    <w:basedOn w:val="12"/>
    <w:qFormat/>
    <w:uiPriority w:val="0"/>
    <w:pPr>
      <w:spacing w:before="36" w:after="36"/>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5">
    <w:name w:val="柴_标题1 Char"/>
    <w:link w:val="35"/>
    <w:qFormat/>
    <w:uiPriority w:val="0"/>
    <w:rPr>
      <w:rFonts w:ascii="Arial" w:hAnsi="Arial" w:eastAsia="宋体"/>
      <w:sz w:val="32"/>
    </w:rPr>
  </w:style>
  <w:style w:type="paragraph" w:customStyle="1" w:styleId="46">
    <w:name w:val="柴_正文_无缩进"/>
    <w:basedOn w:val="1"/>
    <w:link w:val="50"/>
    <w:qFormat/>
    <w:uiPriority w:val="0"/>
    <w:pPr>
      <w:ind w:firstLine="0" w:firstLineChars="0"/>
    </w:pPr>
    <w:rPr>
      <w:rFonts w:ascii="Arial" w:hAnsi="Arial"/>
      <w:sz w:val="24"/>
      <w:lang w:eastAsia="zh-CN"/>
    </w:rPr>
  </w:style>
  <w:style w:type="paragraph" w:customStyle="1" w:styleId="4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8">
    <w:name w:val="柴_正文 Char"/>
    <w:link w:val="36"/>
    <w:qFormat/>
    <w:uiPriority w:val="0"/>
    <w:rPr>
      <w:rFonts w:ascii="Arial" w:hAnsi="Arial" w:eastAsia="宋体"/>
      <w:sz w:val="24"/>
      <w:lang w:eastAsia="zh-CN"/>
    </w:rPr>
  </w:style>
  <w:style w:type="table" w:customStyle="1" w:styleId="49">
    <w:name w:val="Table Normal_0_0"/>
    <w:semiHidden/>
    <w:unhideWhenUsed/>
    <w:qFormat/>
    <w:uiPriority w:val="0"/>
    <w:tblPr>
      <w:tblCellMar>
        <w:top w:w="0" w:type="dxa"/>
        <w:left w:w="0" w:type="dxa"/>
        <w:bottom w:w="0" w:type="dxa"/>
        <w:right w:w="0" w:type="dxa"/>
      </w:tblCellMar>
    </w:tblPr>
  </w:style>
  <w:style w:type="character" w:customStyle="1" w:styleId="50">
    <w:name w:val="柴_正文_无缩进 Char"/>
    <w:link w:val="46"/>
    <w:qFormat/>
    <w:uiPriority w:val="0"/>
    <w:rPr>
      <w:rFonts w:ascii="Arial" w:hAnsi="Arial"/>
      <w:sz w:val="24"/>
      <w:lang w:eastAsia="zh-CN"/>
    </w:rPr>
  </w:style>
  <w:style w:type="character" w:customStyle="1" w:styleId="51">
    <w:name w:val="柴_标题2 Char"/>
    <w:link w:val="37"/>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2704</Words>
  <Characters>2825</Characters>
  <Lines>40</Lines>
  <Paragraphs>11</Paragraphs>
  <TotalTime>0</TotalTime>
  <ScaleCrop>false</ScaleCrop>
  <LinksUpToDate>false</LinksUpToDate>
  <CharactersWithSpaces>2845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2026-04-14T02:21:00Z</dcterms:created>
  <dc:creator>Apache POI</dc:creator>
  <cp:lastModifiedBy>郝宇</cp:lastModifiedBy>
  <dcterms:modified xsi:type="dcterms:W3CDTF">2026-04-27T07:32:40Z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eyJoZGlkIjoiZWI4NmUzMGY2ODA3MDc4ZTFlMjZjZTAyMjM0NmVmODgiLCJ1c2VySWQiOiIxMDc1MzgyOSJ9</vt:lpwstr>
  </property>
  <property fmtid="{D5CDD505-2E9C-101B-9397-08002B2CF9AE}" pid="3" name="KSOProductBuildVer">
    <vt:lpwstr>2052-12.1.0.25865</vt:lpwstr>
  </property>
  <property fmtid="{D5CDD505-2E9C-101B-9397-08002B2CF9AE}" pid="4" name="ICV">
    <vt:lpwstr>B9E7394AC5364D898486A7367B073C8E_12</vt:lpwstr>
  </property>
</Properties>
</file>