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D31117">
      <w:pPr>
        <w:pStyle w:val="32"/>
        <w:spacing w:after="1440"/>
        <w:rPr>
          <w:rFonts w:hint="default"/>
        </w:rPr>
      </w:pPr>
    </w:p>
    <w:p w14:paraId="7AD2166D">
      <w:pPr>
        <w:pStyle w:val="32"/>
        <w:spacing w:after="1440"/>
        <w:rPr>
          <w:rFonts w:hint="default"/>
        </w:rPr>
      </w:pPr>
    </w:p>
    <w:p w14:paraId="4BB0D791">
      <w:pPr>
        <w:pStyle w:val="32"/>
        <w:spacing w:after="1440"/>
        <w:rPr>
          <w:rFonts w:hint="default"/>
        </w:rPr>
      </w:pPr>
      <w:bookmarkStart w:id="0" w:name="_Toc25204"/>
      <w:r>
        <w:t>服务台应用提升情况说明</w:t>
      </w:r>
      <w:bookmarkEnd w:id="0"/>
    </w:p>
    <w:p w14:paraId="33DDC78F">
      <w:pPr>
        <w:pStyle w:val="33"/>
        <w:spacing w:after="2160"/>
      </w:pPr>
      <w:bookmarkStart w:id="1" w:name="_Toc21117"/>
      <w:r>
        <w:t>江苏云储智能科技有限公司</w:t>
      </w:r>
      <w:bookmarkEnd w:id="1"/>
    </w:p>
    <w:p w14:paraId="2AE7F462">
      <w:pPr>
        <w:spacing w:before="224" w:line="220" w:lineRule="auto"/>
        <w:ind w:left="2808"/>
        <w:rPr>
          <w:rFonts w:ascii="宋体" w:hAnsi="宋体" w:cs="宋体"/>
          <w:sz w:val="36"/>
          <w:szCs w:val="36"/>
        </w:rPr>
      </w:pPr>
      <w:r>
        <w:rPr>
          <w:rFonts w:ascii="宋体" w:hAnsi="宋体" w:cs="宋体"/>
          <w:spacing w:val="-10"/>
          <w:sz w:val="36"/>
          <w:szCs w:val="36"/>
        </w:rPr>
        <w:t>2025年</w:t>
      </w:r>
      <w:r>
        <w:rPr>
          <w:rFonts w:hint="eastAsia" w:ascii="宋体" w:hAnsi="宋体" w:cs="宋体"/>
          <w:spacing w:val="-10"/>
          <w:sz w:val="36"/>
          <w:szCs w:val="36"/>
          <w:lang w:eastAsia="zh-CN"/>
        </w:rPr>
        <w:t>12</w:t>
      </w:r>
      <w:r>
        <w:rPr>
          <w:rFonts w:ascii="宋体" w:hAnsi="宋体" w:cs="宋体"/>
          <w:spacing w:val="-10"/>
          <w:sz w:val="36"/>
          <w:szCs w:val="36"/>
        </w:rPr>
        <w:t>月20日</w:t>
      </w:r>
    </w:p>
    <w:p w14:paraId="169455B9">
      <w:pPr>
        <w:spacing w:line="220" w:lineRule="auto"/>
        <w:rPr>
          <w:rFonts w:ascii="宋体" w:hAnsi="宋体" w:cs="宋体"/>
          <w:sz w:val="36"/>
          <w:szCs w:val="36"/>
        </w:rPr>
        <w:sectPr>
          <w:headerReference r:id="rId5" w:type="default"/>
          <w:pgSz w:w="11906" w:h="16839"/>
          <w:pgMar w:top="1097" w:right="1767" w:bottom="0" w:left="1768" w:header="1082" w:footer="0" w:gutter="0"/>
          <w:cols w:space="720" w:num="1"/>
        </w:sectPr>
      </w:pPr>
    </w:p>
    <w:p w14:paraId="4D7FA9B8">
      <w:pPr>
        <w:spacing w:before="91" w:line="220" w:lineRule="auto"/>
        <w:ind w:left="3778"/>
        <w:outlineLvl w:val="0"/>
        <w:rPr>
          <w:rFonts w:ascii="宋体" w:hAnsi="宋体" w:cs="宋体"/>
          <w:sz w:val="28"/>
          <w:szCs w:val="28"/>
        </w:rPr>
      </w:pPr>
      <w:bookmarkStart w:id="2" w:name="_Toc22616"/>
      <w:r>
        <w:rPr>
          <w:rFonts w:ascii="宋体" w:hAnsi="宋体" w:cs="宋体"/>
          <w:spacing w:val="-3"/>
          <w:sz w:val="28"/>
          <w:szCs w:val="28"/>
        </w:rPr>
        <w:t>文档信息</w:t>
      </w:r>
      <w:bookmarkEnd w:id="2"/>
    </w:p>
    <w:tbl>
      <w:tblPr>
        <w:tblStyle w:val="25"/>
        <w:tblW w:w="863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2"/>
        <w:gridCol w:w="1557"/>
        <w:gridCol w:w="2121"/>
        <w:gridCol w:w="1698"/>
        <w:gridCol w:w="1561"/>
      </w:tblGrid>
      <w:tr w14:paraId="714A54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2" w:type="dxa"/>
          </w:tcPr>
          <w:p w14:paraId="25ED3E1F">
            <w:pPr>
              <w:pStyle w:val="26"/>
              <w:spacing w:before="139" w:line="220" w:lineRule="auto"/>
              <w:ind w:left="224"/>
            </w:pPr>
            <w:r>
              <w:rPr>
                <w:spacing w:val="-2"/>
              </w:rPr>
              <w:t>文档名称编号</w:t>
            </w:r>
          </w:p>
        </w:tc>
        <w:tc>
          <w:tcPr>
            <w:tcW w:w="6937" w:type="dxa"/>
            <w:gridSpan w:val="4"/>
          </w:tcPr>
          <w:p w14:paraId="1CC7DA93">
            <w:pPr>
              <w:pStyle w:val="26"/>
              <w:spacing w:before="139" w:line="220" w:lineRule="auto"/>
              <w:ind w:left="108"/>
            </w:pPr>
            <w:r>
              <w:rPr>
                <w:spacing w:val="-1"/>
              </w:rPr>
              <w:t>服务台应用提升情况说明</w:t>
            </w:r>
          </w:p>
        </w:tc>
      </w:tr>
      <w:tr w14:paraId="2E4854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2" w:type="dxa"/>
          </w:tcPr>
          <w:p w14:paraId="5F0B522E">
            <w:pPr>
              <w:pStyle w:val="26"/>
              <w:spacing w:before="136" w:line="220" w:lineRule="auto"/>
              <w:ind w:left="434"/>
            </w:pPr>
            <w:r>
              <w:rPr>
                <w:spacing w:val="-2"/>
              </w:rPr>
              <w:t>编制单位</w:t>
            </w:r>
          </w:p>
        </w:tc>
        <w:tc>
          <w:tcPr>
            <w:tcW w:w="6937" w:type="dxa"/>
            <w:gridSpan w:val="4"/>
          </w:tcPr>
          <w:p w14:paraId="68D548C2">
            <w:pPr>
              <w:pStyle w:val="26"/>
              <w:spacing w:before="137" w:line="219" w:lineRule="auto"/>
              <w:ind w:left="108"/>
            </w:pPr>
            <w:r>
              <w:rPr>
                <w:spacing w:val="-1"/>
              </w:rPr>
              <w:t>江苏云储智能科技有限公司</w:t>
            </w:r>
          </w:p>
        </w:tc>
      </w:tr>
      <w:tr w14:paraId="08297D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2" w:type="dxa"/>
          </w:tcPr>
          <w:p w14:paraId="75062469">
            <w:pPr>
              <w:pStyle w:val="26"/>
              <w:spacing w:before="139" w:line="219" w:lineRule="auto"/>
              <w:ind w:left="434"/>
            </w:pPr>
            <w:r>
              <w:rPr>
                <w:spacing w:val="-2"/>
              </w:rPr>
              <w:t>文档版本</w:t>
            </w:r>
          </w:p>
        </w:tc>
        <w:tc>
          <w:tcPr>
            <w:tcW w:w="1557" w:type="dxa"/>
          </w:tcPr>
          <w:p w14:paraId="1A683101">
            <w:pPr>
              <w:pStyle w:val="26"/>
              <w:spacing w:before="139" w:line="219" w:lineRule="auto"/>
              <w:ind w:left="360"/>
            </w:pPr>
            <w:r>
              <w:rPr>
                <w:spacing w:val="-2"/>
              </w:rPr>
              <w:t>版本日期</w:t>
            </w:r>
          </w:p>
        </w:tc>
        <w:tc>
          <w:tcPr>
            <w:tcW w:w="2121" w:type="dxa"/>
          </w:tcPr>
          <w:p w14:paraId="2815911E">
            <w:pPr>
              <w:pStyle w:val="26"/>
              <w:spacing w:before="139" w:line="219" w:lineRule="auto"/>
              <w:ind w:left="645"/>
            </w:pPr>
            <w:r>
              <w:rPr>
                <w:spacing w:val="-2"/>
              </w:rPr>
              <w:t>版本说明</w:t>
            </w:r>
          </w:p>
        </w:tc>
        <w:tc>
          <w:tcPr>
            <w:tcW w:w="1698" w:type="dxa"/>
          </w:tcPr>
          <w:p w14:paraId="7BFF379E">
            <w:pPr>
              <w:pStyle w:val="26"/>
              <w:spacing w:before="139" w:line="220" w:lineRule="auto"/>
              <w:ind w:left="593"/>
            </w:pPr>
            <w:r>
              <w:rPr>
                <w:spacing w:val="-5"/>
              </w:rPr>
              <w:t>作</w:t>
            </w:r>
            <w:r>
              <w:rPr>
                <w:spacing w:val="9"/>
              </w:rPr>
              <w:t xml:space="preserve"> </w:t>
            </w:r>
            <w:r>
              <w:rPr>
                <w:spacing w:val="-5"/>
              </w:rPr>
              <w:t>者</w:t>
            </w:r>
          </w:p>
        </w:tc>
        <w:tc>
          <w:tcPr>
            <w:tcW w:w="1561" w:type="dxa"/>
          </w:tcPr>
          <w:p w14:paraId="34A86E13">
            <w:pPr>
              <w:pStyle w:val="26"/>
              <w:spacing w:before="139" w:line="220" w:lineRule="auto"/>
              <w:ind w:left="586"/>
            </w:pPr>
            <w:r>
              <w:rPr>
                <w:spacing w:val="-5"/>
              </w:rPr>
              <w:t>审核</w:t>
            </w:r>
          </w:p>
        </w:tc>
      </w:tr>
      <w:tr w14:paraId="251201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2" w:type="dxa"/>
          </w:tcPr>
          <w:p w14:paraId="6137270A">
            <w:pPr>
              <w:pStyle w:val="26"/>
              <w:spacing w:before="104" w:line="239" w:lineRule="auto"/>
              <w:ind w:left="637"/>
            </w:pPr>
            <w:r>
              <w:rPr>
                <w:spacing w:val="-1"/>
              </w:rPr>
              <w:t>V1.0</w:t>
            </w:r>
          </w:p>
        </w:tc>
        <w:tc>
          <w:tcPr>
            <w:tcW w:w="1557" w:type="dxa"/>
          </w:tcPr>
          <w:p w14:paraId="026845F1">
            <w:pPr>
              <w:pStyle w:val="26"/>
              <w:spacing w:before="104"/>
              <w:ind w:left="362"/>
              <w:rPr>
                <w:lang w:eastAsia="zh-CN"/>
              </w:rPr>
            </w:pPr>
            <w:r>
              <w:rPr>
                <w:spacing w:val="-2"/>
              </w:rPr>
              <w:t>2025-</w:t>
            </w:r>
            <w:r>
              <w:rPr>
                <w:rFonts w:hint="eastAsia"/>
                <w:spacing w:val="-2"/>
                <w:lang w:eastAsia="zh-CN"/>
              </w:rPr>
              <w:t>12</w:t>
            </w:r>
            <w:r>
              <w:rPr>
                <w:spacing w:val="-2"/>
              </w:rPr>
              <w:t>-2</w:t>
            </w:r>
            <w:r>
              <w:rPr>
                <w:rFonts w:hint="eastAsia"/>
                <w:spacing w:val="-2"/>
                <w:lang w:eastAsia="zh-CN"/>
              </w:rPr>
              <w:t>0</w:t>
            </w:r>
          </w:p>
        </w:tc>
        <w:tc>
          <w:tcPr>
            <w:tcW w:w="2121" w:type="dxa"/>
          </w:tcPr>
          <w:p w14:paraId="5F10CB74">
            <w:pPr>
              <w:pStyle w:val="26"/>
              <w:spacing w:before="74" w:line="219" w:lineRule="auto"/>
              <w:ind w:left="647"/>
            </w:pPr>
            <w:r>
              <w:rPr>
                <w:spacing w:val="-3"/>
              </w:rPr>
              <w:t>发布版本</w:t>
            </w:r>
          </w:p>
        </w:tc>
        <w:tc>
          <w:tcPr>
            <w:tcW w:w="1698" w:type="dxa"/>
          </w:tcPr>
          <w:p w14:paraId="3BA58753">
            <w:pPr>
              <w:pStyle w:val="26"/>
              <w:spacing w:before="75" w:line="220" w:lineRule="auto"/>
              <w:ind w:left="550"/>
              <w:rPr>
                <w:lang w:eastAsia="zh-CN"/>
              </w:rPr>
            </w:pPr>
            <w:r>
              <w:rPr>
                <w:rFonts w:hint="eastAsia"/>
                <w:lang w:eastAsia="zh-CN"/>
              </w:rPr>
              <w:t>王朋</w:t>
            </w:r>
          </w:p>
        </w:tc>
        <w:tc>
          <w:tcPr>
            <w:tcW w:w="1561" w:type="dxa"/>
          </w:tcPr>
          <w:p w14:paraId="47478F69">
            <w:pPr>
              <w:pStyle w:val="26"/>
              <w:spacing w:before="74" w:line="220" w:lineRule="auto"/>
              <w:ind w:left="476"/>
            </w:pPr>
            <w:r>
              <w:rPr>
                <w:spacing w:val="-3"/>
              </w:rPr>
              <w:t>史晓玲</w:t>
            </w:r>
          </w:p>
        </w:tc>
      </w:tr>
      <w:tr w14:paraId="7E2739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2" w:type="dxa"/>
          </w:tcPr>
          <w:p w14:paraId="3A1A06E6"/>
        </w:tc>
        <w:tc>
          <w:tcPr>
            <w:tcW w:w="1557" w:type="dxa"/>
          </w:tcPr>
          <w:p w14:paraId="5B20258C"/>
        </w:tc>
        <w:tc>
          <w:tcPr>
            <w:tcW w:w="2121" w:type="dxa"/>
          </w:tcPr>
          <w:p w14:paraId="1A78F04D"/>
        </w:tc>
        <w:tc>
          <w:tcPr>
            <w:tcW w:w="1698" w:type="dxa"/>
          </w:tcPr>
          <w:p w14:paraId="6A2FC637"/>
        </w:tc>
        <w:tc>
          <w:tcPr>
            <w:tcW w:w="1561" w:type="dxa"/>
          </w:tcPr>
          <w:p w14:paraId="6F6811B3"/>
        </w:tc>
      </w:tr>
      <w:tr w14:paraId="29B035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702" w:type="dxa"/>
          </w:tcPr>
          <w:p w14:paraId="70E2BBEE"/>
        </w:tc>
        <w:tc>
          <w:tcPr>
            <w:tcW w:w="1557" w:type="dxa"/>
          </w:tcPr>
          <w:p w14:paraId="49AA5C49"/>
        </w:tc>
        <w:tc>
          <w:tcPr>
            <w:tcW w:w="2121" w:type="dxa"/>
          </w:tcPr>
          <w:p w14:paraId="465E65FC"/>
        </w:tc>
        <w:tc>
          <w:tcPr>
            <w:tcW w:w="1698" w:type="dxa"/>
          </w:tcPr>
          <w:p w14:paraId="5A4EBD15"/>
        </w:tc>
        <w:tc>
          <w:tcPr>
            <w:tcW w:w="1561" w:type="dxa"/>
          </w:tcPr>
          <w:p w14:paraId="1B36C0EF"/>
        </w:tc>
      </w:tr>
      <w:tr w14:paraId="47DB4D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2" w:type="dxa"/>
          </w:tcPr>
          <w:p w14:paraId="60668AED"/>
        </w:tc>
        <w:tc>
          <w:tcPr>
            <w:tcW w:w="1557" w:type="dxa"/>
          </w:tcPr>
          <w:p w14:paraId="258E617D"/>
        </w:tc>
        <w:tc>
          <w:tcPr>
            <w:tcW w:w="2121" w:type="dxa"/>
          </w:tcPr>
          <w:p w14:paraId="6A798FE0"/>
        </w:tc>
        <w:tc>
          <w:tcPr>
            <w:tcW w:w="1698" w:type="dxa"/>
          </w:tcPr>
          <w:p w14:paraId="7B9EE4FF"/>
        </w:tc>
        <w:tc>
          <w:tcPr>
            <w:tcW w:w="1561" w:type="dxa"/>
          </w:tcPr>
          <w:p w14:paraId="73EF52FF"/>
        </w:tc>
      </w:tr>
    </w:tbl>
    <w:p w14:paraId="404513E1">
      <w:pPr>
        <w:pStyle w:val="12"/>
      </w:pPr>
    </w:p>
    <w:p w14:paraId="327CDEB3">
      <w:pPr>
        <w:sectPr>
          <w:headerReference r:id="rId6" w:type="default"/>
          <w:pgSz w:w="11906" w:h="16839"/>
          <w:pgMar w:top="1097" w:right="1627" w:bottom="0" w:left="1628" w:header="1082" w:footer="0" w:gutter="0"/>
          <w:cols w:space="720" w:num="1"/>
        </w:sectPr>
      </w:pPr>
    </w:p>
    <w:sdt>
      <w:sdtPr>
        <w:rPr>
          <w:rFonts w:ascii="宋体" w:hAnsi="宋体"/>
        </w:rPr>
        <w:id w:val="147467022"/>
        <w:docPartObj>
          <w:docPartGallery w:val="Table of Contents"/>
          <w:docPartUnique/>
        </w:docPartObj>
      </w:sdtPr>
      <w:sdtEndPr>
        <w:rPr>
          <w:rFonts w:ascii="Cambria" w:hAnsi="Cambria" w:eastAsia="Cambria" w:cs="Cambria"/>
          <w:szCs w:val="24"/>
        </w:rPr>
      </w:sdtEndPr>
      <w:sdtContent>
        <w:p w14:paraId="3AC3660B">
          <w:pPr>
            <w:spacing w:line="240" w:lineRule="auto"/>
            <w:jc w:val="center"/>
            <w:rPr>
              <w:rFonts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710FE4A1">
          <w:pPr>
            <w:pStyle w:val="17"/>
            <w:tabs>
              <w:tab w:val="right" w:leader="dot" w:pos="9724"/>
            </w:tabs>
          </w:pPr>
          <w:bookmarkStart w:id="9" w:name="_GoBack"/>
          <w:bookmarkEnd w:id="9"/>
          <w:r>
            <w:rPr>
              <w:rFonts w:hint="eastAsia" w:ascii="Microsoft JhengHei" w:hAnsi="Microsoft JhengHei" w:cs="Microsoft JhengHei"/>
              <w:szCs w:val="24"/>
            </w:rPr>
            <w:fldChar w:fldCharType="begin"/>
          </w:r>
          <w:r>
            <w:rPr>
              <w:rFonts w:hint="eastAsia" w:ascii="Microsoft JhengHei" w:hAnsi="Microsoft JhengHei" w:cs="Microsoft JhengHei"/>
              <w:szCs w:val="24"/>
            </w:rPr>
            <w:instrText xml:space="preserve">TOC \o "1-3" \h \u </w:instrText>
          </w:r>
          <w:r>
            <w:rPr>
              <w:rFonts w:hint="eastAsia" w:ascii="Microsoft JhengHei" w:hAnsi="Microsoft JhengHei" w:cs="Microsoft JhengHei"/>
              <w:szCs w:val="24"/>
            </w:rPr>
            <w:fldChar w:fldCharType="separate"/>
          </w:r>
          <w:r>
            <w:rPr>
              <w:rFonts w:hint="eastAsia" w:ascii="Microsoft JhengHei" w:hAnsi="Microsoft JhengHei" w:cs="Microsoft JhengHei"/>
              <w:szCs w:val="24"/>
            </w:rPr>
            <w:fldChar w:fldCharType="begin"/>
          </w:r>
          <w:r>
            <w:rPr>
              <w:rFonts w:hint="eastAsia" w:ascii="Microsoft JhengHei" w:hAnsi="Microsoft JhengHei" w:cs="Microsoft JhengHei"/>
              <w:szCs w:val="24"/>
            </w:rPr>
            <w:instrText xml:space="preserve"> HYPERLINK \l _Toc25204 </w:instrText>
          </w:r>
          <w:r>
            <w:rPr>
              <w:rFonts w:hint="eastAsia" w:ascii="Microsoft JhengHei" w:hAnsi="Microsoft JhengHei" w:cs="Microsoft JhengHei"/>
              <w:szCs w:val="24"/>
            </w:rPr>
            <w:fldChar w:fldCharType="separate"/>
          </w:r>
          <w:r>
            <w:t>服务台应用提升情况说明</w:t>
          </w:r>
          <w:r>
            <w:tab/>
          </w:r>
          <w:r>
            <w:fldChar w:fldCharType="begin"/>
          </w:r>
          <w:r>
            <w:instrText xml:space="preserve"> PAGEREF _Toc25204 \h </w:instrText>
          </w:r>
          <w:r>
            <w:fldChar w:fldCharType="separate"/>
          </w:r>
          <w:r>
            <w:t>1</w:t>
          </w:r>
          <w:r>
            <w:fldChar w:fldCharType="end"/>
          </w:r>
          <w:r>
            <w:rPr>
              <w:rFonts w:hint="eastAsia" w:ascii="Microsoft JhengHei" w:hAnsi="Microsoft JhengHei" w:cs="Microsoft JhengHei"/>
              <w:szCs w:val="24"/>
            </w:rPr>
            <w:fldChar w:fldCharType="end"/>
          </w:r>
        </w:p>
        <w:p w14:paraId="2121EFAD">
          <w:pPr>
            <w:pStyle w:val="17"/>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_Toc21117 </w:instrText>
          </w:r>
          <w:r>
            <w:rPr>
              <w:rFonts w:hint="eastAsia" w:ascii="Microsoft JhengHei" w:hAnsi="Microsoft JhengHei" w:eastAsia="Microsoft JhengHei" w:cs="Microsoft JhengHei"/>
              <w:szCs w:val="24"/>
            </w:rPr>
            <w:fldChar w:fldCharType="separate"/>
          </w:r>
          <w:r>
            <w:t>江苏云储智能科技有限公司</w:t>
          </w:r>
          <w:r>
            <w:tab/>
          </w:r>
          <w:r>
            <w:fldChar w:fldCharType="begin"/>
          </w:r>
          <w:r>
            <w:instrText xml:space="preserve"> PAGEREF _Toc21117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7A7F1EB9">
          <w:pPr>
            <w:pStyle w:val="17"/>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_Toc22616 </w:instrText>
          </w:r>
          <w:r>
            <w:rPr>
              <w:rFonts w:hint="eastAsia" w:ascii="Microsoft JhengHei" w:hAnsi="Microsoft JhengHei" w:eastAsia="Microsoft JhengHei" w:cs="Microsoft JhengHei"/>
              <w:szCs w:val="24"/>
            </w:rPr>
            <w:fldChar w:fldCharType="separate"/>
          </w:r>
          <w:r>
            <w:rPr>
              <w:rFonts w:ascii="宋体" w:hAnsi="宋体" w:cs="宋体"/>
              <w:spacing w:val="-3"/>
              <w:szCs w:val="28"/>
            </w:rPr>
            <w:t>文档信息</w:t>
          </w:r>
          <w:r>
            <w:tab/>
          </w:r>
          <w:r>
            <w:fldChar w:fldCharType="begin"/>
          </w:r>
          <w:r>
            <w:instrText xml:space="preserve"> PAGEREF _Toc22616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35F55D55">
          <w:pPr>
            <w:pStyle w:val="17"/>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_Toc30162 </w:instrText>
          </w:r>
          <w:r>
            <w:rPr>
              <w:rFonts w:hint="eastAsia" w:ascii="Microsoft JhengHei" w:hAnsi="Microsoft JhengHei" w:eastAsia="Microsoft JhengHei" w:cs="Microsoft JhengHei"/>
              <w:szCs w:val="24"/>
            </w:rPr>
            <w:fldChar w:fldCharType="separate"/>
          </w:r>
          <w:r>
            <w:rPr>
              <w:rFonts w:hint="default"/>
            </w:rPr>
            <w:t xml:space="preserve">1. </w:t>
          </w:r>
          <w:r>
            <w:t>服务台概况</w:t>
          </w:r>
          <w:r>
            <w:tab/>
          </w:r>
          <w:r>
            <w:fldChar w:fldCharType="begin"/>
          </w:r>
          <w:r>
            <w:instrText xml:space="preserve"> PAGEREF _Toc30162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DF24CD5">
          <w:pPr>
            <w:pStyle w:val="17"/>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_Toc15733 </w:instrText>
          </w:r>
          <w:r>
            <w:rPr>
              <w:rFonts w:hint="eastAsia" w:ascii="Microsoft JhengHei" w:hAnsi="Microsoft JhengHei" w:eastAsia="Microsoft JhengHei" w:cs="Microsoft JhengHei"/>
              <w:szCs w:val="24"/>
            </w:rPr>
            <w:fldChar w:fldCharType="separate"/>
          </w:r>
          <w:r>
            <w:rPr>
              <w:rFonts w:hint="default"/>
            </w:rPr>
            <w:t xml:space="preserve">2. </w:t>
          </w:r>
          <w:r>
            <w:t>严格要求服务台工作</w:t>
          </w:r>
          <w:r>
            <w:tab/>
          </w:r>
          <w:r>
            <w:fldChar w:fldCharType="begin"/>
          </w:r>
          <w:r>
            <w:instrText xml:space="preserve"> PAGEREF _Toc15733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28705780">
          <w:pPr>
            <w:pStyle w:val="18"/>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_Toc16067 </w:instrText>
          </w:r>
          <w:r>
            <w:rPr>
              <w:rFonts w:hint="eastAsia" w:ascii="Microsoft JhengHei" w:hAnsi="Microsoft JhengHei" w:eastAsia="Microsoft JhengHei" w:cs="Microsoft JhengHei"/>
              <w:szCs w:val="24"/>
            </w:rPr>
            <w:fldChar w:fldCharType="separate"/>
          </w:r>
          <w:r>
            <w:rPr>
              <w:rFonts w:hint="default"/>
            </w:rPr>
            <w:t xml:space="preserve">2.1. </w:t>
          </w:r>
          <w:r>
            <w:t>提升服务台工作效率</w:t>
          </w:r>
          <w:r>
            <w:tab/>
          </w:r>
          <w:r>
            <w:fldChar w:fldCharType="begin"/>
          </w:r>
          <w:r>
            <w:instrText xml:space="preserve"> PAGEREF _Toc16067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635A07F4">
          <w:pPr>
            <w:pStyle w:val="18"/>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_Toc18665 </w:instrText>
          </w:r>
          <w:r>
            <w:rPr>
              <w:rFonts w:hint="eastAsia" w:ascii="Microsoft JhengHei" w:hAnsi="Microsoft JhengHei" w:eastAsia="Microsoft JhengHei" w:cs="Microsoft JhengHei"/>
              <w:szCs w:val="24"/>
            </w:rPr>
            <w:fldChar w:fldCharType="separate"/>
          </w:r>
          <w:r>
            <w:rPr>
              <w:rFonts w:hint="default"/>
            </w:rPr>
            <w:t xml:space="preserve">2.2. </w:t>
          </w:r>
          <w:r>
            <w:t>服务台</w:t>
          </w:r>
          <w:r>
            <w:rPr>
              <w:rFonts w:hint="eastAsia"/>
              <w:lang w:eastAsia="zh-CN"/>
            </w:rPr>
            <w:t>指标完成情况</w:t>
          </w:r>
          <w:r>
            <w:tab/>
          </w:r>
          <w:r>
            <w:fldChar w:fldCharType="begin"/>
          </w:r>
          <w:r>
            <w:instrText xml:space="preserve"> PAGEREF _Toc18665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A4C7DF4">
          <w:pPr>
            <w:pStyle w:val="17"/>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_Toc31803 </w:instrText>
          </w:r>
          <w:r>
            <w:rPr>
              <w:rFonts w:hint="eastAsia" w:ascii="Microsoft JhengHei" w:hAnsi="Microsoft JhengHei" w:eastAsia="Microsoft JhengHei" w:cs="Microsoft JhengHei"/>
              <w:szCs w:val="24"/>
            </w:rPr>
            <w:fldChar w:fldCharType="separate"/>
          </w:r>
          <w:r>
            <w:rPr>
              <w:rFonts w:hint="default"/>
              <w:lang w:eastAsia="zh-CN"/>
            </w:rPr>
            <w:t xml:space="preserve">3. </w:t>
          </w:r>
          <w:r>
            <w:rPr>
              <w:rFonts w:hint="eastAsia"/>
              <w:lang w:eastAsia="zh-CN"/>
            </w:rPr>
            <w:t>总结</w:t>
          </w:r>
          <w:r>
            <w:tab/>
          </w:r>
          <w:r>
            <w:fldChar w:fldCharType="begin"/>
          </w:r>
          <w:r>
            <w:instrText xml:space="preserve"> PAGEREF _Toc31803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781A0EA">
          <w:pPr>
            <w:spacing w:line="220" w:lineRule="auto"/>
            <w:rPr>
              <w:rFonts w:ascii="Cambria" w:hAnsi="Cambria" w:eastAsia="Cambria" w:cs="Cambria"/>
              <w:szCs w:val="24"/>
            </w:rPr>
          </w:pPr>
          <w:r>
            <w:rPr>
              <w:rFonts w:hint="eastAsia" w:ascii="Microsoft JhengHei" w:hAnsi="Microsoft JhengHei" w:eastAsia="Microsoft JhengHei" w:cs="Microsoft JhengHei"/>
              <w:szCs w:val="24"/>
            </w:rPr>
            <w:fldChar w:fldCharType="end"/>
          </w:r>
        </w:p>
      </w:sdtContent>
    </w:sdt>
    <w:p w14:paraId="173E4CBB">
      <w:pPr>
        <w:spacing w:line="220" w:lineRule="auto"/>
        <w:rPr>
          <w:rFonts w:ascii="Cambria" w:hAnsi="Cambria" w:eastAsia="Cambria" w:cs="Cambria"/>
          <w:szCs w:val="24"/>
        </w:rPr>
        <w:sectPr>
          <w:headerReference r:id="rId7" w:type="default"/>
          <w:footerReference r:id="rId8" w:type="default"/>
          <w:pgSz w:w="11906" w:h="16839"/>
          <w:pgMar w:top="1660" w:right="1090" w:bottom="1157" w:left="1092" w:header="0" w:footer="990" w:gutter="0"/>
          <w:cols w:space="720" w:num="1"/>
        </w:sectPr>
      </w:pPr>
    </w:p>
    <w:p w14:paraId="0671AD8B">
      <w:pPr>
        <w:pStyle w:val="27"/>
      </w:pPr>
      <w:bookmarkStart w:id="3" w:name="bookmark1"/>
      <w:bookmarkEnd w:id="3"/>
      <w:bookmarkStart w:id="4" w:name="_Toc30162"/>
      <w:r>
        <w:t>服务台概况</w:t>
      </w:r>
      <w:bookmarkEnd w:id="4"/>
    </w:p>
    <w:p w14:paraId="6538C9CF">
      <w:pPr>
        <w:ind w:firstLine="560" w:firstLineChars="200"/>
        <w:rPr>
          <w:rFonts w:ascii="宋体" w:hAnsi="宋体" w:cs="宋体"/>
          <w:sz w:val="28"/>
          <w:szCs w:val="28"/>
          <w:lang w:eastAsia="zh-CN"/>
        </w:rPr>
      </w:pPr>
      <w:r>
        <w:rPr>
          <w:rFonts w:hint="eastAsia" w:ascii="宋体" w:hAnsi="宋体" w:cs="宋体"/>
          <w:sz w:val="28"/>
          <w:szCs w:val="28"/>
          <w:lang w:eastAsia="zh-CN"/>
        </w:rPr>
        <w:t>服务台是与客户进行沟通和提供服务的重要途径之一，更是未来实现公司业绩成长的重要渠道。所以为了提高客服水平，特制定服务台运行服务管理制度，对所提供服务的产品或业务，交付和交付后的活动进行管理，将客户问题记录到《问题反馈单》，为客户提供专业化和规范化的服务。</w:t>
      </w:r>
    </w:p>
    <w:p w14:paraId="269FC29C">
      <w:pPr>
        <w:ind w:firstLine="560" w:firstLineChars="200"/>
        <w:rPr>
          <w:rFonts w:ascii="宋体" w:hAnsi="宋体" w:cs="宋体"/>
          <w:sz w:val="28"/>
          <w:szCs w:val="28"/>
          <w:lang w:eastAsia="zh-CN"/>
        </w:rPr>
      </w:pPr>
      <w:r>
        <w:rPr>
          <w:rFonts w:hint="eastAsia" w:ascii="宋体" w:hAnsi="宋体" w:cs="宋体"/>
          <w:sz w:val="28"/>
          <w:szCs w:val="28"/>
          <w:lang w:eastAsia="zh-CN"/>
        </w:rPr>
        <w:t>公司设置统一对外服务电话，设置专职客户专员担任服务台，实现5*8小时的电话接听，并在其他时间转接到服务台的手机，达到7*24小时的远程服务支持。</w:t>
      </w:r>
    </w:p>
    <w:p w14:paraId="69BDD5F4">
      <w:pPr>
        <w:ind w:firstLine="560" w:firstLineChars="200"/>
        <w:rPr>
          <w:rFonts w:ascii="宋体" w:hAnsi="宋体" w:cs="宋体"/>
          <w:sz w:val="28"/>
          <w:szCs w:val="28"/>
          <w:lang w:eastAsia="zh-CN"/>
        </w:rPr>
      </w:pPr>
      <w:r>
        <w:rPr>
          <w:rFonts w:hint="eastAsia" w:ascii="宋体" w:hAnsi="宋体" w:cs="宋体"/>
          <w:sz w:val="28"/>
          <w:szCs w:val="28"/>
          <w:lang w:eastAsia="zh-CN"/>
        </w:rPr>
        <w:t>服务台的基本功能是接收用户的各类使用问题请求，并在规定时间内为用户直接远程解决相关问题，如遇复杂问题则转交二线支持，同时还需跟踪解决情况并及时反馈以便最终解决用户问题。在此基础上，服务台还要对服务过程和结果进行记录，以便分析总结，提高问题解决速度，保证服务SLA的达成。</w:t>
      </w:r>
    </w:p>
    <w:p w14:paraId="7D0AECA7">
      <w:pPr>
        <w:pStyle w:val="27"/>
      </w:pPr>
      <w:bookmarkStart w:id="5" w:name="_Toc15733"/>
      <w:r>
        <w:t>严格要求服务台工作</w:t>
      </w:r>
      <w:bookmarkEnd w:id="5"/>
    </w:p>
    <w:p w14:paraId="177BB3D8">
      <w:pPr>
        <w:ind w:firstLine="560" w:firstLineChars="200"/>
        <w:rPr>
          <w:rFonts w:ascii="宋体" w:hAnsi="宋体" w:cs="宋体"/>
          <w:sz w:val="28"/>
          <w:szCs w:val="28"/>
          <w:lang w:eastAsia="zh-CN"/>
        </w:rPr>
      </w:pPr>
      <w:r>
        <w:rPr>
          <w:rFonts w:hint="eastAsia" w:ascii="宋体" w:hAnsi="宋体" w:cs="宋体"/>
          <w:sz w:val="28"/>
          <w:szCs w:val="28"/>
          <w:lang w:eastAsia="zh-CN"/>
        </w:rPr>
        <w:t>通过严格执行《服务台操作手册》、《服务台管理制度》明确客服的操作职责，结合公司往年的运行情况，2025年服务台录入事件的完整性目标值要求需达到95%。</w:t>
      </w:r>
    </w:p>
    <w:p w14:paraId="4F35970A">
      <w:pPr>
        <w:pStyle w:val="29"/>
      </w:pPr>
      <w:bookmarkStart w:id="6" w:name="_Toc16067"/>
      <w:r>
        <w:t>提升服务台工作效率</w:t>
      </w:r>
      <w:bookmarkEnd w:id="6"/>
    </w:p>
    <w:p w14:paraId="0E6456E4">
      <w:pPr>
        <w:ind w:firstLine="560" w:firstLineChars="200"/>
        <w:rPr>
          <w:rFonts w:ascii="宋体" w:hAnsi="宋体" w:cs="宋体"/>
          <w:sz w:val="28"/>
          <w:szCs w:val="28"/>
          <w:lang w:eastAsia="zh-CN"/>
        </w:rPr>
      </w:pPr>
      <w:r>
        <w:rPr>
          <w:rFonts w:hint="eastAsia" w:ascii="宋体" w:hAnsi="宋体" w:cs="宋体"/>
          <w:sz w:val="28"/>
          <w:szCs w:val="28"/>
          <w:lang w:eastAsia="zh-CN"/>
        </w:rPr>
        <w:t>实现运维服务入口的统一，并达到服务台的标准化和规范化:所有运维请求，都需通过服务台，由服务台首先接单，然后统一分派人员解决问题，使服务台成为真正的唯一联系点，方便为客户提供服务。通过建立服务台规范和制度，明确服务台的首问责任制，并采取标准化用语和处理流程，大幅提升服务台的规范化和标准化，提升公司的服务形象。</w:t>
      </w:r>
    </w:p>
    <w:p w14:paraId="40E8E5B3">
      <w:pPr>
        <w:ind w:firstLine="560" w:firstLineChars="200"/>
        <w:rPr>
          <w:rFonts w:ascii="宋体" w:hAnsi="宋体" w:cs="宋体"/>
          <w:sz w:val="28"/>
          <w:szCs w:val="28"/>
          <w:lang w:eastAsia="zh-CN"/>
        </w:rPr>
      </w:pPr>
      <w:r>
        <w:rPr>
          <w:rFonts w:hint="eastAsia" w:ascii="宋体" w:hAnsi="宋体" w:cs="宋体"/>
          <w:sz w:val="28"/>
          <w:szCs w:val="28"/>
          <w:lang w:eastAsia="zh-CN"/>
        </w:rPr>
        <w:t>实现服务水平协议(SLA)的标准化管理：在运维项目立项或签订合同时，就与用户商定好各类故障和问题的不同级别和响应时间，根据服务级别来有序解决。在明确双方要求的基础上，大幅提高客户满意度，并为运维团队提供考核依据。</w:t>
      </w:r>
    </w:p>
    <w:p w14:paraId="4F9572C9">
      <w:pPr>
        <w:ind w:firstLine="560" w:firstLineChars="200"/>
        <w:rPr>
          <w:rFonts w:ascii="宋体" w:hAnsi="宋体" w:cs="宋体"/>
          <w:sz w:val="28"/>
          <w:szCs w:val="28"/>
          <w:lang w:eastAsia="zh-CN"/>
        </w:rPr>
      </w:pPr>
      <w:r>
        <w:rPr>
          <w:rFonts w:hint="eastAsia" w:ascii="宋体" w:hAnsi="宋体" w:cs="宋体"/>
          <w:sz w:val="28"/>
          <w:szCs w:val="28"/>
          <w:lang w:eastAsia="zh-CN"/>
        </w:rPr>
        <w:t>随着运维项目的增加，客户需求与问题增多，为提升服务效率，增加坐席人员。实现流程、运维软件和人员的集成：服务台承担起监控管理和主动改善IT现状的职责，结合运维管理平台实现整个运维过程的可视化和可追溯管理。在运维管理平台的辅助下，结合服务台记录的数据和专家团队的经验可快速给出服务台运营报告，并提出改进建议，避免常见问题重复发生，主动防患运维风险，使运维服务变被动为主动改善。</w:t>
      </w:r>
    </w:p>
    <w:p w14:paraId="08A48818">
      <w:pPr>
        <w:ind w:firstLine="560" w:firstLineChars="200"/>
        <w:rPr>
          <w:rFonts w:ascii="宋体" w:hAnsi="宋体" w:cs="宋体"/>
          <w:sz w:val="28"/>
          <w:szCs w:val="28"/>
          <w:lang w:eastAsia="zh-CN"/>
        </w:rPr>
      </w:pPr>
      <w:r>
        <w:rPr>
          <w:rFonts w:hint="eastAsia" w:ascii="宋体" w:hAnsi="宋体" w:cs="宋体"/>
          <w:sz w:val="28"/>
          <w:szCs w:val="28"/>
          <w:lang w:eastAsia="zh-CN"/>
        </w:rPr>
        <w:t>总体来说，服务台首先实现统一规范管理并同时处理大量的服务请求，避免了因找不到特定技术人员而耽误时间，降低运营成本;其次通过对服务台的管理，结合建立服务知识，明确服务人员绩效考核等。</w:t>
      </w:r>
    </w:p>
    <w:p w14:paraId="15351A66">
      <w:pPr>
        <w:pStyle w:val="29"/>
      </w:pPr>
      <w:bookmarkStart w:id="7" w:name="_Toc18665"/>
      <w:r>
        <w:t>服务台</w:t>
      </w:r>
      <w:r>
        <w:rPr>
          <w:rFonts w:hint="eastAsia"/>
          <w:lang w:eastAsia="zh-CN"/>
        </w:rPr>
        <w:t>指标完成情况</w:t>
      </w:r>
      <w:bookmarkEnd w:id="7"/>
    </w:p>
    <w:p w14:paraId="5116E3F0">
      <w:pPr>
        <w:ind w:firstLine="560" w:firstLineChars="200"/>
        <w:rPr>
          <w:rFonts w:ascii="宋体" w:hAnsi="宋体" w:cs="宋体"/>
          <w:sz w:val="28"/>
          <w:szCs w:val="28"/>
          <w:lang w:eastAsia="zh-CN"/>
        </w:rPr>
      </w:pPr>
      <w:r>
        <w:rPr>
          <w:rFonts w:hint="eastAsia" w:ascii="宋体" w:hAnsi="宋体" w:cs="宋体"/>
          <w:sz w:val="28"/>
          <w:szCs w:val="28"/>
          <w:lang w:eastAsia="zh-CN"/>
        </w:rPr>
        <w:t>由于实现了服务台的标准化及制度化，并将运维人员分级管理，方便服务台人员对派单，因此服务台录入事件的完整率逐年提升，2025年设定的目标均为95%，经过2025年季度KPI跟踪，2025年第一、二、三和四季度服务台录入事件的完整率均达到100%。</w:t>
      </w:r>
    </w:p>
    <w:p w14:paraId="3A7F37E6">
      <w:pPr>
        <w:pStyle w:val="27"/>
        <w:rPr>
          <w:lang w:eastAsia="zh-CN"/>
        </w:rPr>
      </w:pPr>
      <w:bookmarkStart w:id="8" w:name="_Toc31803"/>
      <w:r>
        <w:rPr>
          <w:rFonts w:hint="eastAsia"/>
          <w:lang w:eastAsia="zh-CN"/>
        </w:rPr>
        <w:t>总结</w:t>
      </w:r>
      <w:bookmarkEnd w:id="8"/>
    </w:p>
    <w:p w14:paraId="4A7E61D1">
      <w:pPr>
        <w:ind w:firstLine="560" w:firstLineChars="200"/>
        <w:rPr>
          <w:rFonts w:ascii="宋体" w:hAnsi="宋体" w:cs="宋体"/>
          <w:sz w:val="28"/>
          <w:szCs w:val="28"/>
          <w:lang w:eastAsia="zh-CN"/>
        </w:rPr>
      </w:pPr>
      <w:r>
        <w:rPr>
          <w:rFonts w:hint="eastAsia" w:ascii="宋体" w:hAnsi="宋体" w:cs="宋体"/>
          <w:sz w:val="28"/>
          <w:szCs w:val="28"/>
          <w:lang w:eastAsia="zh-CN"/>
        </w:rPr>
        <w:t>截止2025年12月，公司服务台在 “服务台录入事件完整率”这一关键绩效指标上表现优异，不仅稳定达成年度目标，更实现了100%的完整记录，为运维服务的标准化、规范化管理奠定了坚实的数据基础，有效支撑了服务级别协议（SLA）的达成与客户满意度的提升。</w:t>
      </w:r>
    </w:p>
    <w:sectPr>
      <w:headerReference r:id="rId9" w:type="default"/>
      <w:footerReference r:id="rId10" w:type="default"/>
      <w:pgSz w:w="11906" w:h="16839"/>
      <w:pgMar w:top="1240" w:right="1305" w:bottom="885" w:left="1088" w:header="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BCB86F">
    <w:pPr>
      <w:spacing w:line="178" w:lineRule="auto"/>
      <w:ind w:left="4822"/>
      <w:rPr>
        <w:rFonts w:ascii="Cambria" w:hAnsi="Cambria" w:eastAsia="Cambria" w:cs="Cambria"/>
        <w:sz w:val="18"/>
        <w:szCs w:val="18"/>
      </w:rPr>
    </w:pPr>
    <w:r>
      <w:rPr>
        <w:rFonts w:ascii="Cambria" w:hAnsi="Cambria" w:eastAsia="Cambria" w:cs="Cambria"/>
        <w:sz w:val="18"/>
        <w:szCs w:val="18"/>
      </w:rPr>
      <w:t>2</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49EB0A">
    <w:pPr>
      <w:spacing w:line="177" w:lineRule="auto"/>
      <w:ind w:left="4827"/>
      <w:rPr>
        <w:rFonts w:ascii="Cambria" w:hAnsi="Cambria" w:eastAsia="Cambria" w:cs="Cambria"/>
        <w:sz w:val="18"/>
        <w:szCs w:val="18"/>
      </w:rPr>
    </w:pPr>
    <w:r>
      <w:rPr>
        <w:rFonts w:ascii="Cambria" w:hAnsi="Cambria" w:eastAsia="Cambria" w:cs="Cambria"/>
        <w:sz w:val="18"/>
        <w:szCs w:val="18"/>
      </w:rPr>
      <w:t>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273D3A">
    <w:pPr>
      <w:pStyle w:val="12"/>
      <w:spacing w:line="52" w:lineRule="auto"/>
      <w:rPr>
        <w:sz w:val="2"/>
      </w:rPr>
    </w:pPr>
    <w:r>
      <w:pict>
        <v:shape id="_x0000_s4097" o:spid="_x0000_s4097" style="position:absolute;left:0pt;margin-left:88.4pt;margin-top:54.45pt;height:0pt;width:418.45pt;mso-position-horizontal-relative:page;mso-position-vertical-relative:page;z-index:251659264;mso-width-relative:page;mso-height-relative:page;" filled="f" coordsize="8370,15" o:allowincell="f" path="m0,0l8370,0e">
          <v:fill on="f" focussize="0,0"/>
          <v:stroke joinstyle="miter"/>
          <v:imagedata o:title=""/>
          <o:lock v:ext="edit"/>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9AB213">
    <w:pPr>
      <w:pStyle w:val="12"/>
      <w:spacing w:line="52" w:lineRule="auto"/>
      <w:rPr>
        <w:sz w:val="2"/>
      </w:rPr>
    </w:pPr>
    <w:r>
      <w:pict>
        <v:shape id="_x0000_s4098" o:spid="_x0000_s4098" style="position:absolute;left:0pt;margin-left:88.4pt;margin-top:54.45pt;height:0pt;width:418.45pt;mso-position-horizontal-relative:page;mso-position-vertical-relative:page;z-index:251660288;mso-width-relative:page;mso-height-relative:page;" filled="f" coordsize="8370,15" o:allowincell="f" path="m0,0l8370,0e">
          <v:fill on="f" focussize="0,0"/>
          <v:stroke joinstyle="miter"/>
          <v:imagedata o:title=""/>
          <o:lock v:ext="edi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EFA075">
    <w:pPr>
      <w:pStyle w:val="12"/>
      <w:spacing w:line="14" w:lineRule="auto"/>
      <w:rPr>
        <w:sz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922587">
    <w:pPr>
      <w:pStyle w:val="1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1"/>
  <w:bordersDoNotSurroundFooter w:val="1"/>
  <w:doNotTrackMoves/>
  <w:documentProtection w:enforcement="0"/>
  <w:defaultTabStop w:val="720"/>
  <w:characterSpacingControl w:val="doNotCompress"/>
  <w:hdrShapeDefaults>
    <o:shapelayout v:ext="edit">
      <o:idmap v:ext="edit" data="1,4"/>
    </o:shapelayout>
  </w:hdrShapeDefaults>
  <w:footnotePr>
    <w:footnote w:id="0"/>
    <w:footnote w:id="1"/>
  </w:footnotePr>
  <w:endnotePr>
    <w:endnote w:id="0"/>
    <w:endnote w:id="1"/>
  </w:endnotePr>
  <w:compat>
    <w:spaceForUL/>
    <w:ulTrailSpace/>
    <w:useFELayout/>
    <w:compatSetting w:name="compatibilityMode" w:uri="http://schemas.microsoft.com/office/word" w:val="12"/>
  </w:compat>
  <w:rsids>
    <w:rsidRoot w:val="00346313"/>
    <w:rsid w:val="00034261"/>
    <w:rsid w:val="001D1F59"/>
    <w:rsid w:val="00346313"/>
    <w:rsid w:val="00706CDD"/>
    <w:rsid w:val="007F58D7"/>
    <w:rsid w:val="0E0F654F"/>
    <w:rsid w:val="3974420A"/>
    <w:rsid w:val="52F92418"/>
    <w:rsid w:val="6ACF31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Theme="minorEastAsia"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line="413" w:lineRule="auto"/>
      <w:outlineLvl w:val="2"/>
    </w:pPr>
    <w:rPr>
      <w:b/>
      <w:sz w:val="32"/>
    </w:rPr>
  </w:style>
  <w:style w:type="paragraph" w:styleId="5">
    <w:name w:val="heading 4"/>
    <w:basedOn w:val="1"/>
    <w:next w:val="1"/>
    <w:unhideWhenUsed/>
    <w:qFormat/>
    <w:uiPriority w:val="0"/>
    <w:pPr>
      <w:keepNext/>
      <w:keepLines/>
      <w:numPr>
        <w:ilvl w:val="3"/>
        <w:numId w:val="1"/>
      </w:numPr>
      <w:spacing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line="317" w:lineRule="auto"/>
      <w:outlineLvl w:val="8"/>
    </w:pPr>
    <w:rPr>
      <w:rFonts w:eastAsia="黑体"/>
    </w:rPr>
  </w:style>
  <w:style w:type="character" w:default="1" w:styleId="23">
    <w:name w:val="Default Paragraph Font"/>
    <w:semiHidden/>
    <w:unhideWhenUsed/>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Balloon Text"/>
    <w:basedOn w:val="1"/>
    <w:link w:val="44"/>
    <w:uiPriority w:val="0"/>
    <w:pPr>
      <w:spacing w:line="240" w:lineRule="auto"/>
    </w:pPr>
    <w:rPr>
      <w:sz w:val="18"/>
      <w:szCs w:val="18"/>
    </w:rPr>
  </w:style>
  <w:style w:type="paragraph" w:styleId="15">
    <w:name w:val="footer"/>
    <w:basedOn w:val="1"/>
    <w:qFormat/>
    <w:uiPriority w:val="0"/>
    <w:pPr>
      <w:tabs>
        <w:tab w:val="center" w:pos="4153"/>
        <w:tab w:val="right" w:pos="8306"/>
      </w:tabs>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7">
    <w:name w:val="toc 1"/>
    <w:basedOn w:val="1"/>
    <w:next w:val="1"/>
    <w:qFormat/>
    <w:uiPriority w:val="0"/>
    <w:rPr>
      <w:rFonts w:eastAsia="Microsoft JhengHei"/>
      <w:sz w:val="24"/>
    </w:rPr>
  </w:style>
  <w:style w:type="paragraph" w:styleId="18">
    <w:name w:val="toc 2"/>
    <w:basedOn w:val="1"/>
    <w:next w:val="1"/>
    <w:qFormat/>
    <w:uiPriority w:val="0"/>
    <w:pPr>
      <w:ind w:left="420" w:leftChars="200"/>
    </w:pPr>
  </w:style>
  <w:style w:type="paragraph" w:styleId="19">
    <w:name w:val="Normal (Web)"/>
    <w:basedOn w:val="1"/>
    <w:qFormat/>
    <w:uiPriority w:val="0"/>
    <w:rPr>
      <w:sz w:val="24"/>
    </w:rPr>
  </w:style>
  <w:style w:type="paragraph" w:styleId="20">
    <w:name w:val="Title"/>
    <w:basedOn w:val="1"/>
    <w:qFormat/>
    <w:uiPriority w:val="0"/>
    <w:pPr>
      <w:jc w:val="center"/>
      <w:outlineLvl w:val="0"/>
    </w:pPr>
    <w:rPr>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4">
    <w:name w:val="Strong"/>
    <w:basedOn w:val="23"/>
    <w:qFormat/>
    <w:uiPriority w:val="0"/>
    <w:rPr>
      <w:b/>
    </w:rPr>
  </w:style>
  <w:style w:type="table" w:customStyle="1" w:styleId="25">
    <w:name w:val="Table Normal_0"/>
    <w:semiHidden/>
    <w:unhideWhenUsed/>
    <w:qFormat/>
    <w:uiPriority w:val="0"/>
    <w:tblPr>
      <w:tblCellMar>
        <w:top w:w="0" w:type="dxa"/>
        <w:left w:w="0" w:type="dxa"/>
        <w:bottom w:w="0" w:type="dxa"/>
        <w:right w:w="0" w:type="dxa"/>
      </w:tblCellMar>
    </w:tblPr>
  </w:style>
  <w:style w:type="paragraph" w:customStyle="1" w:styleId="26">
    <w:name w:val="Table Text"/>
    <w:basedOn w:val="1"/>
    <w:semiHidden/>
    <w:qFormat/>
    <w:uiPriority w:val="0"/>
    <w:rPr>
      <w:rFonts w:ascii="宋体" w:hAnsi="宋体" w:cs="宋体"/>
    </w:rPr>
  </w:style>
  <w:style w:type="paragraph" w:customStyle="1" w:styleId="27">
    <w:name w:val="柴_标题1"/>
    <w:basedOn w:val="2"/>
    <w:next w:val="28"/>
    <w:link w:val="39"/>
    <w:qFormat/>
    <w:uiPriority w:val="0"/>
    <w:pPr>
      <w:spacing w:before="100" w:after="90" w:line="360" w:lineRule="auto"/>
    </w:pPr>
    <w:rPr>
      <w:sz w:val="32"/>
    </w:rPr>
  </w:style>
  <w:style w:type="paragraph" w:customStyle="1" w:styleId="28">
    <w:name w:val="柴_正文"/>
    <w:basedOn w:val="12"/>
    <w:link w:val="43"/>
    <w:qFormat/>
    <w:uiPriority w:val="0"/>
    <w:pPr>
      <w:ind w:firstLine="470" w:firstLineChars="200"/>
    </w:pPr>
    <w:rPr>
      <w:rFonts w:eastAsia="宋体"/>
      <w:sz w:val="24"/>
      <w:lang w:eastAsia="zh-CN"/>
    </w:rPr>
  </w:style>
  <w:style w:type="paragraph" w:customStyle="1" w:styleId="29">
    <w:name w:val="柴_标题2"/>
    <w:basedOn w:val="3"/>
    <w:next w:val="28"/>
    <w:qFormat/>
    <w:uiPriority w:val="0"/>
    <w:pPr>
      <w:spacing w:line="360" w:lineRule="auto"/>
    </w:pPr>
    <w:rPr>
      <w:rFonts w:eastAsia="宋体"/>
      <w:sz w:val="28"/>
    </w:rPr>
  </w:style>
  <w:style w:type="paragraph" w:customStyle="1" w:styleId="30">
    <w:name w:val="柴_标题3"/>
    <w:basedOn w:val="4"/>
    <w:next w:val="28"/>
    <w:qFormat/>
    <w:uiPriority w:val="0"/>
    <w:pPr>
      <w:spacing w:line="360" w:lineRule="auto"/>
      <w:ind w:left="0" w:firstLine="472" w:firstLineChars="200"/>
    </w:pPr>
    <w:rPr>
      <w:rFonts w:ascii="宋体" w:hAnsi="宋体" w:cs="宋体"/>
      <w:spacing w:val="-2"/>
      <w:sz w:val="24"/>
      <w:szCs w:val="24"/>
    </w:rPr>
  </w:style>
  <w:style w:type="paragraph" w:customStyle="1" w:styleId="31">
    <w:name w:val="柴_目录"/>
    <w:basedOn w:val="1"/>
    <w:next w:val="12"/>
    <w:qFormat/>
    <w:uiPriority w:val="0"/>
    <w:pPr>
      <w:tabs>
        <w:tab w:val="right" w:leader="dot" w:pos="8442"/>
      </w:tabs>
    </w:pPr>
    <w:rPr>
      <w:rFonts w:eastAsia="Microsoft JhengHei"/>
      <w:sz w:val="24"/>
    </w:rPr>
  </w:style>
  <w:style w:type="paragraph" w:customStyle="1" w:styleId="32">
    <w:name w:val="柴_公司名"/>
    <w:basedOn w:val="20"/>
    <w:qFormat/>
    <w:uiPriority w:val="0"/>
    <w:pPr>
      <w:spacing w:afterLines="600"/>
    </w:pPr>
    <w:rPr>
      <w:rFonts w:hint="eastAsia" w:ascii="宋体" w:hAnsi="宋体" w:cs="宋体"/>
      <w:bCs/>
      <w:spacing w:val="-6"/>
      <w:sz w:val="52"/>
      <w:szCs w:val="52"/>
    </w:rPr>
  </w:style>
  <w:style w:type="paragraph" w:customStyle="1" w:styleId="33">
    <w:name w:val="柴_文档名"/>
    <w:basedOn w:val="20"/>
    <w:qFormat/>
    <w:uiPriority w:val="0"/>
    <w:pPr>
      <w:spacing w:afterLines="900"/>
    </w:pPr>
    <w:rPr>
      <w:rFonts w:ascii="黑体" w:hAnsi="黑体" w:eastAsia="黑体" w:cs="黑体"/>
      <w:bCs/>
      <w:spacing w:val="-7"/>
      <w:sz w:val="52"/>
      <w:szCs w:val="52"/>
    </w:rPr>
  </w:style>
  <w:style w:type="paragraph" w:customStyle="1" w:styleId="34">
    <w:name w:val="WPSOffice手动目录 1"/>
    <w:qFormat/>
    <w:uiPriority w:val="0"/>
    <w:rPr>
      <w:rFonts w:ascii="Times New Roman" w:hAnsi="Times New Roman" w:eastAsia="宋体" w:cs="Times New Roman"/>
      <w:lang w:val="en-US" w:eastAsia="zh-CN" w:bidi="ar-SA"/>
    </w:rPr>
  </w:style>
  <w:style w:type="paragraph" w:customStyle="1" w:styleId="35">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7"/>
    <w:qFormat/>
    <w:uiPriority w:val="0"/>
    <w:rPr>
      <w:rFonts w:ascii="Arial" w:hAnsi="Arial" w:eastAsia="宋体"/>
      <w:sz w:val="32"/>
    </w:rPr>
  </w:style>
  <w:style w:type="table" w:customStyle="1" w:styleId="40">
    <w:name w:val="Table Normal_1"/>
    <w:semiHidden/>
    <w:unhideWhenUsed/>
    <w:qFormat/>
    <w:uiPriority w:val="0"/>
    <w:tblPr>
      <w:tblCellMar>
        <w:top w:w="0" w:type="dxa"/>
        <w:left w:w="0" w:type="dxa"/>
        <w:bottom w:w="0" w:type="dxa"/>
        <w:right w:w="0" w:type="dxa"/>
      </w:tblCellMar>
    </w:tblPr>
  </w:style>
  <w:style w:type="paragraph" w:customStyle="1" w:styleId="41">
    <w:name w:val="柴_正文_无缩进"/>
    <w:basedOn w:val="1"/>
    <w:qFormat/>
    <w:uiPriority w:val="0"/>
    <w:rPr>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28"/>
    <w:qFormat/>
    <w:uiPriority w:val="0"/>
    <w:rPr>
      <w:rFonts w:ascii="Arial" w:hAnsi="Arial" w:eastAsia="宋体"/>
      <w:sz w:val="24"/>
      <w:lang w:eastAsia="zh-CN"/>
    </w:rPr>
  </w:style>
  <w:style w:type="character" w:customStyle="1" w:styleId="44">
    <w:name w:val="批注框文本 Char"/>
    <w:basedOn w:val="23"/>
    <w:link w:val="14"/>
    <w:uiPriority w:val="0"/>
    <w:rPr>
      <w:rFonts w:eastAsia="宋体"/>
      <w:snapToGrid w:val="0"/>
      <w:color w:val="000000"/>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7"/>
    <customShpInfo spid="_x0000_s409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Pages>
  <Words>1351</Words>
  <Characters>1419</Characters>
  <Lines>14</Lines>
  <Paragraphs>4</Paragraphs>
  <TotalTime>0</TotalTime>
  <ScaleCrop>false</ScaleCrop>
  <LinksUpToDate>false</LinksUpToDate>
  <CharactersWithSpaces>1450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2025-08-19T17:02:00Z</dcterms:created>
  <dc:creator>健 张</dc:creator>
  <cp:lastModifiedBy>郝宇</cp:lastModifiedBy>
  <dcterms:modified xsi:type="dcterms:W3CDTF">2026-04-27T08:20:18Z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2025-08-21T23:19:59Z</vt:filetime>
  </property>
  <property fmtid="{D5CDD505-2E9C-101B-9397-08002B2CF9AE}" pid="3" name="CRO">
    <vt:lpwstr>wqlLaW5nc29mdCBQREYgdG8gV1BTIDExNQ</vt:lpwstr>
  </property>
  <property fmtid="{D5CDD505-2E9C-101B-9397-08002B2CF9AE}" pid="4" name="ICV">
    <vt:lpwstr>8F2E0A1DFA5B4908BF438CFA6DB17F83_12</vt:lpwstr>
  </property>
  <property fmtid="{D5CDD505-2E9C-101B-9397-08002B2CF9AE}" pid="5" name="KSOProductBuildVer">
    <vt:lpwstr>2052-12.1.0.25865</vt:lpwstr>
  </property>
  <property fmtid="{D5CDD505-2E9C-101B-9397-08002B2CF9AE}" pid="6" name="KSOTemplateDocerSaveRecord">
    <vt:lpwstr>eyJoZGlkIjoiZWI4NmUzMGY2ODA3MDc4ZTFlMjZjZTAyMjM0NmVmODgiLCJ1c2VySWQiOiIxMDc1MzgyOSJ9</vt:lpwstr>
  </property>
</Properties>
</file>