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6253D">
      <w:pPr>
        <w:pStyle w:val="32"/>
        <w:spacing w:after="1440"/>
        <w:rPr>
          <w:rFonts w:hint="default"/>
        </w:rPr>
      </w:pPr>
    </w:p>
    <w:p w14:paraId="60CCFAE7">
      <w:pPr>
        <w:pStyle w:val="32"/>
        <w:spacing w:after="1440"/>
        <w:rPr>
          <w:rFonts w:hint="default"/>
        </w:rPr>
      </w:pPr>
      <w:bookmarkStart w:id="0" w:name="_Toc30170"/>
      <w:r>
        <w:t>备品备件应用提升情况总结说明</w:t>
      </w:r>
      <w:bookmarkEnd w:id="0"/>
    </w:p>
    <w:p w14:paraId="313085AF">
      <w:pPr>
        <w:pStyle w:val="12"/>
        <w:spacing w:line="247" w:lineRule="auto"/>
      </w:pPr>
    </w:p>
    <w:p w14:paraId="7C98F678">
      <w:pPr>
        <w:pStyle w:val="33"/>
        <w:spacing w:after="2160"/>
      </w:pPr>
      <w:bookmarkStart w:id="1" w:name="_Toc20478"/>
      <w:r>
        <w:t>江苏云储智能科技有限公司</w:t>
      </w:r>
      <w:bookmarkEnd w:id="1"/>
    </w:p>
    <w:p w14:paraId="29390FC3">
      <w:pPr>
        <w:spacing w:before="224" w:line="220" w:lineRule="auto"/>
        <w:ind w:left="2790"/>
        <w:rPr>
          <w:rFonts w:ascii="宋体" w:hAnsi="宋体" w:cs="宋体"/>
          <w:sz w:val="36"/>
          <w:szCs w:val="36"/>
        </w:rPr>
      </w:pPr>
      <w:r>
        <w:rPr>
          <w:rFonts w:ascii="宋体" w:hAnsi="宋体" w:cs="宋体"/>
          <w:spacing w:val="-10"/>
          <w:sz w:val="36"/>
          <w:szCs w:val="36"/>
        </w:rPr>
        <w:t>2025年</w:t>
      </w:r>
      <w:r>
        <w:rPr>
          <w:rFonts w:hint="eastAsia" w:ascii="宋体" w:hAnsi="宋体" w:cs="宋体"/>
          <w:spacing w:val="-10"/>
          <w:sz w:val="36"/>
          <w:szCs w:val="36"/>
          <w:lang w:eastAsia="zh-CN"/>
        </w:rPr>
        <w:t>12</w:t>
      </w:r>
      <w:r>
        <w:rPr>
          <w:rFonts w:ascii="宋体" w:hAnsi="宋体" w:cs="宋体"/>
          <w:spacing w:val="-10"/>
          <w:sz w:val="36"/>
          <w:szCs w:val="36"/>
        </w:rPr>
        <w:t>月20日</w:t>
      </w:r>
    </w:p>
    <w:p w14:paraId="43083090">
      <w:pPr>
        <w:spacing w:line="220" w:lineRule="auto"/>
        <w:rPr>
          <w:rFonts w:ascii="宋体" w:hAnsi="宋体" w:cs="宋体"/>
          <w:sz w:val="36"/>
          <w:szCs w:val="36"/>
        </w:rPr>
        <w:sectPr>
          <w:pgSz w:w="11906" w:h="16839"/>
          <w:pgMar w:top="1431" w:right="1785" w:bottom="0" w:left="1785" w:header="0" w:footer="0" w:gutter="0"/>
          <w:cols w:space="720" w:num="1"/>
        </w:sectPr>
      </w:pPr>
    </w:p>
    <w:p w14:paraId="0C6B3679">
      <w:pPr>
        <w:spacing w:before="91" w:line="220" w:lineRule="auto"/>
        <w:ind w:left="4355"/>
        <w:outlineLvl w:val="0"/>
        <w:rPr>
          <w:rFonts w:ascii="宋体" w:hAnsi="宋体" w:cs="宋体"/>
          <w:sz w:val="28"/>
          <w:szCs w:val="28"/>
        </w:rPr>
      </w:pPr>
      <w:bookmarkStart w:id="2" w:name="_Toc9593"/>
      <w:r>
        <w:rPr>
          <w:rFonts w:ascii="宋体" w:hAnsi="宋体" w:cs="宋体"/>
          <w:spacing w:val="-3"/>
          <w:sz w:val="28"/>
          <w:szCs w:val="28"/>
        </w:rPr>
        <w:t>文档信息</w:t>
      </w:r>
      <w:bookmarkEnd w:id="2"/>
    </w:p>
    <w:p w14:paraId="4DC1FBD6">
      <w:pPr>
        <w:spacing w:line="117" w:lineRule="exact"/>
      </w:pPr>
    </w:p>
    <w:tbl>
      <w:tblPr>
        <w:tblStyle w:val="25"/>
        <w:tblW w:w="8646" w:type="dxa"/>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0EFA7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4A78F4D7">
            <w:pPr>
              <w:pStyle w:val="26"/>
              <w:spacing w:before="139" w:line="220" w:lineRule="auto"/>
              <w:ind w:left="225"/>
            </w:pPr>
            <w:r>
              <w:rPr>
                <w:spacing w:val="-2"/>
              </w:rPr>
              <w:t>文档名称编号</w:t>
            </w:r>
          </w:p>
        </w:tc>
        <w:tc>
          <w:tcPr>
            <w:tcW w:w="6942" w:type="dxa"/>
            <w:gridSpan w:val="4"/>
          </w:tcPr>
          <w:p w14:paraId="5B144EBA">
            <w:pPr>
              <w:pStyle w:val="26"/>
              <w:spacing w:before="139" w:line="220" w:lineRule="auto"/>
              <w:ind w:left="110"/>
            </w:pPr>
            <w:r>
              <w:rPr>
                <w:spacing w:val="-1"/>
              </w:rPr>
              <w:t>备品备件应用提升情况总结说明</w:t>
            </w:r>
          </w:p>
        </w:tc>
      </w:tr>
      <w:tr w14:paraId="49F89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599D7B3C">
            <w:pPr>
              <w:pStyle w:val="26"/>
              <w:spacing w:before="136" w:line="220" w:lineRule="auto"/>
              <w:ind w:left="435"/>
            </w:pPr>
            <w:r>
              <w:rPr>
                <w:spacing w:val="-2"/>
              </w:rPr>
              <w:t>编制单位</w:t>
            </w:r>
          </w:p>
        </w:tc>
        <w:tc>
          <w:tcPr>
            <w:tcW w:w="6942" w:type="dxa"/>
            <w:gridSpan w:val="4"/>
          </w:tcPr>
          <w:p w14:paraId="6B1961B2">
            <w:pPr>
              <w:pStyle w:val="26"/>
              <w:spacing w:before="137" w:line="219" w:lineRule="auto"/>
              <w:ind w:left="108"/>
            </w:pPr>
            <w:r>
              <w:rPr>
                <w:spacing w:val="-1"/>
              </w:rPr>
              <w:t>江苏云储智能科技有限公司</w:t>
            </w:r>
          </w:p>
        </w:tc>
      </w:tr>
      <w:tr w14:paraId="19CD6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4104F982">
            <w:pPr>
              <w:pStyle w:val="26"/>
              <w:spacing w:before="139" w:line="219" w:lineRule="auto"/>
              <w:ind w:left="435"/>
            </w:pPr>
            <w:r>
              <w:rPr>
                <w:spacing w:val="-2"/>
              </w:rPr>
              <w:t>文档版本</w:t>
            </w:r>
          </w:p>
        </w:tc>
        <w:tc>
          <w:tcPr>
            <w:tcW w:w="1558" w:type="dxa"/>
          </w:tcPr>
          <w:p w14:paraId="197C8C98">
            <w:pPr>
              <w:pStyle w:val="26"/>
              <w:spacing w:before="139" w:line="219" w:lineRule="auto"/>
              <w:ind w:left="361"/>
            </w:pPr>
            <w:r>
              <w:rPr>
                <w:spacing w:val="-2"/>
              </w:rPr>
              <w:t>版本日期</w:t>
            </w:r>
          </w:p>
        </w:tc>
        <w:tc>
          <w:tcPr>
            <w:tcW w:w="2123" w:type="dxa"/>
          </w:tcPr>
          <w:p w14:paraId="0CBBB38C">
            <w:pPr>
              <w:pStyle w:val="26"/>
              <w:spacing w:before="139" w:line="219" w:lineRule="auto"/>
              <w:ind w:left="646"/>
            </w:pPr>
            <w:r>
              <w:rPr>
                <w:spacing w:val="-2"/>
              </w:rPr>
              <w:t>版本说明</w:t>
            </w:r>
          </w:p>
        </w:tc>
        <w:tc>
          <w:tcPr>
            <w:tcW w:w="1699" w:type="dxa"/>
          </w:tcPr>
          <w:p w14:paraId="585E3226">
            <w:pPr>
              <w:pStyle w:val="26"/>
              <w:spacing w:before="139" w:line="220" w:lineRule="auto"/>
              <w:ind w:left="594"/>
            </w:pPr>
            <w:r>
              <w:rPr>
                <w:spacing w:val="-5"/>
              </w:rPr>
              <w:t>作</w:t>
            </w:r>
            <w:r>
              <w:rPr>
                <w:spacing w:val="9"/>
              </w:rPr>
              <w:t xml:space="preserve"> </w:t>
            </w:r>
            <w:r>
              <w:rPr>
                <w:spacing w:val="-5"/>
              </w:rPr>
              <w:t>者</w:t>
            </w:r>
          </w:p>
        </w:tc>
        <w:tc>
          <w:tcPr>
            <w:tcW w:w="1562" w:type="dxa"/>
          </w:tcPr>
          <w:p w14:paraId="2D0212F2">
            <w:pPr>
              <w:pStyle w:val="26"/>
              <w:spacing w:before="139" w:line="220" w:lineRule="auto"/>
              <w:ind w:left="587"/>
            </w:pPr>
            <w:r>
              <w:rPr>
                <w:spacing w:val="-5"/>
              </w:rPr>
              <w:t>审核</w:t>
            </w:r>
          </w:p>
        </w:tc>
      </w:tr>
      <w:tr w14:paraId="4F46E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424BF90">
            <w:pPr>
              <w:pStyle w:val="26"/>
              <w:spacing w:before="104" w:line="239" w:lineRule="auto"/>
              <w:ind w:left="638"/>
            </w:pPr>
            <w:r>
              <w:rPr>
                <w:spacing w:val="-1"/>
              </w:rPr>
              <w:t>V1.0</w:t>
            </w:r>
          </w:p>
        </w:tc>
        <w:tc>
          <w:tcPr>
            <w:tcW w:w="1558" w:type="dxa"/>
          </w:tcPr>
          <w:p w14:paraId="6FAFDA73">
            <w:pPr>
              <w:pStyle w:val="26"/>
              <w:spacing w:before="104"/>
              <w:ind w:left="362"/>
            </w:pPr>
            <w:r>
              <w:rPr>
                <w:spacing w:val="-2"/>
              </w:rPr>
              <w:t>2025-</w:t>
            </w:r>
            <w:r>
              <w:rPr>
                <w:rFonts w:hint="eastAsia"/>
                <w:spacing w:val="-2"/>
                <w:lang w:eastAsia="zh-CN"/>
              </w:rPr>
              <w:t>12</w:t>
            </w:r>
            <w:r>
              <w:rPr>
                <w:spacing w:val="-2"/>
              </w:rPr>
              <w:t>-20</w:t>
            </w:r>
          </w:p>
        </w:tc>
        <w:tc>
          <w:tcPr>
            <w:tcW w:w="2123" w:type="dxa"/>
          </w:tcPr>
          <w:p w14:paraId="5833B78A">
            <w:pPr>
              <w:pStyle w:val="26"/>
              <w:spacing w:before="74" w:line="219" w:lineRule="auto"/>
              <w:ind w:left="648"/>
            </w:pPr>
            <w:r>
              <w:rPr>
                <w:spacing w:val="-3"/>
              </w:rPr>
              <w:t>发布版本</w:t>
            </w:r>
          </w:p>
        </w:tc>
        <w:tc>
          <w:tcPr>
            <w:tcW w:w="1699" w:type="dxa"/>
          </w:tcPr>
          <w:p w14:paraId="28A85EB1">
            <w:pPr>
              <w:pStyle w:val="26"/>
              <w:spacing w:before="75" w:line="220" w:lineRule="auto"/>
              <w:ind w:left="551"/>
              <w:rPr>
                <w:lang w:eastAsia="zh-CN"/>
              </w:rPr>
            </w:pPr>
            <w:r>
              <w:rPr>
                <w:rFonts w:hint="eastAsia"/>
                <w:lang w:eastAsia="zh-CN"/>
              </w:rPr>
              <w:t>王朋</w:t>
            </w:r>
          </w:p>
        </w:tc>
        <w:tc>
          <w:tcPr>
            <w:tcW w:w="1562" w:type="dxa"/>
          </w:tcPr>
          <w:p w14:paraId="6A21D01B">
            <w:pPr>
              <w:pStyle w:val="26"/>
              <w:spacing w:before="74" w:line="220" w:lineRule="auto"/>
              <w:ind w:left="476"/>
            </w:pPr>
            <w:r>
              <w:rPr>
                <w:spacing w:val="-3"/>
              </w:rPr>
              <w:t>史晓玲</w:t>
            </w:r>
          </w:p>
        </w:tc>
      </w:tr>
      <w:tr w14:paraId="493BB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23F428BF"/>
        </w:tc>
        <w:tc>
          <w:tcPr>
            <w:tcW w:w="1558" w:type="dxa"/>
          </w:tcPr>
          <w:p w14:paraId="3F15A2C2"/>
        </w:tc>
        <w:tc>
          <w:tcPr>
            <w:tcW w:w="2123" w:type="dxa"/>
          </w:tcPr>
          <w:p w14:paraId="0EEB9FFC"/>
        </w:tc>
        <w:tc>
          <w:tcPr>
            <w:tcW w:w="1699" w:type="dxa"/>
          </w:tcPr>
          <w:p w14:paraId="2F8C66A9"/>
        </w:tc>
        <w:tc>
          <w:tcPr>
            <w:tcW w:w="1562" w:type="dxa"/>
          </w:tcPr>
          <w:p w14:paraId="68423504"/>
        </w:tc>
      </w:tr>
      <w:tr w14:paraId="1597E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4" w:type="dxa"/>
          </w:tcPr>
          <w:p w14:paraId="609B9FD3"/>
        </w:tc>
        <w:tc>
          <w:tcPr>
            <w:tcW w:w="1558" w:type="dxa"/>
          </w:tcPr>
          <w:p w14:paraId="1E05B2E3"/>
        </w:tc>
        <w:tc>
          <w:tcPr>
            <w:tcW w:w="2123" w:type="dxa"/>
          </w:tcPr>
          <w:p w14:paraId="60592646"/>
        </w:tc>
        <w:tc>
          <w:tcPr>
            <w:tcW w:w="1699" w:type="dxa"/>
          </w:tcPr>
          <w:p w14:paraId="53A5E5E1"/>
        </w:tc>
        <w:tc>
          <w:tcPr>
            <w:tcW w:w="1562" w:type="dxa"/>
          </w:tcPr>
          <w:p w14:paraId="4B4B7CD0"/>
        </w:tc>
      </w:tr>
      <w:tr w14:paraId="42C95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6D49406D"/>
        </w:tc>
        <w:tc>
          <w:tcPr>
            <w:tcW w:w="1558" w:type="dxa"/>
          </w:tcPr>
          <w:p w14:paraId="3A8EDBAA"/>
        </w:tc>
        <w:tc>
          <w:tcPr>
            <w:tcW w:w="2123" w:type="dxa"/>
          </w:tcPr>
          <w:p w14:paraId="5C64CF08"/>
        </w:tc>
        <w:tc>
          <w:tcPr>
            <w:tcW w:w="1699" w:type="dxa"/>
          </w:tcPr>
          <w:p w14:paraId="219D01E7"/>
        </w:tc>
        <w:tc>
          <w:tcPr>
            <w:tcW w:w="1562" w:type="dxa"/>
          </w:tcPr>
          <w:p w14:paraId="540FF09C"/>
        </w:tc>
      </w:tr>
    </w:tbl>
    <w:p w14:paraId="3067CAC5">
      <w:pPr>
        <w:pStyle w:val="12"/>
      </w:pPr>
    </w:p>
    <w:p w14:paraId="4E514629">
      <w:pPr>
        <w:sectPr>
          <w:headerReference r:id="rId5" w:type="default"/>
          <w:footerReference r:id="rId6" w:type="default"/>
          <w:pgSz w:w="11906" w:h="16839"/>
          <w:pgMar w:top="1246" w:right="1050" w:bottom="1375" w:left="1050" w:header="1231" w:footer="983" w:gutter="0"/>
          <w:cols w:space="720" w:num="1"/>
        </w:sectPr>
      </w:pPr>
    </w:p>
    <w:sdt>
      <w:sdtPr>
        <w:rPr>
          <w:rFonts w:ascii="宋体" w:hAnsi="宋体"/>
          <w:sz w:val="24"/>
          <w:lang w:eastAsia="zh-CN"/>
        </w:rPr>
        <w:id w:val="147480930"/>
        <w:docPartObj>
          <w:docPartGallery w:val="Table of Contents"/>
          <w:docPartUnique/>
        </w:docPartObj>
      </w:sdtPr>
      <w:sdtEndPr>
        <w:rPr>
          <w:rFonts w:ascii="Arial" w:hAnsi="Arial"/>
          <w:sz w:val="24"/>
          <w:lang w:eastAsia="zh-CN"/>
        </w:rPr>
      </w:sdtEndPr>
      <w:sdtContent>
        <w:p w14:paraId="4B17C473">
          <w:pPr>
            <w:spacing w:line="240" w:lineRule="auto"/>
            <w:jc w:val="center"/>
          </w:pPr>
          <w:r>
            <w:rPr>
              <w:rFonts w:ascii="宋体" w:hAnsi="宋体"/>
            </w:rPr>
            <w:t>目录</w:t>
          </w:r>
        </w:p>
        <w:p w14:paraId="2FB6E9D1">
          <w:pPr>
            <w:pStyle w:val="17"/>
            <w:tabs>
              <w:tab w:val="right" w:leader="dot" w:pos="9806"/>
            </w:tabs>
          </w:pPr>
          <w:bookmarkStart w:id="12" w:name="_GoBack"/>
          <w:bookmarkEnd w:id="12"/>
          <w:r>
            <w:fldChar w:fldCharType="begin"/>
          </w:r>
          <w:r>
            <w:instrText xml:space="preserve">TOC \o "1-3" \h \u </w:instrText>
          </w:r>
          <w:r>
            <w:fldChar w:fldCharType="separate"/>
          </w:r>
          <w:r>
            <w:fldChar w:fldCharType="begin"/>
          </w:r>
          <w:r>
            <w:instrText xml:space="preserve"> HYPERLINK \l _Toc30170 </w:instrText>
          </w:r>
          <w:r>
            <w:fldChar w:fldCharType="separate"/>
          </w:r>
          <w:r>
            <w:t>备品备件应用提升情况总结说明</w:t>
          </w:r>
          <w:r>
            <w:tab/>
          </w:r>
          <w:r>
            <w:fldChar w:fldCharType="begin"/>
          </w:r>
          <w:r>
            <w:instrText xml:space="preserve"> PAGEREF _Toc30170 \h </w:instrText>
          </w:r>
          <w:r>
            <w:fldChar w:fldCharType="separate"/>
          </w:r>
          <w:r>
            <w:t>1</w:t>
          </w:r>
          <w:r>
            <w:fldChar w:fldCharType="end"/>
          </w:r>
          <w:r>
            <w:fldChar w:fldCharType="end"/>
          </w:r>
        </w:p>
        <w:p w14:paraId="5F737D64">
          <w:pPr>
            <w:pStyle w:val="17"/>
            <w:tabs>
              <w:tab w:val="right" w:leader="dot" w:pos="9806"/>
            </w:tabs>
          </w:pPr>
          <w:r>
            <w:fldChar w:fldCharType="begin"/>
          </w:r>
          <w:r>
            <w:instrText xml:space="preserve"> HYPERLINK \l _Toc20478 </w:instrText>
          </w:r>
          <w:r>
            <w:fldChar w:fldCharType="separate"/>
          </w:r>
          <w:r>
            <w:t>江苏云储智能科技有限公司</w:t>
          </w:r>
          <w:r>
            <w:tab/>
          </w:r>
          <w:r>
            <w:fldChar w:fldCharType="begin"/>
          </w:r>
          <w:r>
            <w:instrText xml:space="preserve"> PAGEREF _Toc20478 \h </w:instrText>
          </w:r>
          <w:r>
            <w:fldChar w:fldCharType="separate"/>
          </w:r>
          <w:r>
            <w:t>1</w:t>
          </w:r>
          <w:r>
            <w:fldChar w:fldCharType="end"/>
          </w:r>
          <w:r>
            <w:fldChar w:fldCharType="end"/>
          </w:r>
        </w:p>
        <w:p w14:paraId="01F80EDF">
          <w:pPr>
            <w:pStyle w:val="17"/>
            <w:tabs>
              <w:tab w:val="right" w:leader="dot" w:pos="9806"/>
            </w:tabs>
          </w:pPr>
          <w:r>
            <w:fldChar w:fldCharType="begin"/>
          </w:r>
          <w:r>
            <w:instrText xml:space="preserve"> HYPERLINK \l _Toc9593 </w:instrText>
          </w:r>
          <w:r>
            <w:fldChar w:fldCharType="separate"/>
          </w:r>
          <w:r>
            <w:rPr>
              <w:rFonts w:ascii="宋体" w:hAnsi="宋体" w:cs="宋体"/>
              <w:spacing w:val="-3"/>
              <w:szCs w:val="28"/>
            </w:rPr>
            <w:t>文档信息</w:t>
          </w:r>
          <w:r>
            <w:tab/>
          </w:r>
          <w:r>
            <w:fldChar w:fldCharType="begin"/>
          </w:r>
          <w:r>
            <w:instrText xml:space="preserve"> PAGEREF _Toc9593 \h </w:instrText>
          </w:r>
          <w:r>
            <w:fldChar w:fldCharType="separate"/>
          </w:r>
          <w:r>
            <w:t>2</w:t>
          </w:r>
          <w:r>
            <w:fldChar w:fldCharType="end"/>
          </w:r>
          <w:r>
            <w:fldChar w:fldCharType="end"/>
          </w:r>
        </w:p>
        <w:p w14:paraId="616AF6E7">
          <w:pPr>
            <w:pStyle w:val="17"/>
            <w:tabs>
              <w:tab w:val="right" w:leader="dot" w:pos="9806"/>
            </w:tabs>
          </w:pPr>
          <w:r>
            <w:fldChar w:fldCharType="begin"/>
          </w:r>
          <w:r>
            <w:instrText xml:space="preserve"> HYPERLINK \l _Toc30532 </w:instrText>
          </w:r>
          <w:r>
            <w:fldChar w:fldCharType="separate"/>
          </w:r>
          <w:r>
            <w:rPr>
              <w:rFonts w:hint="default"/>
            </w:rPr>
            <w:t xml:space="preserve">1. </w:t>
          </w:r>
          <w:r>
            <w:t>管理体系建设与优化历程</w:t>
          </w:r>
          <w:r>
            <w:tab/>
          </w:r>
          <w:r>
            <w:fldChar w:fldCharType="begin"/>
          </w:r>
          <w:r>
            <w:instrText xml:space="preserve"> PAGEREF _Toc30532 \h </w:instrText>
          </w:r>
          <w:r>
            <w:fldChar w:fldCharType="separate"/>
          </w:r>
          <w:r>
            <w:t>4</w:t>
          </w:r>
          <w:r>
            <w:fldChar w:fldCharType="end"/>
          </w:r>
          <w:r>
            <w:fldChar w:fldCharType="end"/>
          </w:r>
        </w:p>
        <w:p w14:paraId="58F3E9BC">
          <w:pPr>
            <w:pStyle w:val="17"/>
            <w:tabs>
              <w:tab w:val="right" w:leader="dot" w:pos="9806"/>
            </w:tabs>
          </w:pPr>
          <w:r>
            <w:fldChar w:fldCharType="begin"/>
          </w:r>
          <w:r>
            <w:instrText xml:space="preserve"> HYPERLINK \l _Toc20831 </w:instrText>
          </w:r>
          <w:r>
            <w:fldChar w:fldCharType="separate"/>
          </w:r>
          <w:r>
            <w:rPr>
              <w:rFonts w:hint="default"/>
            </w:rPr>
            <w:t xml:space="preserve">2. </w:t>
          </w:r>
          <w:r>
            <w:t>关键管理措施与实施成效</w:t>
          </w:r>
          <w:r>
            <w:tab/>
          </w:r>
          <w:r>
            <w:fldChar w:fldCharType="begin"/>
          </w:r>
          <w:r>
            <w:instrText xml:space="preserve"> PAGEREF _Toc20831 \h </w:instrText>
          </w:r>
          <w:r>
            <w:fldChar w:fldCharType="separate"/>
          </w:r>
          <w:r>
            <w:t>4</w:t>
          </w:r>
          <w:r>
            <w:fldChar w:fldCharType="end"/>
          </w:r>
          <w:r>
            <w:fldChar w:fldCharType="end"/>
          </w:r>
        </w:p>
        <w:p w14:paraId="12F81224">
          <w:pPr>
            <w:pStyle w:val="18"/>
            <w:tabs>
              <w:tab w:val="right" w:leader="dot" w:pos="9806"/>
            </w:tabs>
          </w:pPr>
          <w:r>
            <w:fldChar w:fldCharType="begin"/>
          </w:r>
          <w:r>
            <w:instrText xml:space="preserve"> HYPERLINK \l _Toc16904 </w:instrText>
          </w:r>
          <w:r>
            <w:fldChar w:fldCharType="separate"/>
          </w:r>
          <w:r>
            <w:rPr>
              <w:rFonts w:hint="default"/>
            </w:rPr>
            <w:t xml:space="preserve">2.1. </w:t>
          </w:r>
          <w:r>
            <w:t>库存管理的规范化与可视化</w:t>
          </w:r>
          <w:r>
            <w:tab/>
          </w:r>
          <w:r>
            <w:fldChar w:fldCharType="begin"/>
          </w:r>
          <w:r>
            <w:instrText xml:space="preserve"> PAGEREF _Toc16904 \h </w:instrText>
          </w:r>
          <w:r>
            <w:fldChar w:fldCharType="separate"/>
          </w:r>
          <w:r>
            <w:t>4</w:t>
          </w:r>
          <w:r>
            <w:fldChar w:fldCharType="end"/>
          </w:r>
          <w:r>
            <w:fldChar w:fldCharType="end"/>
          </w:r>
        </w:p>
        <w:p w14:paraId="7E6DED66">
          <w:pPr>
            <w:pStyle w:val="18"/>
            <w:tabs>
              <w:tab w:val="right" w:leader="dot" w:pos="9806"/>
            </w:tabs>
          </w:pPr>
          <w:r>
            <w:fldChar w:fldCharType="begin"/>
          </w:r>
          <w:r>
            <w:instrText xml:space="preserve"> HYPERLINK \l _Toc27344 </w:instrText>
          </w:r>
          <w:r>
            <w:fldChar w:fldCharType="separate"/>
          </w:r>
          <w:r>
            <w:rPr>
              <w:rFonts w:hint="default"/>
            </w:rPr>
            <w:t xml:space="preserve">2.2. </w:t>
          </w:r>
          <w:r>
            <w:t>供应商管理的战略化与协同化</w:t>
          </w:r>
          <w:r>
            <w:tab/>
          </w:r>
          <w:r>
            <w:fldChar w:fldCharType="begin"/>
          </w:r>
          <w:r>
            <w:instrText xml:space="preserve"> PAGEREF _Toc27344 \h </w:instrText>
          </w:r>
          <w:r>
            <w:fldChar w:fldCharType="separate"/>
          </w:r>
          <w:r>
            <w:t>4</w:t>
          </w:r>
          <w:r>
            <w:fldChar w:fldCharType="end"/>
          </w:r>
          <w:r>
            <w:fldChar w:fldCharType="end"/>
          </w:r>
        </w:p>
        <w:p w14:paraId="0E14398C">
          <w:pPr>
            <w:pStyle w:val="18"/>
            <w:tabs>
              <w:tab w:val="right" w:leader="dot" w:pos="9806"/>
            </w:tabs>
          </w:pPr>
          <w:r>
            <w:fldChar w:fldCharType="begin"/>
          </w:r>
          <w:r>
            <w:instrText xml:space="preserve"> HYPERLINK \l _Toc22819 </w:instrText>
          </w:r>
          <w:r>
            <w:fldChar w:fldCharType="separate"/>
          </w:r>
          <w:r>
            <w:rPr>
              <w:rFonts w:hint="default"/>
            </w:rPr>
            <w:t xml:space="preserve">2.3. </w:t>
          </w:r>
          <w:r>
            <w:t>备件可用性保障的全流程控制</w:t>
          </w:r>
          <w:r>
            <w:tab/>
          </w:r>
          <w:r>
            <w:fldChar w:fldCharType="begin"/>
          </w:r>
          <w:r>
            <w:instrText xml:space="preserve"> PAGEREF _Toc22819 \h </w:instrText>
          </w:r>
          <w:r>
            <w:fldChar w:fldCharType="separate"/>
          </w:r>
          <w:r>
            <w:t>4</w:t>
          </w:r>
          <w:r>
            <w:fldChar w:fldCharType="end"/>
          </w:r>
          <w:r>
            <w:fldChar w:fldCharType="end"/>
          </w:r>
        </w:p>
        <w:p w14:paraId="1433DB77">
          <w:pPr>
            <w:pStyle w:val="17"/>
            <w:tabs>
              <w:tab w:val="right" w:leader="dot" w:pos="9806"/>
            </w:tabs>
          </w:pPr>
          <w:r>
            <w:fldChar w:fldCharType="begin"/>
          </w:r>
          <w:r>
            <w:instrText xml:space="preserve"> HYPERLINK \l _Toc2392 </w:instrText>
          </w:r>
          <w:r>
            <w:fldChar w:fldCharType="separate"/>
          </w:r>
          <w:r>
            <w:rPr>
              <w:rFonts w:hint="default"/>
            </w:rPr>
            <w:t xml:space="preserve">3. </w:t>
          </w:r>
          <w:r>
            <w:t>核心绩效指标达成情况深度分析</w:t>
          </w:r>
          <w:r>
            <w:tab/>
          </w:r>
          <w:r>
            <w:fldChar w:fldCharType="begin"/>
          </w:r>
          <w:r>
            <w:instrText xml:space="preserve"> PAGEREF _Toc2392 \h </w:instrText>
          </w:r>
          <w:r>
            <w:fldChar w:fldCharType="separate"/>
          </w:r>
          <w:r>
            <w:t>5</w:t>
          </w:r>
          <w:r>
            <w:fldChar w:fldCharType="end"/>
          </w:r>
          <w:r>
            <w:fldChar w:fldCharType="end"/>
          </w:r>
        </w:p>
        <w:p w14:paraId="04D84DAC">
          <w:pPr>
            <w:pStyle w:val="17"/>
            <w:tabs>
              <w:tab w:val="right" w:leader="dot" w:pos="9806"/>
            </w:tabs>
          </w:pPr>
          <w:r>
            <w:fldChar w:fldCharType="begin"/>
          </w:r>
          <w:r>
            <w:instrText xml:space="preserve"> HYPERLINK \l _Toc10145 </w:instrText>
          </w:r>
          <w:r>
            <w:fldChar w:fldCharType="separate"/>
          </w:r>
          <w:r>
            <w:rPr>
              <w:rFonts w:hint="default"/>
            </w:rPr>
            <w:t xml:space="preserve">4. </w:t>
          </w:r>
          <w:r>
            <w:t>对核心运维项目的支撑成效</w:t>
          </w:r>
          <w:r>
            <w:tab/>
          </w:r>
          <w:r>
            <w:fldChar w:fldCharType="begin"/>
          </w:r>
          <w:r>
            <w:instrText xml:space="preserve"> PAGEREF _Toc10145 \h </w:instrText>
          </w:r>
          <w:r>
            <w:fldChar w:fldCharType="separate"/>
          </w:r>
          <w:r>
            <w:t>5</w:t>
          </w:r>
          <w:r>
            <w:fldChar w:fldCharType="end"/>
          </w:r>
          <w:r>
            <w:fldChar w:fldCharType="end"/>
          </w:r>
        </w:p>
        <w:p w14:paraId="139B7D27">
          <w:pPr>
            <w:pStyle w:val="17"/>
            <w:tabs>
              <w:tab w:val="right" w:leader="dot" w:pos="9806"/>
            </w:tabs>
          </w:pPr>
          <w:r>
            <w:fldChar w:fldCharType="begin"/>
          </w:r>
          <w:r>
            <w:instrText xml:space="preserve"> HYPERLINK \l _Toc7869 </w:instrText>
          </w:r>
          <w:r>
            <w:fldChar w:fldCharType="separate"/>
          </w:r>
          <w:r>
            <w:rPr>
              <w:rFonts w:hint="default"/>
            </w:rPr>
            <w:t xml:space="preserve">5. </w:t>
          </w:r>
          <w:r>
            <w:t>持续改进与未来规划</w:t>
          </w:r>
          <w:r>
            <w:tab/>
          </w:r>
          <w:r>
            <w:fldChar w:fldCharType="begin"/>
          </w:r>
          <w:r>
            <w:instrText xml:space="preserve"> PAGEREF _Toc7869 \h </w:instrText>
          </w:r>
          <w:r>
            <w:fldChar w:fldCharType="separate"/>
          </w:r>
          <w:r>
            <w:t>6</w:t>
          </w:r>
          <w:r>
            <w:fldChar w:fldCharType="end"/>
          </w:r>
          <w:r>
            <w:fldChar w:fldCharType="end"/>
          </w:r>
        </w:p>
        <w:p w14:paraId="60033753">
          <w:pPr>
            <w:pStyle w:val="17"/>
            <w:tabs>
              <w:tab w:val="right" w:leader="dot" w:pos="9806"/>
            </w:tabs>
          </w:pPr>
          <w:r>
            <w:fldChar w:fldCharType="begin"/>
          </w:r>
          <w:r>
            <w:instrText xml:space="preserve"> HYPERLINK \l _Toc26479 </w:instrText>
          </w:r>
          <w:r>
            <w:fldChar w:fldCharType="separate"/>
          </w:r>
          <w:r>
            <w:rPr>
              <w:rFonts w:hint="default"/>
            </w:rPr>
            <w:t xml:space="preserve">6. </w:t>
          </w:r>
          <w:r>
            <w:t>结论</w:t>
          </w:r>
          <w:r>
            <w:tab/>
          </w:r>
          <w:r>
            <w:fldChar w:fldCharType="begin"/>
          </w:r>
          <w:r>
            <w:instrText xml:space="preserve"> PAGEREF _Toc26479 \h </w:instrText>
          </w:r>
          <w:r>
            <w:fldChar w:fldCharType="separate"/>
          </w:r>
          <w:r>
            <w:t>6</w:t>
          </w:r>
          <w:r>
            <w:fldChar w:fldCharType="end"/>
          </w:r>
          <w:r>
            <w:fldChar w:fldCharType="end"/>
          </w:r>
        </w:p>
        <w:p w14:paraId="6D2E2FD5">
          <w:pPr>
            <w:pStyle w:val="28"/>
            <w:ind w:firstLine="480"/>
          </w:pPr>
          <w:r>
            <w:fldChar w:fldCharType="end"/>
          </w:r>
        </w:p>
      </w:sdtContent>
    </w:sdt>
    <w:p w14:paraId="5315EDFC">
      <w:pPr>
        <w:rPr>
          <w:sz w:val="24"/>
          <w:lang w:eastAsia="zh-CN"/>
        </w:rPr>
      </w:pPr>
      <w:r>
        <w:rPr>
          <w:sz w:val="24"/>
          <w:lang w:eastAsia="zh-CN"/>
        </w:rPr>
        <w:br w:type="page"/>
      </w:r>
    </w:p>
    <w:p w14:paraId="47058775">
      <w:pPr>
        <w:pStyle w:val="27"/>
      </w:pPr>
      <w:bookmarkStart w:id="3" w:name="_Toc30532"/>
      <w:r>
        <w:t>管理体系建设与优化历程</w:t>
      </w:r>
      <w:bookmarkEnd w:id="3"/>
    </w:p>
    <w:p w14:paraId="2BA8B30F">
      <w:pPr>
        <w:pStyle w:val="28"/>
        <w:ind w:firstLine="480"/>
        <w:rPr>
          <w:rFonts w:ascii="Arial" w:hAnsi="Arial" w:eastAsia="宋体" w:cs="Arial"/>
        </w:rPr>
      </w:pPr>
      <w:r>
        <w:t>公司积极引入并践行ITSS（信息技术服务标准）三级成熟度模型，系统性构建并持续完善备品备件管理体系。针对早期备件管理分散、制度缺失、响应滞后的情况，公司通过借鉴行业先进经验，逐步建立了以《备品备件管理制度》与《供应商管理制度》为核心的一整套规范化</w:t>
      </w:r>
      <w:r>
        <w:rPr>
          <w:rFonts w:ascii="Arial" w:hAnsi="Arial" w:eastAsia="宋体" w:cs="Arial"/>
        </w:rPr>
        <w:t>管理机制。</w:t>
      </w:r>
    </w:p>
    <w:p w14:paraId="71C08E50">
      <w:pPr>
        <w:pStyle w:val="28"/>
        <w:ind w:firstLine="480"/>
      </w:pPr>
      <w:r>
        <w:rPr>
          <w:rFonts w:ascii="Arial" w:hAnsi="Arial" w:eastAsia="宋体" w:cs="Arial"/>
        </w:rPr>
        <w:t>本年度，管理体系的优化重点聚焦于流程精细化、数据可视化、响应敏捷化三个维度，旨在实现从“被动应对”到“主动预防”、从“经验驱动”到“数据驱动”的根本性转变，为各类运维项目，特别是如“淮安生态新城信息系统运维服务项目”这类对服务连</w:t>
      </w:r>
      <w:r>
        <w:t>续性要求极高的关键项目，提供坚实的物资保障。</w:t>
      </w:r>
    </w:p>
    <w:p w14:paraId="7682B94A">
      <w:pPr>
        <w:pStyle w:val="27"/>
      </w:pPr>
      <w:bookmarkStart w:id="4" w:name="_Toc20831"/>
      <w:r>
        <w:t>关键管理措施与实施成效</w:t>
      </w:r>
      <w:bookmarkEnd w:id="4"/>
    </w:p>
    <w:p w14:paraId="3B80BB46">
      <w:pPr>
        <w:pStyle w:val="29"/>
      </w:pPr>
      <w:bookmarkStart w:id="5" w:name="_Toc16904"/>
      <w:r>
        <w:t>库存管理的规范化与可视化</w:t>
      </w:r>
      <w:bookmarkEnd w:id="5"/>
    </w:p>
    <w:p w14:paraId="63351DBC">
      <w:pPr>
        <w:pStyle w:val="28"/>
        <w:ind w:firstLine="480"/>
      </w:pPr>
      <w:r>
        <w:t>库房物理改造：对仓储空间进行了科学重新规划，定制化安装新货架系统，并严格按设备类型、用途及故障频率对备件进行分区、分类、标识存放，实现了备件的“定位清晰、取用快捷”。</w:t>
      </w:r>
    </w:p>
    <w:p w14:paraId="290F6A0F">
      <w:pPr>
        <w:pStyle w:val="28"/>
        <w:ind w:firstLine="480"/>
      </w:pPr>
      <w:r>
        <w:t>数字化台账管理：依托运维管理平台，建立了电子化备件库存台账，实现每一件备品备件从入库、存储、检测、领用到核销的全生命周期线上跟踪，确保了物流与信息流的同步。</w:t>
      </w:r>
    </w:p>
    <w:p w14:paraId="06CA948D">
      <w:pPr>
        <w:pStyle w:val="28"/>
        <w:ind w:firstLine="480"/>
      </w:pPr>
      <w:r>
        <w:t>定期盘点与审计：执行季度全面盘点与月度循环抽查相结合的机制，及时发现并纠正账实不符问题，这是维持库存备件数据准确率稳定的核心基础。</w:t>
      </w:r>
    </w:p>
    <w:p w14:paraId="4BBDBBE9">
      <w:pPr>
        <w:pStyle w:val="29"/>
      </w:pPr>
      <w:bookmarkStart w:id="6" w:name="_Toc27344"/>
      <w:r>
        <w:t>供应商管理的战略化与协同化</w:t>
      </w:r>
      <w:bookmarkEnd w:id="6"/>
    </w:p>
    <w:p w14:paraId="67569B93">
      <w:pPr>
        <w:pStyle w:val="28"/>
        <w:ind w:firstLine="480"/>
      </w:pPr>
      <w:r>
        <w:t>动态供应商评价体系： 建立了涵盖供货及时率、产品质量合格率、售后服务响应速度、价格水平等多维度的供应商季度考核评分卡。通过优胜劣汰，优化了核心供应商名录，激发了供应链端的服务竞争意识。</w:t>
      </w:r>
    </w:p>
    <w:p w14:paraId="5A0115CF">
      <w:pPr>
        <w:pStyle w:val="28"/>
        <w:ind w:firstLine="480"/>
      </w:pPr>
      <w:r>
        <w:t>战略协同与信息共享：与关键供应商建立了库存信息共享机制，对常用耗材及核心板件推行“供应商代管库存”（VMI）模式，部分实现了备件“零库存”管理，降低了资金占用。</w:t>
      </w:r>
    </w:p>
    <w:p w14:paraId="4FCA8969">
      <w:pPr>
        <w:pStyle w:val="28"/>
        <w:ind w:firstLine="480"/>
      </w:pPr>
      <w:r>
        <w:t>采购计划的科学性： 依据历史故障数据、设备生命周期及项目SLA要求，编制了主要设备的战略性备件储备计划，避免了采购的盲目性与重复性，使采购资金效益最大化。</w:t>
      </w:r>
    </w:p>
    <w:p w14:paraId="791F0527">
      <w:pPr>
        <w:pStyle w:val="29"/>
      </w:pPr>
      <w:bookmarkStart w:id="7" w:name="_Toc22819"/>
      <w:r>
        <w:t>备件可用性保障的全流程控制</w:t>
      </w:r>
      <w:bookmarkEnd w:id="7"/>
    </w:p>
    <w:p w14:paraId="4C9AC023">
      <w:pPr>
        <w:pStyle w:val="28"/>
        <w:ind w:firstLine="480"/>
      </w:pPr>
      <w:r>
        <w:t>入库检测制度化：所有备件入库前均需进行严格的功能与性能测试，杜绝“问题备件”进入库存，从源头保障可用性。</w:t>
      </w:r>
    </w:p>
    <w:p w14:paraId="71E4E242">
      <w:pPr>
        <w:pStyle w:val="28"/>
        <w:ind w:firstLine="480"/>
      </w:pPr>
      <w:r>
        <w:t>在库保养常态化：对精密电子部件等有特殊存储要求的备件，定期进行通电检测、防潮防尘处理，确保备件在库期间性能不衰减。</w:t>
      </w:r>
    </w:p>
    <w:p w14:paraId="71BC4F9C">
      <w:pPr>
        <w:pStyle w:val="28"/>
        <w:ind w:firstLine="480"/>
      </w:pPr>
      <w:r>
        <w:t>应急演练集成化： 在业务连续性演练中，同步测试备件紧急领用、更换流程的有效性，确保应急状态下“拿得出、用得上”。</w:t>
      </w:r>
    </w:p>
    <w:p w14:paraId="08A15D70">
      <w:pPr>
        <w:pStyle w:val="27"/>
      </w:pPr>
      <w:bookmarkStart w:id="8" w:name="_Toc2392"/>
      <w:r>
        <w:t>核心绩效指标达成情况深度分析</w:t>
      </w:r>
      <w:bookmarkEnd w:id="8"/>
    </w:p>
    <w:tbl>
      <w:tblPr>
        <w:tblStyle w:val="21"/>
        <w:tblW w:w="100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15" w:type="dxa"/>
          <w:left w:w="15" w:type="dxa"/>
          <w:bottom w:w="15" w:type="dxa"/>
          <w:right w:w="15" w:type="dxa"/>
        </w:tblCellMar>
      </w:tblPr>
      <w:tblGrid>
        <w:gridCol w:w="535"/>
        <w:gridCol w:w="1561"/>
        <w:gridCol w:w="1067"/>
        <w:gridCol w:w="803"/>
        <w:gridCol w:w="803"/>
        <w:gridCol w:w="823"/>
        <w:gridCol w:w="785"/>
        <w:gridCol w:w="3645"/>
      </w:tblGrid>
      <w:tr w14:paraId="675D10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B352B83">
            <w:pPr>
              <w:snapToGrid w:val="0"/>
              <w:spacing w:line="240" w:lineRule="auto"/>
              <w:ind w:left="0" w:leftChars="0" w:right="0" w:rightChars="0" w:firstLine="0" w:firstLineChars="0"/>
              <w:jc w:val="center"/>
              <w:rPr>
                <w:rFonts w:ascii="Segoe UI" w:hAnsi="Segoe UI" w:eastAsia="Segoe UI" w:cs="Segoe UI"/>
                <w:b/>
                <w:color w:val="0F1115"/>
                <w:sz w:val="18"/>
                <w:szCs w:val="18"/>
              </w:rPr>
            </w:pPr>
            <w:r>
              <w:rPr>
                <w:rFonts w:ascii="Segoe UI" w:hAnsi="Segoe UI" w:eastAsia="Segoe UI" w:cs="Segoe UI"/>
                <w:b/>
                <w:sz w:val="18"/>
                <w:szCs w:val="18"/>
                <w:lang w:eastAsia="zh-CN"/>
              </w:rPr>
              <w:t>指标维度</w:t>
            </w:r>
          </w:p>
        </w:tc>
        <w:tc>
          <w:tcPr>
            <w:tcW w:w="1572"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BB1779">
            <w:pPr>
              <w:snapToGrid w:val="0"/>
              <w:spacing w:line="240" w:lineRule="auto"/>
              <w:ind w:left="0" w:leftChars="0" w:right="0" w:rightChars="0" w:firstLine="0" w:firstLineChars="0"/>
              <w:jc w:val="center"/>
              <w:rPr>
                <w:rFonts w:ascii="Segoe UI" w:hAnsi="Segoe UI" w:eastAsia="Segoe UI" w:cs="Segoe UI"/>
                <w:b/>
                <w:color w:val="0F1115"/>
                <w:sz w:val="18"/>
                <w:szCs w:val="18"/>
              </w:rPr>
            </w:pPr>
            <w:r>
              <w:rPr>
                <w:rFonts w:ascii="Segoe UI" w:hAnsi="Segoe UI" w:eastAsia="Segoe UI" w:cs="Segoe UI"/>
                <w:b/>
                <w:sz w:val="18"/>
                <w:szCs w:val="18"/>
                <w:lang w:eastAsia="zh-CN"/>
              </w:rPr>
              <w:t>指标名称</w:t>
            </w:r>
          </w:p>
        </w:tc>
        <w:tc>
          <w:tcPr>
            <w:tcW w:w="107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1175AA9">
            <w:pPr>
              <w:snapToGrid w:val="0"/>
              <w:spacing w:line="240" w:lineRule="auto"/>
              <w:ind w:left="0" w:leftChars="0" w:right="0" w:rightChars="0" w:firstLine="0" w:firstLineChars="0"/>
              <w:jc w:val="center"/>
              <w:rPr>
                <w:rFonts w:ascii="Segoe UI" w:hAnsi="Segoe UI" w:eastAsia="Segoe UI" w:cs="Segoe UI"/>
                <w:b/>
                <w:color w:val="0F1115"/>
                <w:sz w:val="18"/>
                <w:szCs w:val="18"/>
              </w:rPr>
            </w:pPr>
            <w:r>
              <w:rPr>
                <w:rFonts w:ascii="Segoe UI" w:hAnsi="Segoe UI" w:eastAsia="Segoe UI" w:cs="Segoe UI"/>
                <w:b/>
                <w:sz w:val="18"/>
                <w:szCs w:val="18"/>
                <w:lang w:eastAsia="zh-CN"/>
              </w:rPr>
              <w:t>2025年目标</w:t>
            </w:r>
          </w:p>
        </w:tc>
        <w:tc>
          <w:tcPr>
            <w:tcW w:w="80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1D8281">
            <w:pPr>
              <w:snapToGrid w:val="0"/>
              <w:spacing w:line="240" w:lineRule="auto"/>
              <w:ind w:left="0" w:leftChars="0" w:right="0" w:rightChars="0" w:firstLine="0" w:firstLineChars="0"/>
              <w:jc w:val="center"/>
              <w:rPr>
                <w:rFonts w:ascii="Segoe UI" w:hAnsi="Segoe UI" w:eastAsia="Segoe UI" w:cs="Segoe UI"/>
                <w:b/>
                <w:color w:val="0F1115"/>
                <w:sz w:val="18"/>
                <w:szCs w:val="18"/>
              </w:rPr>
            </w:pPr>
            <w:r>
              <w:rPr>
                <w:rFonts w:ascii="Segoe UI" w:hAnsi="Segoe UI" w:eastAsia="Segoe UI" w:cs="Segoe UI"/>
                <w:b/>
                <w:sz w:val="18"/>
                <w:szCs w:val="18"/>
                <w:lang w:eastAsia="zh-CN"/>
              </w:rPr>
              <w:t>Q1实际</w:t>
            </w:r>
          </w:p>
        </w:tc>
        <w:tc>
          <w:tcPr>
            <w:tcW w:w="80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AFE21B">
            <w:pPr>
              <w:snapToGrid w:val="0"/>
              <w:spacing w:line="240" w:lineRule="auto"/>
              <w:ind w:left="0" w:leftChars="0" w:right="0" w:rightChars="0" w:firstLine="0" w:firstLineChars="0"/>
              <w:jc w:val="center"/>
              <w:rPr>
                <w:rFonts w:ascii="Segoe UI" w:hAnsi="Segoe UI" w:eastAsia="Segoe UI" w:cs="Segoe UI"/>
                <w:b/>
                <w:color w:val="0F1115"/>
                <w:sz w:val="18"/>
                <w:szCs w:val="18"/>
              </w:rPr>
            </w:pPr>
            <w:r>
              <w:rPr>
                <w:rFonts w:ascii="Segoe UI" w:hAnsi="Segoe UI" w:eastAsia="Segoe UI" w:cs="Segoe UI"/>
                <w:b/>
                <w:sz w:val="18"/>
                <w:szCs w:val="18"/>
                <w:lang w:eastAsia="zh-CN"/>
              </w:rPr>
              <w:t>Q2实际</w:t>
            </w:r>
          </w:p>
        </w:tc>
        <w:tc>
          <w:tcPr>
            <w:tcW w:w="77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DEFB1BD">
            <w:pPr>
              <w:snapToGrid w:val="0"/>
              <w:spacing w:line="240" w:lineRule="auto"/>
              <w:ind w:left="0" w:leftChars="0" w:right="0" w:rightChars="0" w:firstLine="0" w:firstLineChars="0"/>
              <w:jc w:val="center"/>
              <w:rPr>
                <w:rFonts w:ascii="Segoe UI" w:hAnsi="Segoe UI" w:eastAsia="Segoe UI" w:cs="Segoe UI"/>
                <w:b/>
                <w:color w:val="0F1115"/>
                <w:sz w:val="18"/>
                <w:szCs w:val="18"/>
              </w:rPr>
            </w:pPr>
            <w:r>
              <w:rPr>
                <w:rFonts w:ascii="Segoe UI" w:hAnsi="Segoe UI" w:eastAsia="Segoe UI" w:cs="Segoe UI"/>
                <w:b/>
                <w:sz w:val="18"/>
                <w:szCs w:val="18"/>
                <w:lang w:eastAsia="zh-CN"/>
              </w:rPr>
              <w:t>Q3实际</w:t>
            </w:r>
          </w:p>
        </w:tc>
        <w:tc>
          <w:tcPr>
            <w:tcW w:w="786"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AEC5E7">
            <w:pPr>
              <w:snapToGrid w:val="0"/>
              <w:spacing w:line="240" w:lineRule="auto"/>
              <w:ind w:left="0" w:leftChars="0" w:right="0" w:rightChars="0" w:firstLine="0" w:firstLineChars="0"/>
              <w:jc w:val="center"/>
              <w:rPr>
                <w:rFonts w:ascii="Segoe UI" w:hAnsi="Segoe UI" w:eastAsia="Segoe UI" w:cs="Segoe UI"/>
                <w:b/>
                <w:sz w:val="18"/>
                <w:szCs w:val="18"/>
                <w:lang w:eastAsia="zh-CN"/>
              </w:rPr>
            </w:pPr>
            <w:r>
              <w:rPr>
                <w:rFonts w:ascii="Segoe UI" w:hAnsi="Segoe UI" w:eastAsia="Segoe UI" w:cs="Segoe UI"/>
                <w:b/>
                <w:sz w:val="18"/>
                <w:szCs w:val="18"/>
                <w:lang w:eastAsia="zh-CN"/>
              </w:rPr>
              <w:t>Q</w:t>
            </w:r>
            <w:r>
              <w:rPr>
                <w:rFonts w:hint="eastAsia" w:ascii="Segoe UI" w:hAnsi="Segoe UI" w:eastAsia="Segoe UI" w:cs="Segoe UI"/>
                <w:b/>
                <w:sz w:val="18"/>
                <w:szCs w:val="18"/>
                <w:lang w:val="en-US" w:eastAsia="zh-CN"/>
              </w:rPr>
              <w:t>4</w:t>
            </w:r>
            <w:r>
              <w:rPr>
                <w:rFonts w:ascii="Segoe UI" w:hAnsi="Segoe UI" w:eastAsia="Segoe UI" w:cs="Segoe UI"/>
                <w:b/>
                <w:sz w:val="18"/>
                <w:szCs w:val="18"/>
                <w:lang w:eastAsia="zh-CN"/>
              </w:rPr>
              <w:t>实际</w:t>
            </w:r>
          </w:p>
        </w:tc>
        <w:tc>
          <w:tcPr>
            <w:tcW w:w="3674"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4DB414D">
            <w:pPr>
              <w:snapToGrid w:val="0"/>
              <w:spacing w:line="240" w:lineRule="auto"/>
              <w:ind w:left="0" w:leftChars="0" w:right="0" w:rightChars="0" w:firstLine="0" w:firstLineChars="0"/>
              <w:jc w:val="center"/>
              <w:rPr>
                <w:rFonts w:ascii="Segoe UI" w:hAnsi="Segoe UI" w:eastAsia="Segoe UI" w:cs="Segoe UI"/>
                <w:b/>
                <w:color w:val="0F1115"/>
                <w:sz w:val="18"/>
                <w:szCs w:val="18"/>
              </w:rPr>
            </w:pPr>
            <w:r>
              <w:rPr>
                <w:rFonts w:ascii="Segoe UI" w:hAnsi="Segoe UI" w:eastAsia="Segoe UI" w:cs="Segoe UI"/>
                <w:b/>
                <w:sz w:val="18"/>
                <w:szCs w:val="18"/>
                <w:lang w:eastAsia="zh-CN"/>
              </w:rPr>
              <w:t>趋势分析</w:t>
            </w:r>
          </w:p>
        </w:tc>
      </w:tr>
      <w:tr w14:paraId="70C6FF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FB4EA9D">
            <w:pPr>
              <w:snapToGrid w:val="0"/>
              <w:spacing w:line="240" w:lineRule="auto"/>
              <w:ind w:left="0" w:leftChars="0" w:right="0" w:rightChars="0" w:firstLine="0" w:firstLineChars="0"/>
              <w:jc w:val="center"/>
              <w:rPr>
                <w:rFonts w:ascii="Segoe UI" w:hAnsi="Segoe UI" w:eastAsia="Segoe UI" w:cs="Segoe UI"/>
                <w:color w:val="0F1115"/>
                <w:sz w:val="18"/>
                <w:szCs w:val="18"/>
              </w:rPr>
            </w:pPr>
            <w:r>
              <w:rPr>
                <w:rFonts w:ascii="Segoe UI" w:hAnsi="Segoe UI" w:eastAsia="Segoe UI" w:cs="Segoe UI"/>
                <w:color w:val="0F1115"/>
                <w:sz w:val="18"/>
                <w:szCs w:val="18"/>
                <w:lang w:eastAsia="zh-CN"/>
              </w:rPr>
              <w:t>数据准确性</w:t>
            </w:r>
          </w:p>
        </w:tc>
        <w:tc>
          <w:tcPr>
            <w:tcW w:w="15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3353D7">
            <w:pPr>
              <w:snapToGrid w:val="0"/>
              <w:spacing w:line="240" w:lineRule="auto"/>
              <w:ind w:left="0" w:leftChars="0" w:right="0" w:rightChars="0" w:firstLine="0" w:firstLineChars="0"/>
              <w:jc w:val="center"/>
              <w:rPr>
                <w:rFonts w:ascii="Segoe UI" w:hAnsi="Segoe UI" w:eastAsia="Segoe UI" w:cs="Segoe UI"/>
                <w:color w:val="0F1115"/>
                <w:sz w:val="18"/>
                <w:szCs w:val="18"/>
              </w:rPr>
            </w:pPr>
            <w:r>
              <w:rPr>
                <w:rFonts w:ascii="Segoe UI" w:hAnsi="Segoe UI" w:eastAsia="Segoe UI" w:cs="Segoe UI"/>
                <w:color w:val="0F1115"/>
                <w:sz w:val="18"/>
                <w:szCs w:val="18"/>
                <w:lang w:eastAsia="zh-CN"/>
              </w:rPr>
              <w:t>库存备件数据准确率</w:t>
            </w:r>
          </w:p>
        </w:tc>
        <w:tc>
          <w:tcPr>
            <w:tcW w:w="107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D8C164">
            <w:pPr>
              <w:snapToGrid w:val="0"/>
              <w:spacing w:line="240" w:lineRule="auto"/>
              <w:ind w:left="0" w:leftChars="0" w:right="0" w:rightChars="0" w:firstLine="0" w:firstLineChars="0"/>
              <w:jc w:val="left"/>
              <w:rPr>
                <w:rFonts w:ascii="Segoe UI" w:hAnsi="Segoe UI" w:eastAsia="Segoe UI" w:cs="Segoe UI"/>
                <w:color w:val="0F1115"/>
                <w:sz w:val="18"/>
                <w:szCs w:val="18"/>
              </w:rPr>
            </w:pPr>
            <w:r>
              <w:rPr>
                <w:rFonts w:ascii="Segoe UI" w:hAnsi="Segoe UI" w:eastAsia="Segoe UI" w:cs="Segoe UI"/>
                <w:sz w:val="18"/>
                <w:szCs w:val="18"/>
                <w:lang w:eastAsia="zh-CN"/>
              </w:rPr>
              <w:t>≥ 9</w:t>
            </w:r>
            <w:r>
              <w:rPr>
                <w:rFonts w:hint="eastAsia" w:ascii="Segoe UI" w:hAnsi="Segoe UI" w:eastAsia="Segoe UI" w:cs="Segoe UI"/>
                <w:sz w:val="18"/>
                <w:szCs w:val="18"/>
                <w:lang w:eastAsia="zh-CN"/>
              </w:rPr>
              <w:t>9</w:t>
            </w:r>
            <w:r>
              <w:rPr>
                <w:rFonts w:ascii="Segoe UI" w:hAnsi="Segoe UI" w:eastAsia="Segoe UI" w:cs="Segoe UI"/>
                <w:sz w:val="18"/>
                <w:szCs w:val="18"/>
                <w:lang w:eastAsia="zh-CN"/>
              </w:rPr>
              <w:t>%</w:t>
            </w:r>
          </w:p>
        </w:tc>
        <w:tc>
          <w:tcPr>
            <w:tcW w:w="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42C09B">
            <w:pPr>
              <w:snapToGrid w:val="0"/>
              <w:spacing w:line="240" w:lineRule="auto"/>
              <w:ind w:left="0" w:leftChars="0" w:right="0" w:rightChars="0" w:firstLine="0" w:firstLineChars="0"/>
              <w:jc w:val="right"/>
              <w:rPr>
                <w:rFonts w:ascii="Segoe UI" w:hAnsi="Segoe UI" w:eastAsia="Segoe UI" w:cs="Segoe UI"/>
                <w:color w:val="0F1115"/>
                <w:sz w:val="18"/>
                <w:szCs w:val="18"/>
              </w:rPr>
            </w:pPr>
            <w:r>
              <w:rPr>
                <w:rFonts w:ascii="Segoe UI" w:hAnsi="Segoe UI" w:eastAsia="Segoe UI" w:cs="Segoe UI"/>
                <w:sz w:val="18"/>
                <w:szCs w:val="18"/>
                <w:lang w:eastAsia="zh-CN"/>
              </w:rPr>
              <w:t>99%</w:t>
            </w:r>
          </w:p>
        </w:tc>
        <w:tc>
          <w:tcPr>
            <w:tcW w:w="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2ECDBB">
            <w:pPr>
              <w:snapToGrid w:val="0"/>
              <w:spacing w:line="240" w:lineRule="auto"/>
              <w:ind w:left="0" w:leftChars="0" w:right="0" w:rightChars="0" w:firstLine="0" w:firstLineChars="0"/>
              <w:jc w:val="right"/>
              <w:rPr>
                <w:rFonts w:ascii="Segoe UI" w:hAnsi="Segoe UI" w:eastAsia="Segoe UI" w:cs="Segoe UI"/>
                <w:color w:val="0F1115"/>
                <w:sz w:val="18"/>
                <w:szCs w:val="18"/>
              </w:rPr>
            </w:pPr>
            <w:r>
              <w:rPr>
                <w:rFonts w:ascii="Segoe UI" w:hAnsi="Segoe UI" w:eastAsia="Segoe UI" w:cs="Segoe UI"/>
                <w:sz w:val="18"/>
                <w:szCs w:val="18"/>
                <w:lang w:eastAsia="zh-CN"/>
              </w:rPr>
              <w:t>99%</w:t>
            </w:r>
          </w:p>
        </w:tc>
        <w:tc>
          <w:tcPr>
            <w:tcW w:w="77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79B1EA">
            <w:pPr>
              <w:snapToGrid w:val="0"/>
              <w:spacing w:line="240" w:lineRule="auto"/>
              <w:ind w:left="0" w:leftChars="0" w:right="0" w:rightChars="0" w:firstLine="0" w:firstLineChars="0"/>
              <w:jc w:val="right"/>
              <w:rPr>
                <w:rFonts w:ascii="Segoe UI" w:hAnsi="Segoe UI" w:eastAsia="Segoe UI" w:cs="Segoe UI"/>
                <w:color w:val="0F1115"/>
                <w:sz w:val="18"/>
                <w:szCs w:val="18"/>
              </w:rPr>
            </w:pPr>
            <w:r>
              <w:rPr>
                <w:rFonts w:ascii="Segoe UI" w:hAnsi="Segoe UI" w:eastAsia="Segoe UI" w:cs="Segoe UI"/>
                <w:sz w:val="18"/>
                <w:szCs w:val="18"/>
                <w:lang w:eastAsia="zh-CN"/>
              </w:rPr>
              <w:t>99%</w:t>
            </w:r>
          </w:p>
        </w:tc>
        <w:tc>
          <w:tcPr>
            <w:tcW w:w="786" w:type="dxa"/>
            <w:tcBorders>
              <w:top w:val="single" w:color="auto" w:sz="4" w:space="0"/>
              <w:left w:val="single" w:color="auto" w:sz="4" w:space="0"/>
              <w:bottom w:val="nil"/>
              <w:right w:val="nil"/>
            </w:tcBorders>
            <w:shd w:val="clear" w:color="auto" w:fill="auto"/>
            <w:noWrap w:val="0"/>
            <w:tcMar>
              <w:top w:w="120" w:type="dxa"/>
              <w:left w:w="192" w:type="dxa"/>
              <w:bottom w:w="120" w:type="dxa"/>
              <w:right w:w="-1" w:type="dxa"/>
            </w:tcMar>
            <w:vAlign w:val="center"/>
          </w:tcPr>
          <w:p w14:paraId="177BCA2E">
            <w:pPr>
              <w:snapToGrid w:val="0"/>
              <w:spacing w:line="240" w:lineRule="auto"/>
              <w:ind w:left="0" w:leftChars="0" w:right="0" w:rightChars="0" w:firstLine="0" w:firstLineChars="0"/>
              <w:jc w:val="right"/>
              <w:rPr>
                <w:rFonts w:ascii="Segoe UI" w:hAnsi="Segoe UI" w:eastAsia="Segoe UI" w:cs="Segoe UI"/>
                <w:snapToGrid w:val="0"/>
                <w:color w:val="0F1115"/>
                <w:sz w:val="18"/>
                <w:szCs w:val="18"/>
                <w:lang w:val="en-US" w:eastAsia="zh-CN" w:bidi="ar-SA"/>
              </w:rPr>
            </w:pPr>
            <w:r>
              <w:rPr>
                <w:rFonts w:ascii="Segoe UI" w:hAnsi="Segoe UI" w:eastAsia="Segoe UI" w:cs="Segoe UI"/>
                <w:sz w:val="18"/>
                <w:szCs w:val="18"/>
                <w:lang w:eastAsia="zh-CN"/>
              </w:rPr>
              <w:t>99%</w:t>
            </w:r>
          </w:p>
        </w:tc>
        <w:tc>
          <w:tcPr>
            <w:tcW w:w="367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0A90D3A">
            <w:pPr>
              <w:snapToGrid w:val="0"/>
              <w:spacing w:line="240" w:lineRule="auto"/>
              <w:ind w:left="0" w:leftChars="0" w:right="0" w:rightChars="0" w:firstLine="0" w:firstLineChars="0"/>
              <w:jc w:val="right"/>
              <w:rPr>
                <w:rFonts w:ascii="Segoe UI" w:hAnsi="Segoe UI" w:eastAsia="Segoe UI" w:cs="Segoe UI"/>
                <w:color w:val="0F1115"/>
                <w:sz w:val="18"/>
                <w:szCs w:val="18"/>
              </w:rPr>
            </w:pPr>
            <w:r>
              <w:rPr>
                <w:rStyle w:val="24"/>
                <w:rFonts w:ascii="Segoe UI" w:hAnsi="Segoe UI" w:eastAsia="Segoe UI" w:cs="Segoe UI"/>
                <w:bCs/>
                <w:sz w:val="18"/>
                <w:szCs w:val="18"/>
                <w:lang w:eastAsia="zh-CN"/>
              </w:rPr>
              <w:t>表现稳定卓越。</w:t>
            </w:r>
            <w:r>
              <w:rPr>
                <w:rFonts w:ascii="Segoe UI" w:hAnsi="Segoe UI" w:eastAsia="Segoe UI" w:cs="Segoe UI"/>
                <w:sz w:val="18"/>
                <w:szCs w:val="18"/>
                <w:lang w:eastAsia="zh-CN"/>
              </w:rPr>
              <w:t> 连续</w:t>
            </w:r>
            <w:r>
              <w:rPr>
                <w:rFonts w:hint="eastAsia" w:ascii="Segoe UI" w:hAnsi="Segoe UI" w:eastAsia="Segoe UI" w:cs="Segoe UI"/>
                <w:sz w:val="18"/>
                <w:szCs w:val="18"/>
                <w:lang w:eastAsia="zh-CN"/>
              </w:rPr>
              <w:t>四</w:t>
            </w:r>
            <w:r>
              <w:rPr>
                <w:rFonts w:ascii="Segoe UI" w:hAnsi="Segoe UI" w:eastAsia="Segoe UI" w:cs="Segoe UI"/>
                <w:sz w:val="18"/>
                <w:szCs w:val="18"/>
                <w:lang w:eastAsia="zh-CN"/>
              </w:rPr>
              <w:t>个季度维持99%的，表明物理管理与数字记录体系已高度融合，日常管控机制运行有效，为决策提供了极度可靠的数据支撑。</w:t>
            </w:r>
          </w:p>
        </w:tc>
      </w:tr>
      <w:tr w14:paraId="14269C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53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9FFD910">
            <w:pPr>
              <w:snapToGrid w:val="0"/>
              <w:spacing w:line="240" w:lineRule="auto"/>
              <w:ind w:left="0" w:leftChars="0" w:right="0" w:rightChars="0" w:firstLine="0" w:firstLineChars="0"/>
              <w:jc w:val="center"/>
              <w:rPr>
                <w:rFonts w:ascii="Segoe UI" w:hAnsi="Segoe UI" w:eastAsia="Segoe UI" w:cs="Segoe UI"/>
                <w:color w:val="0F1115"/>
                <w:sz w:val="18"/>
                <w:szCs w:val="18"/>
              </w:rPr>
            </w:pPr>
            <w:r>
              <w:rPr>
                <w:rFonts w:ascii="Segoe UI" w:hAnsi="Segoe UI" w:eastAsia="Segoe UI" w:cs="Segoe UI"/>
                <w:color w:val="0F1115"/>
                <w:sz w:val="18"/>
                <w:szCs w:val="18"/>
                <w:lang w:eastAsia="zh-CN"/>
              </w:rPr>
              <w:t>资源可用性</w:t>
            </w:r>
          </w:p>
        </w:tc>
        <w:tc>
          <w:tcPr>
            <w:tcW w:w="157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920A9D2">
            <w:pPr>
              <w:snapToGrid w:val="0"/>
              <w:spacing w:line="240" w:lineRule="auto"/>
              <w:ind w:left="0" w:leftChars="0" w:right="0" w:rightChars="0" w:firstLine="0" w:firstLineChars="0"/>
              <w:jc w:val="center"/>
              <w:rPr>
                <w:rFonts w:ascii="Segoe UI" w:hAnsi="Segoe UI" w:eastAsia="Segoe UI" w:cs="Segoe UI"/>
                <w:color w:val="0F1115"/>
                <w:sz w:val="18"/>
                <w:szCs w:val="18"/>
              </w:rPr>
            </w:pPr>
            <w:r>
              <w:rPr>
                <w:rFonts w:ascii="Segoe UI" w:hAnsi="Segoe UI" w:eastAsia="Segoe UI" w:cs="Segoe UI"/>
                <w:color w:val="0F1115"/>
                <w:sz w:val="18"/>
                <w:szCs w:val="18"/>
                <w:lang w:eastAsia="zh-CN"/>
              </w:rPr>
              <w:t>备件可用率</w:t>
            </w:r>
          </w:p>
        </w:tc>
        <w:tc>
          <w:tcPr>
            <w:tcW w:w="107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05F646A">
            <w:pPr>
              <w:snapToGrid w:val="0"/>
              <w:spacing w:line="240" w:lineRule="auto"/>
              <w:ind w:left="0" w:leftChars="0" w:right="0" w:rightChars="0" w:firstLine="0" w:firstLineChars="0"/>
              <w:jc w:val="left"/>
              <w:rPr>
                <w:rFonts w:ascii="Segoe UI" w:hAnsi="Segoe UI" w:eastAsia="Segoe UI" w:cs="Segoe UI"/>
                <w:color w:val="0F1115"/>
                <w:sz w:val="18"/>
                <w:szCs w:val="18"/>
              </w:rPr>
            </w:pPr>
            <w:r>
              <w:rPr>
                <w:rFonts w:ascii="Segoe UI" w:hAnsi="Segoe UI" w:eastAsia="Segoe UI" w:cs="Segoe UI"/>
                <w:sz w:val="18"/>
                <w:szCs w:val="18"/>
                <w:lang w:eastAsia="zh-CN"/>
              </w:rPr>
              <w:t>≥ 95%</w:t>
            </w:r>
          </w:p>
        </w:tc>
        <w:tc>
          <w:tcPr>
            <w:tcW w:w="80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84B5009">
            <w:pPr>
              <w:snapToGrid w:val="0"/>
              <w:spacing w:line="240" w:lineRule="auto"/>
              <w:ind w:left="0" w:leftChars="0" w:right="0" w:rightChars="0" w:firstLine="0" w:firstLineChars="0"/>
              <w:jc w:val="right"/>
              <w:rPr>
                <w:rFonts w:ascii="Segoe UI" w:hAnsi="Segoe UI" w:eastAsia="Segoe UI" w:cs="Segoe UI"/>
                <w:color w:val="0F1115"/>
                <w:sz w:val="18"/>
                <w:szCs w:val="18"/>
              </w:rPr>
            </w:pPr>
            <w:r>
              <w:rPr>
                <w:rFonts w:ascii="Segoe UI" w:hAnsi="Segoe UI" w:eastAsia="Segoe UI" w:cs="Segoe UI"/>
                <w:sz w:val="18"/>
                <w:szCs w:val="18"/>
                <w:lang w:eastAsia="zh-CN"/>
              </w:rPr>
              <w:t>96%</w:t>
            </w:r>
          </w:p>
        </w:tc>
        <w:tc>
          <w:tcPr>
            <w:tcW w:w="80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3CCEE38">
            <w:pPr>
              <w:snapToGrid w:val="0"/>
              <w:spacing w:line="240" w:lineRule="auto"/>
              <w:ind w:left="0" w:leftChars="0" w:right="0" w:rightChars="0" w:firstLine="0" w:firstLineChars="0"/>
              <w:jc w:val="right"/>
              <w:rPr>
                <w:rFonts w:ascii="Segoe UI" w:hAnsi="Segoe UI" w:eastAsia="Segoe UI" w:cs="Segoe UI"/>
                <w:color w:val="0F1115"/>
                <w:sz w:val="18"/>
                <w:szCs w:val="18"/>
              </w:rPr>
            </w:pPr>
            <w:r>
              <w:rPr>
                <w:rFonts w:ascii="Segoe UI" w:hAnsi="Segoe UI" w:eastAsia="Segoe UI" w:cs="Segoe UI"/>
                <w:sz w:val="18"/>
                <w:szCs w:val="18"/>
                <w:lang w:eastAsia="zh-CN"/>
              </w:rPr>
              <w:t>96%</w:t>
            </w:r>
          </w:p>
        </w:tc>
        <w:tc>
          <w:tcPr>
            <w:tcW w:w="77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4A786E0">
            <w:pPr>
              <w:snapToGrid w:val="0"/>
              <w:spacing w:line="240" w:lineRule="auto"/>
              <w:ind w:left="0" w:leftChars="0" w:right="0" w:rightChars="0" w:firstLine="0" w:firstLineChars="0"/>
              <w:jc w:val="right"/>
              <w:rPr>
                <w:rFonts w:ascii="Segoe UI" w:hAnsi="Segoe UI" w:eastAsia="Segoe UI" w:cs="Segoe UI"/>
                <w:color w:val="0F1115"/>
                <w:sz w:val="18"/>
                <w:szCs w:val="18"/>
              </w:rPr>
            </w:pPr>
            <w:r>
              <w:rPr>
                <w:rFonts w:ascii="Segoe UI" w:hAnsi="Segoe UI" w:eastAsia="Segoe UI" w:cs="Segoe UI"/>
                <w:sz w:val="18"/>
                <w:szCs w:val="18"/>
                <w:lang w:eastAsia="zh-CN"/>
              </w:rPr>
              <w:t>100%</w:t>
            </w:r>
          </w:p>
        </w:tc>
        <w:tc>
          <w:tcPr>
            <w:tcW w:w="786"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 w:type="dxa"/>
            </w:tcMar>
            <w:vAlign w:val="center"/>
          </w:tcPr>
          <w:p w14:paraId="0CB6F937">
            <w:pPr>
              <w:snapToGrid w:val="0"/>
              <w:spacing w:line="240" w:lineRule="auto"/>
              <w:ind w:left="0" w:leftChars="0" w:right="0" w:rightChars="0" w:firstLine="0" w:firstLineChars="0"/>
              <w:jc w:val="right"/>
              <w:rPr>
                <w:rFonts w:ascii="Segoe UI" w:hAnsi="Segoe UI" w:eastAsia="Segoe UI" w:cs="Segoe UI"/>
                <w:snapToGrid w:val="0"/>
                <w:color w:val="0F1115"/>
                <w:sz w:val="18"/>
                <w:szCs w:val="18"/>
                <w:lang w:val="en-US" w:eastAsia="zh-CN" w:bidi="ar-SA"/>
              </w:rPr>
            </w:pPr>
            <w:r>
              <w:rPr>
                <w:rFonts w:ascii="Segoe UI" w:hAnsi="Segoe UI" w:eastAsia="Segoe UI" w:cs="Segoe UI"/>
                <w:sz w:val="18"/>
                <w:szCs w:val="18"/>
                <w:lang w:eastAsia="zh-CN"/>
              </w:rPr>
              <w:t>100%</w:t>
            </w:r>
          </w:p>
        </w:tc>
        <w:tc>
          <w:tcPr>
            <w:tcW w:w="3674"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42830B7">
            <w:pPr>
              <w:snapToGrid w:val="0"/>
              <w:spacing w:line="240" w:lineRule="auto"/>
              <w:ind w:left="0" w:leftChars="0" w:right="0" w:rightChars="0" w:firstLine="0" w:firstLineChars="0"/>
              <w:jc w:val="right"/>
              <w:rPr>
                <w:rFonts w:ascii="Segoe UI" w:hAnsi="Segoe UI" w:eastAsia="Segoe UI" w:cs="Segoe UI"/>
                <w:color w:val="0F1115"/>
                <w:sz w:val="18"/>
                <w:szCs w:val="18"/>
              </w:rPr>
            </w:pPr>
            <w:r>
              <w:rPr>
                <w:rStyle w:val="24"/>
                <w:rFonts w:ascii="Segoe UI" w:hAnsi="Segoe UI" w:eastAsia="Segoe UI" w:cs="Segoe UI"/>
                <w:bCs/>
                <w:sz w:val="18"/>
                <w:szCs w:val="18"/>
                <w:lang w:eastAsia="zh-CN"/>
              </w:rPr>
              <w:t>呈现显著上升并超越目标的积极趋势。</w:t>
            </w:r>
            <w:r>
              <w:rPr>
                <w:rFonts w:ascii="Segoe UI" w:hAnsi="Segoe UI" w:eastAsia="Segoe UI" w:cs="Segoe UI"/>
                <w:sz w:val="18"/>
                <w:szCs w:val="18"/>
                <w:lang w:eastAsia="zh-CN"/>
              </w:rPr>
              <w:t> 前两季度稳定达标，第三</w:t>
            </w:r>
            <w:r>
              <w:rPr>
                <w:rFonts w:hint="eastAsia" w:ascii="Segoe UI" w:hAnsi="Segoe UI" w:eastAsia="Segoe UI" w:cs="Segoe UI"/>
                <w:sz w:val="18"/>
                <w:szCs w:val="18"/>
                <w:lang w:eastAsia="zh-CN"/>
              </w:rPr>
              <w:t>、四</w:t>
            </w:r>
            <w:r>
              <w:rPr>
                <w:rFonts w:ascii="Segoe UI" w:hAnsi="Segoe UI" w:eastAsia="Segoe UI" w:cs="Segoe UI"/>
                <w:sz w:val="18"/>
                <w:szCs w:val="18"/>
                <w:lang w:eastAsia="zh-CN"/>
              </w:rPr>
              <w:t>季度实现100%的突破，直接反映了供应商管理优化、入库检测强化及在库保养措施的综合成效。可用率的提升直接转化为运维服务中断风险的降低。</w:t>
            </w:r>
          </w:p>
        </w:tc>
      </w:tr>
    </w:tbl>
    <w:p w14:paraId="3A0B44D3">
      <w:pPr>
        <w:pStyle w:val="28"/>
        <w:ind w:firstLine="480"/>
      </w:pPr>
      <w:r>
        <w:t>指标联动价值体现：</w:t>
      </w:r>
    </w:p>
    <w:p w14:paraId="3A47BD9B">
      <w:pPr>
        <w:pStyle w:val="28"/>
        <w:ind w:firstLine="480"/>
      </w:pPr>
      <w:r>
        <w:t>高准确率（99%） 是达成和提升高可用率（100%） 的前提。精准的库存数据避免了“有账无物”的紧急缺料风险，使得备件支持计划得以可靠执行。</w:t>
      </w:r>
    </w:p>
    <w:p w14:paraId="2E6253DE">
      <w:pPr>
        <w:pStyle w:val="28"/>
        <w:ind w:firstLine="480"/>
      </w:pPr>
      <w:r>
        <w:t>可用率的持续提升反向验证了管理措施的有效性，并进一步降低了因等待备件而产生的MTTR（平均修复时间），有力支撑了项目整体SLA的达成。</w:t>
      </w:r>
    </w:p>
    <w:p w14:paraId="540A459C">
      <w:pPr>
        <w:pStyle w:val="27"/>
      </w:pPr>
      <w:bookmarkStart w:id="9" w:name="_Toc10145"/>
      <w:r>
        <w:t>对核心运维项目的支撑成效</w:t>
      </w:r>
      <w:bookmarkEnd w:id="9"/>
    </w:p>
    <w:p w14:paraId="75AE44C7">
      <w:pPr>
        <w:pStyle w:val="28"/>
        <w:ind w:firstLine="480"/>
        <w:rPr>
          <w:rFonts w:ascii="Arial" w:hAnsi="Arial" w:eastAsia="宋体" w:cs="Arial"/>
        </w:rPr>
      </w:pPr>
      <w:r>
        <w:rPr>
          <w:rFonts w:ascii="Arial" w:hAnsi="Arial" w:eastAsia="宋体" w:cs="Arial"/>
        </w:rPr>
        <w:t>以“淮安生态新城信息系统运维服务项目”为例，本年度优化的备件管理体系发挥了关键支撑作用：</w:t>
      </w:r>
    </w:p>
    <w:p w14:paraId="49D3129D">
      <w:pPr>
        <w:pStyle w:val="28"/>
        <w:ind w:firstLine="480"/>
      </w:pPr>
      <w:r>
        <w:rPr>
          <w:rFonts w:ascii="Arial" w:hAnsi="Arial" w:eastAsia="宋体" w:cs="Arial"/>
        </w:rPr>
        <w:t>快速响应保障： 针对医院自助终端、支付网关等关键设备，建立了专属的关键备件储备清单。当发生硬件故障时，能确保在S</w:t>
      </w:r>
      <w:r>
        <w:t>LA约定的时间内（通常为2-4小时）完成备件调配与现场更换，极大缩短了服务中断时长。</w:t>
      </w:r>
    </w:p>
    <w:p w14:paraId="3F324879">
      <w:pPr>
        <w:pStyle w:val="28"/>
        <w:ind w:firstLine="480"/>
      </w:pPr>
      <w:r>
        <w:t>成本有效控制： 通过科学的采购计划和供应商协同，在保障可用性的同时，避免了该项目上不必要的备件冗余积压，实现了服务保障与成本控制的平衡。</w:t>
      </w:r>
    </w:p>
    <w:p w14:paraId="1FB64500">
      <w:pPr>
        <w:pStyle w:val="28"/>
        <w:ind w:firstLine="480"/>
      </w:pPr>
      <w:r>
        <w:t>风险主动预防： 基于备件消耗数据的分析，能够预测某些易损部件的故障周期，从而在故障高发期前提前补充库存，变被动维修为主动预防。</w:t>
      </w:r>
    </w:p>
    <w:p w14:paraId="41B6C995">
      <w:pPr>
        <w:pStyle w:val="27"/>
      </w:pPr>
      <w:bookmarkStart w:id="10" w:name="_Toc7869"/>
      <w:r>
        <w:t>持续改进与未来规划</w:t>
      </w:r>
      <w:bookmarkEnd w:id="10"/>
    </w:p>
    <w:p w14:paraId="7172F15D">
      <w:pPr>
        <w:pStyle w:val="28"/>
        <w:ind w:firstLine="480"/>
      </w:pPr>
      <w:r>
        <w:t>尽管当前取得了显著成效，公司仍致力于备件管理体系的持续精进：</w:t>
      </w:r>
    </w:p>
    <w:p w14:paraId="4492A134">
      <w:pPr>
        <w:pStyle w:val="28"/>
        <w:ind w:firstLine="480"/>
      </w:pPr>
      <w:r>
        <w:t>智能化升级探索：计划在2026年试点引入RFID或二维码技术，实现备件出入库的自动感知与数据采集，进一步提升盘点效率和准确性。</w:t>
      </w:r>
    </w:p>
    <w:p w14:paraId="4E254015">
      <w:pPr>
        <w:pStyle w:val="28"/>
        <w:ind w:firstLine="480"/>
      </w:pPr>
      <w:r>
        <w:rPr>
          <w:rFonts w:hint="eastAsia"/>
          <w:lang w:val="en-US" w:eastAsia="zh-CN"/>
        </w:rPr>
        <w:t>预测性维护</w:t>
      </w:r>
      <w:r>
        <w:t>集成：探索将设备监控数据与备件库存系统联动，基于设备健康状态预测备件需求，实现更精准的备件预测性采购。</w:t>
      </w:r>
    </w:p>
    <w:p w14:paraId="15505A3F">
      <w:pPr>
        <w:pStyle w:val="28"/>
        <w:ind w:firstLine="480"/>
      </w:pPr>
      <w:r>
        <w:t>跨项目资源调剂平台建设： 研究建立公司级备件资源虚拟池，在合规前提下实现不同运维项目间备件的快速调剂与共享，提升整体资源利用效率。</w:t>
      </w:r>
    </w:p>
    <w:p w14:paraId="127D4E76">
      <w:pPr>
        <w:pStyle w:val="27"/>
      </w:pPr>
      <w:bookmarkStart w:id="11" w:name="_Toc26479"/>
      <w:r>
        <w:t>结论</w:t>
      </w:r>
      <w:bookmarkEnd w:id="11"/>
    </w:p>
    <w:p w14:paraId="1C09192C">
      <w:pPr>
        <w:pStyle w:val="28"/>
        <w:ind w:firstLine="480"/>
        <w:rPr>
          <w:rFonts w:ascii="宋体" w:hAnsi="宋体" w:cs="宋体"/>
          <w:szCs w:val="28"/>
        </w:rPr>
      </w:pPr>
      <w:r>
        <w:t>截至2025年</w:t>
      </w:r>
      <w:r>
        <w:rPr>
          <w:rFonts w:hint="eastAsia"/>
        </w:rPr>
        <w:t>12月</w:t>
      </w:r>
      <w:r>
        <w:t>，公司已成功构建了一套制度完善、流程规范、数据精准、响应高效的现代备品备件管理体系。核心绩效指标——库存数据准确率稳定于99%，备件可用率强势提升至100%——不仅全面达成并超越了既定管理目标，更从实质上转化为对客户运维服务，尤其是对“智慧银医”等关键项目的强大支持能力。这标志着公司的运维服务保障已从“人力依赖”迈入“体系保障”的新阶段，为业务的可持续增长与客户满意度的持续提升奠定了坚实的物资基础。</w:t>
      </w:r>
    </w:p>
    <w:sectPr>
      <w:headerReference r:id="rId7" w:type="default"/>
      <w:footerReference r:id="rId8" w:type="default"/>
      <w:pgSz w:w="11906" w:h="16839"/>
      <w:pgMar w:top="1246" w:right="1050" w:bottom="1375" w:left="1050" w:header="1231" w:footer="98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A4149">
    <w:pPr>
      <w:spacing w:before="177" w:line="209" w:lineRule="auto"/>
      <w:ind w:left="4057"/>
      <w:rPr>
        <w:rFonts w:ascii="宋体" w:hAnsi="宋体" w:cs="宋体"/>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CB63A">
    <w:pPr>
      <w:tabs>
        <w:tab w:val="center" w:pos="4903"/>
      </w:tabs>
      <w:spacing w:before="177" w:line="209" w:lineRule="auto"/>
      <w:ind w:left="4057"/>
      <w:rPr>
        <w:rFonts w:ascii="宋体" w:hAnsi="宋体" w:cs="宋体"/>
        <w:sz w:val="18"/>
        <w:szCs w:val="18"/>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0D691">
    <w:pPr>
      <w:pStyle w:val="12"/>
      <w:spacing w:line="52" w:lineRule="auto"/>
      <w:rPr>
        <w:sz w:val="2"/>
      </w:rPr>
    </w:pPr>
    <w:r>
      <w:pict>
        <v:shape id="_x0000_s4097" o:spid="_x0000_s4097" style="position:absolute;left:0pt;margin-left:52.55pt;margin-top:61.9pt;height:0pt;width:490.2pt;mso-position-horizontal-relative:page;mso-position-vertical-relative:page;z-index:251659264;mso-width-relative:page;mso-height-relative:page;" filled="f" coordsize="9805,15" o:allowincell="f" path="m0,0l9805,0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51153">
    <w:pPr>
      <w:pStyle w:val="12"/>
      <w:pBdr>
        <w:bottom w:val="none" w:color="auto" w:sz="0" w:space="0"/>
      </w:pBdr>
      <w:spacing w:line="52"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hdrShapeDefaults>
    <o:shapelayout v:ext="edit">
      <o:idmap v:ext="edit" data="1,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2"/>
  </w:compat>
  <w:rsids>
    <w:rsidRoot w:val="005E7BB5"/>
    <w:rsid w:val="000116AF"/>
    <w:rsid w:val="00475EB2"/>
    <w:rsid w:val="005E7BB5"/>
    <w:rsid w:val="00B56D09"/>
    <w:rsid w:val="00B736B0"/>
    <w:rsid w:val="00BF2D69"/>
    <w:rsid w:val="0192326E"/>
    <w:rsid w:val="116E0688"/>
    <w:rsid w:val="28BD7C51"/>
    <w:rsid w:val="30D20571"/>
    <w:rsid w:val="3281026A"/>
    <w:rsid w:val="3D95265F"/>
    <w:rsid w:val="47770852"/>
    <w:rsid w:val="4B9504F3"/>
    <w:rsid w:val="4D0478AD"/>
    <w:rsid w:val="583E43A5"/>
    <w:rsid w:val="5DD46E27"/>
    <w:rsid w:val="5ED52E57"/>
    <w:rsid w:val="624B188D"/>
    <w:rsid w:val="6EFF5CCE"/>
    <w:rsid w:val="79AE4579"/>
    <w:rsid w:val="7B784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line="413" w:lineRule="auto"/>
      <w:outlineLvl w:val="2"/>
    </w:pPr>
    <w:rPr>
      <w:b/>
      <w:sz w:val="32"/>
    </w:rPr>
  </w:style>
  <w:style w:type="paragraph" w:styleId="5">
    <w:name w:val="heading 4"/>
    <w:basedOn w:val="1"/>
    <w:next w:val="1"/>
    <w:unhideWhenUsed/>
    <w:qFormat/>
    <w:uiPriority w:val="0"/>
    <w:pPr>
      <w:keepNext/>
      <w:keepLines/>
      <w:numPr>
        <w:ilvl w:val="3"/>
        <w:numId w:val="1"/>
      </w:numPr>
      <w:spacing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line="317" w:lineRule="auto"/>
      <w:outlineLvl w:val="8"/>
    </w:pPr>
    <w:rPr>
      <w:rFonts w:eastAsia="黑体"/>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Balloon Text"/>
    <w:basedOn w:val="1"/>
    <w:link w:val="44"/>
    <w:uiPriority w:val="0"/>
    <w:pPr>
      <w:spacing w:line="240" w:lineRule="auto"/>
    </w:pPr>
    <w:rPr>
      <w:sz w:val="18"/>
      <w:szCs w:val="18"/>
    </w:rPr>
  </w:style>
  <w:style w:type="paragraph" w:styleId="15">
    <w:name w:val="footer"/>
    <w:basedOn w:val="1"/>
    <w:qFormat/>
    <w:uiPriority w:val="0"/>
    <w:pPr>
      <w:tabs>
        <w:tab w:val="center" w:pos="4153"/>
        <w:tab w:val="right" w:pos="8306"/>
      </w:tabs>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7">
    <w:name w:val="toc 1"/>
    <w:basedOn w:val="1"/>
    <w:next w:val="1"/>
    <w:qFormat/>
    <w:uiPriority w:val="0"/>
    <w:rPr>
      <w:rFonts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jc w:val="center"/>
      <w:outlineLvl w:val="0"/>
    </w:pPr>
    <w:rPr>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cs="宋体"/>
    </w:rPr>
  </w:style>
  <w:style w:type="paragraph" w:customStyle="1" w:styleId="27">
    <w:name w:val="柴_标题1"/>
    <w:basedOn w:val="2"/>
    <w:next w:val="28"/>
    <w:link w:val="39"/>
    <w:qFormat/>
    <w:uiPriority w:val="0"/>
    <w:pPr>
      <w:spacing w:before="100" w:after="90" w:line="360" w:lineRule="auto"/>
    </w:pPr>
    <w:rPr>
      <w:sz w:val="32"/>
    </w:rPr>
  </w:style>
  <w:style w:type="paragraph" w:customStyle="1" w:styleId="28">
    <w:name w:val="柴_正文"/>
    <w:basedOn w:val="12"/>
    <w:link w:val="43"/>
    <w:qFormat/>
    <w:uiPriority w:val="0"/>
    <w:pPr>
      <w:ind w:firstLine="470" w:firstLineChars="200"/>
    </w:pPr>
    <w:rPr>
      <w:rFonts w:eastAsia="宋体"/>
      <w:sz w:val="24"/>
      <w:lang w:eastAsia="zh-CN"/>
    </w:rPr>
  </w:style>
  <w:style w:type="paragraph" w:customStyle="1" w:styleId="29">
    <w:name w:val="柴_标题2"/>
    <w:basedOn w:val="3"/>
    <w:next w:val="28"/>
    <w:qFormat/>
    <w:uiPriority w:val="0"/>
    <w:pPr>
      <w:spacing w:line="360" w:lineRule="auto"/>
    </w:pPr>
    <w:rPr>
      <w:rFonts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cs="宋体"/>
      <w:spacing w:val="-2"/>
      <w:sz w:val="24"/>
      <w:szCs w:val="24"/>
    </w:rPr>
  </w:style>
  <w:style w:type="paragraph" w:customStyle="1" w:styleId="31">
    <w:name w:val="柴_目录"/>
    <w:basedOn w:val="1"/>
    <w:next w:val="12"/>
    <w:qFormat/>
    <w:uiPriority w:val="0"/>
    <w:pPr>
      <w:tabs>
        <w:tab w:val="right" w:leader="dot" w:pos="8442"/>
      </w:tabs>
    </w:pPr>
    <w:rPr>
      <w:rFonts w:eastAsia="Microsoft JhengHei"/>
      <w:sz w:val="24"/>
    </w:rPr>
  </w:style>
  <w:style w:type="paragraph" w:customStyle="1" w:styleId="32">
    <w:name w:val="柴_公司名"/>
    <w:basedOn w:val="20"/>
    <w:qFormat/>
    <w:uiPriority w:val="0"/>
    <w:pPr>
      <w:spacing w:afterLines="600"/>
    </w:pPr>
    <w:rPr>
      <w:rFonts w:hint="eastAsia" w:ascii="宋体" w:hAnsi="宋体" w:cs="宋体"/>
      <w:bCs/>
      <w:spacing w:val="-6"/>
      <w:sz w:val="52"/>
      <w:szCs w:val="52"/>
    </w:rPr>
  </w:style>
  <w:style w:type="paragraph" w:customStyle="1" w:styleId="33">
    <w:name w:val="柴_文档名"/>
    <w:basedOn w:val="20"/>
    <w:qFormat/>
    <w:uiPriority w:val="0"/>
    <w:pPr>
      <w:spacing w:afterLines="900"/>
    </w:pPr>
    <w:rPr>
      <w:rFonts w:ascii="黑体" w:hAnsi="黑体" w:eastAsia="黑体" w:cs="黑体"/>
      <w:bCs/>
      <w:spacing w:val="-7"/>
      <w:sz w:val="52"/>
      <w:szCs w:val="52"/>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rPr>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8"/>
    <w:qFormat/>
    <w:uiPriority w:val="0"/>
    <w:rPr>
      <w:rFonts w:ascii="Arial" w:hAnsi="Arial" w:eastAsia="宋体"/>
      <w:sz w:val="24"/>
      <w:lang w:eastAsia="zh-CN"/>
    </w:rPr>
  </w:style>
  <w:style w:type="character" w:customStyle="1" w:styleId="44">
    <w:name w:val="批注框文本 Char"/>
    <w:basedOn w:val="23"/>
    <w:link w:val="14"/>
    <w:uiPriority w:val="0"/>
    <w:rPr>
      <w:rFonts w:ascii="Arial" w:hAnsi="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2268</Words>
  <Characters>2373</Characters>
  <Lines>19</Lines>
  <Paragraphs>5</Paragraphs>
  <TotalTime>3</TotalTime>
  <ScaleCrop>false</ScaleCrop>
  <LinksUpToDate>false</LinksUpToDate>
  <CharactersWithSpaces>2552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2025-08-19T16:25:00Z</dcterms:created>
  <dc:creator>吕阳</dc:creator>
  <cp:lastModifiedBy>郝宇</cp:lastModifiedBy>
  <dcterms:modified xsi:type="dcterms:W3CDTF">2026-04-27T15:10:04Z</dcterms:modified>
  <dc:title>国核信息科技有限公司企业标准</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2025-08-21T23:15:44Z</vt:filetime>
  </property>
  <property fmtid="{D5CDD505-2E9C-101B-9397-08002B2CF9AE}" pid="3" name="CRO">
    <vt:lpwstr>wqlLaW5nc29mdCBQREYgdG8gV1BTIDExNQ</vt:lpwstr>
  </property>
  <property fmtid="{D5CDD505-2E9C-101B-9397-08002B2CF9AE}" pid="4" name="ICV">
    <vt:lpwstr>9D61F20197F4464A9A6640375146DF2F_12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