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9125B">
      <w:pPr>
        <w:pStyle w:val="27"/>
        <w:bidi w:val="0"/>
        <w:rPr>
          <w:rFonts w:hint="eastAsia"/>
          <w:lang w:val="en-US" w:eastAsia="zh-CN"/>
        </w:rPr>
      </w:pPr>
    </w:p>
    <w:p w14:paraId="7A4D3B53">
      <w:pPr>
        <w:pStyle w:val="27"/>
        <w:bidi w:val="0"/>
        <w:rPr>
          <w:rFonts w:hint="default"/>
          <w:lang w:val="en-US" w:eastAsia="zh-CN"/>
        </w:rPr>
      </w:pPr>
      <w:bookmarkStart w:id="0" w:name="_Toc30236"/>
      <w:r>
        <w:rPr>
          <w:rFonts w:hint="eastAsia"/>
          <w:lang w:val="en-US" w:eastAsia="zh-CN"/>
        </w:rPr>
        <w:t>淮安生态新城信息系统运维服务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交付方案</w:t>
      </w:r>
      <w:bookmarkEnd w:id="0"/>
    </w:p>
    <w:p w14:paraId="7CA40A32">
      <w:pPr>
        <w:bidi w:val="0"/>
      </w:pPr>
    </w:p>
    <w:p w14:paraId="4E72C1C0">
      <w:pPr>
        <w:pStyle w:val="28"/>
        <w:bidi w:val="0"/>
      </w:pPr>
      <w:bookmarkStart w:id="1" w:name="_Toc12304"/>
      <w:r>
        <w:t>江苏云储智能科技有限公司</w:t>
      </w:r>
      <w:bookmarkEnd w:id="1"/>
    </w:p>
    <w:p w14:paraId="0525B09F">
      <w:pPr>
        <w:spacing w:before="275"/>
        <w:ind w:left="3285"/>
        <w:rPr>
          <w:rFonts w:hint="default" w:ascii="宋体" w:hAnsi="宋体" w:eastAsia="宋体" w:cs="宋体"/>
          <w:spacing w:val="-2"/>
          <w:sz w:val="36"/>
          <w:szCs w:val="36"/>
          <w:lang w:val="en-US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8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15</w:t>
      </w:r>
    </w:p>
    <w:p w14:paraId="34B5ACF3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652FF0D0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7401"/>
      <w:bookmarkStart w:id="3" w:name="_Toc20414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  <w:bookmarkEnd w:id="3"/>
    </w:p>
    <w:p w14:paraId="24C0DF8F">
      <w:pPr>
        <w:spacing w:line="16" w:lineRule="exact"/>
      </w:pPr>
    </w:p>
    <w:tbl>
      <w:tblPr>
        <w:tblStyle w:val="25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2E2E83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57409FC5">
            <w:pPr>
              <w:pStyle w:val="26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1A0DC2AF">
            <w:pPr>
              <w:pStyle w:val="26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项目交付方案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XMSSFA</w:t>
            </w:r>
            <w:r>
              <w:rPr>
                <w:spacing w:val="-1"/>
              </w:rPr>
              <w:t>）</w:t>
            </w:r>
          </w:p>
        </w:tc>
      </w:tr>
      <w:tr w14:paraId="069E0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2819749">
            <w:pPr>
              <w:pStyle w:val="26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67810460">
            <w:pPr>
              <w:pStyle w:val="26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6110D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4D373F50">
            <w:pPr>
              <w:pStyle w:val="26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6FABC65">
            <w:pPr>
              <w:pStyle w:val="26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0CA7AE46">
            <w:pPr>
              <w:pStyle w:val="26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7C0CC75E">
            <w:pPr>
              <w:pStyle w:val="26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2053ADDB">
            <w:pPr>
              <w:pStyle w:val="26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061CC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A3E5668">
            <w:pPr>
              <w:pStyle w:val="26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398F5D86">
            <w:pPr>
              <w:pStyle w:val="26"/>
              <w:spacing w:before="163"/>
              <w:ind w:left="3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8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15</w:t>
            </w:r>
          </w:p>
        </w:tc>
        <w:tc>
          <w:tcPr>
            <w:tcW w:w="1906" w:type="dxa"/>
          </w:tcPr>
          <w:p w14:paraId="3EFBB1C7">
            <w:pPr>
              <w:pStyle w:val="26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116DC75D">
            <w:pPr>
              <w:pStyle w:val="26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王朋</w:t>
            </w:r>
          </w:p>
        </w:tc>
        <w:tc>
          <w:tcPr>
            <w:tcW w:w="1608" w:type="dxa"/>
          </w:tcPr>
          <w:p w14:paraId="27915BB9">
            <w:pPr>
              <w:pStyle w:val="26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 w14:paraId="7E4DD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FD4618C">
            <w:pPr>
              <w:pStyle w:val="26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64D435FE">
            <w:pPr>
              <w:pStyle w:val="26"/>
              <w:spacing w:before="164"/>
              <w:ind w:left="361"/>
            </w:pPr>
          </w:p>
        </w:tc>
        <w:tc>
          <w:tcPr>
            <w:tcW w:w="1906" w:type="dxa"/>
          </w:tcPr>
          <w:p w14:paraId="3F2B671A">
            <w:pPr>
              <w:pStyle w:val="26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38F6A88B">
            <w:pPr>
              <w:pStyle w:val="26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70BC38CE">
            <w:pPr>
              <w:pStyle w:val="26"/>
              <w:spacing w:before="134" w:line="220" w:lineRule="auto"/>
              <w:ind w:left="672"/>
            </w:pPr>
          </w:p>
        </w:tc>
      </w:tr>
      <w:tr w14:paraId="31952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23F97DF">
            <w:pPr>
              <w:pStyle w:val="26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713D6201">
            <w:pPr>
              <w:pStyle w:val="26"/>
              <w:spacing w:before="165"/>
              <w:ind w:left="361"/>
            </w:pPr>
          </w:p>
        </w:tc>
        <w:tc>
          <w:tcPr>
            <w:tcW w:w="1906" w:type="dxa"/>
          </w:tcPr>
          <w:p w14:paraId="1CE633FA">
            <w:pPr>
              <w:pStyle w:val="26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52F7D18A">
            <w:pPr>
              <w:pStyle w:val="26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2A9031B9">
            <w:pPr>
              <w:pStyle w:val="26"/>
              <w:spacing w:before="135" w:line="220" w:lineRule="auto"/>
              <w:ind w:left="672"/>
            </w:pPr>
          </w:p>
        </w:tc>
      </w:tr>
      <w:tr w14:paraId="70DDA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0CBCD0F">
            <w:pPr>
              <w:pStyle w:val="26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4D9BC1E5">
            <w:pPr>
              <w:pStyle w:val="26"/>
              <w:spacing w:before="166"/>
              <w:ind w:left="361"/>
            </w:pPr>
          </w:p>
        </w:tc>
        <w:tc>
          <w:tcPr>
            <w:tcW w:w="1906" w:type="dxa"/>
          </w:tcPr>
          <w:p w14:paraId="1E920E27">
            <w:pPr>
              <w:pStyle w:val="26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5498F05B">
            <w:pPr>
              <w:pStyle w:val="26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79E4E01B">
            <w:pPr>
              <w:pStyle w:val="26"/>
              <w:spacing w:before="136" w:line="220" w:lineRule="auto"/>
              <w:ind w:left="672"/>
            </w:pPr>
          </w:p>
        </w:tc>
      </w:tr>
      <w:tr w14:paraId="29AFC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0033F740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6F04281A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7F6DE8A0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5BE1BDB9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5B9A46D0">
            <w:pPr>
              <w:rPr>
                <w:rFonts w:ascii="Arial"/>
                <w:sz w:val="21"/>
              </w:rPr>
            </w:pPr>
          </w:p>
        </w:tc>
      </w:tr>
    </w:tbl>
    <w:p w14:paraId="010CAF74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</w:p>
    <w:p w14:paraId="6619A73E">
      <w:pPr>
        <w:pStyle w:val="12"/>
        <w:spacing w:line="244" w:lineRule="auto"/>
      </w:pPr>
    </w:p>
    <w:p w14:paraId="354B5D60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4A6F25D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8A9ECDB">
          <w:pPr>
            <w:pStyle w:val="16"/>
            <w:tabs>
              <w:tab w:val="right" w:leader="dot" w:pos="8336"/>
            </w:tabs>
          </w:pPr>
          <w:bookmarkStart w:id="79" w:name="_GoBack"/>
          <w:bookmarkEnd w:id="79"/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_Toc30236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淮安生态新城信息系统运维服务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交付方案</w:t>
          </w:r>
          <w:r>
            <w:tab/>
          </w:r>
          <w:r>
            <w:fldChar w:fldCharType="begin"/>
          </w:r>
          <w:r>
            <w:instrText xml:space="preserve"> PAGEREF _Toc30236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40E11E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_Toc12304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_Toc12304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A4CC2CE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_Toc20414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_Toc20414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9D1D9CD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_Toc20999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_Toc20999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982731C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_Toc2402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_Toc2402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7D4FCA3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_Toc16923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_Toc16923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BA5732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_Toc28486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服务范围</w:t>
          </w:r>
          <w:r>
            <w:tab/>
          </w:r>
          <w:r>
            <w:fldChar w:fldCharType="begin"/>
          </w:r>
          <w:r>
            <w:instrText xml:space="preserve"> PAGEREF _Toc28486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0F666E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_Toc18103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服务期限与地点</w:t>
          </w:r>
          <w:r>
            <w:tab/>
          </w:r>
          <w:r>
            <w:fldChar w:fldCharType="begin"/>
          </w:r>
          <w:r>
            <w:instrText xml:space="preserve"> PAGEREF _Toc18103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4C62E30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_Toc13500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服务策略与原则</w:t>
          </w:r>
          <w:r>
            <w:tab/>
          </w:r>
          <w:r>
            <w:fldChar w:fldCharType="begin"/>
          </w:r>
          <w:r>
            <w:instrText xml:space="preserve"> PAGEREF _Toc13500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9FD6BE0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_Toc6676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服务策略</w:t>
          </w:r>
          <w:r>
            <w:tab/>
          </w:r>
          <w:r>
            <w:fldChar w:fldCharType="begin"/>
          </w:r>
          <w:r>
            <w:instrText xml:space="preserve"> PAGEREF _Toc6676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475C59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_Toc30343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服务原则</w:t>
          </w:r>
          <w:r>
            <w:tab/>
          </w:r>
          <w:r>
            <w:fldChar w:fldCharType="begin"/>
          </w:r>
          <w:r>
            <w:instrText xml:space="preserve"> PAGEREF _Toc30343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FC78174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_Toc11180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服务内容与承诺</w:t>
          </w:r>
          <w:r>
            <w:tab/>
          </w:r>
          <w:r>
            <w:fldChar w:fldCharType="begin"/>
          </w:r>
          <w:r>
            <w:instrText xml:space="preserve"> PAGEREF _Toc11180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7359F0C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_Toc7410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服务内容</w:t>
          </w:r>
          <w:r>
            <w:tab/>
          </w:r>
          <w:r>
            <w:fldChar w:fldCharType="begin"/>
          </w:r>
          <w:r>
            <w:instrText xml:space="preserve"> PAGEREF _Toc7410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892C13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_Toc1649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服务级别承诺</w:t>
          </w:r>
          <w:r>
            <w:tab/>
          </w:r>
          <w:r>
            <w:fldChar w:fldCharType="begin"/>
          </w:r>
          <w:r>
            <w:instrText xml:space="preserve"> PAGEREF _Toc1649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F566B7D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_Toc946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服务团队与资源配置</w:t>
          </w:r>
          <w:r>
            <w:tab/>
          </w:r>
          <w:r>
            <w:fldChar w:fldCharType="begin"/>
          </w:r>
          <w:r>
            <w:instrText xml:space="preserve"> PAGEREF _Toc946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7511C9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_Toc18853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项目团队</w:t>
          </w:r>
          <w:r>
            <w:tab/>
          </w:r>
          <w:r>
            <w:fldChar w:fldCharType="begin"/>
          </w:r>
          <w:r>
            <w:instrText xml:space="preserve"> PAGEREF _Toc18853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DB3081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_Toc15834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人员保障</w:t>
          </w:r>
          <w:r>
            <w:tab/>
          </w:r>
          <w:r>
            <w:fldChar w:fldCharType="begin"/>
          </w:r>
          <w:r>
            <w:instrText xml:space="preserve"> PAGEREF _Toc15834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EC6D0C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_Toc20866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备件保障</w:t>
          </w:r>
          <w:r>
            <w:tab/>
          </w:r>
          <w:r>
            <w:fldChar w:fldCharType="begin"/>
          </w:r>
          <w:r>
            <w:instrText xml:space="preserve"> PAGEREF _Toc20866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51AB3F5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_Toc15973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交付实施路径</w:t>
          </w:r>
          <w:r>
            <w:tab/>
          </w:r>
          <w:r>
            <w:fldChar w:fldCharType="begin"/>
          </w:r>
          <w:r>
            <w:instrText xml:space="preserve"> PAGEREF _Toc15973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C07245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_Toc22037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交付阶段划分</w:t>
          </w:r>
          <w:r>
            <w:tab/>
          </w:r>
          <w:r>
            <w:fldChar w:fldCharType="begin"/>
          </w:r>
          <w:r>
            <w:instrText xml:space="preserve"> PAGEREF _Toc22037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BFBBD2A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_Toc12840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核心服务流程</w:t>
          </w:r>
          <w:r>
            <w:tab/>
          </w:r>
          <w:r>
            <w:fldChar w:fldCharType="begin"/>
          </w:r>
          <w:r>
            <w:instrText xml:space="preserve"> PAGEREF _Toc12840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35F33E0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_Toc14839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交付物清单</w:t>
          </w:r>
          <w:r>
            <w:tab/>
          </w:r>
          <w:r>
            <w:fldChar w:fldCharType="begin"/>
          </w:r>
          <w:r>
            <w:instrText xml:space="preserve"> PAGEREF _Toc14839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6DD6AB5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_Toc32290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质量管理</w:t>
          </w:r>
          <w:r>
            <w:tab/>
          </w:r>
          <w:r>
            <w:fldChar w:fldCharType="begin"/>
          </w:r>
          <w:r>
            <w:instrText xml:space="preserve"> PAGEREF _Toc32290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AA4EC41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_Toc20425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质量目标</w:t>
          </w:r>
          <w:r>
            <w:tab/>
          </w:r>
          <w:r>
            <w:fldChar w:fldCharType="begin"/>
          </w:r>
          <w:r>
            <w:instrText xml:space="preserve"> PAGEREF _Toc20425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2888B1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_Toc11656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质量监控措施</w:t>
          </w:r>
          <w:r>
            <w:tab/>
          </w:r>
          <w:r>
            <w:fldChar w:fldCharType="begin"/>
          </w:r>
          <w:r>
            <w:instrText xml:space="preserve"> PAGEREF _Toc11656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2A4F230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_Toc21667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改进机制</w:t>
          </w:r>
          <w:r>
            <w:tab/>
          </w:r>
          <w:r>
            <w:fldChar w:fldCharType="begin"/>
          </w:r>
          <w:r>
            <w:instrText xml:space="preserve"> PAGEREF _Toc21667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0BDE49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_Toc13569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沟通与报告</w:t>
          </w:r>
          <w:r>
            <w:tab/>
          </w:r>
          <w:r>
            <w:fldChar w:fldCharType="begin"/>
          </w:r>
          <w:r>
            <w:instrText xml:space="preserve"> PAGEREF _Toc13569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1B4C528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_Toc3788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沟通机制</w:t>
          </w:r>
          <w:r>
            <w:tab/>
          </w:r>
          <w:r>
            <w:fldChar w:fldCharType="begin"/>
          </w:r>
          <w:r>
            <w:instrText xml:space="preserve"> PAGEREF _Toc3788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329712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_Toc23786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报告体系</w:t>
          </w:r>
          <w:r>
            <w:tab/>
          </w:r>
          <w:r>
            <w:fldChar w:fldCharType="begin"/>
          </w:r>
          <w:r>
            <w:instrText xml:space="preserve"> PAGEREF _Toc23786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C0B08EA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_Toc15231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应急保障</w:t>
          </w:r>
          <w:r>
            <w:tab/>
          </w:r>
          <w:r>
            <w:fldChar w:fldCharType="begin"/>
          </w:r>
          <w:r>
            <w:instrText xml:space="preserve"> PAGEREF _Toc15231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A412BE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_Toc29345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应急组织</w:t>
          </w:r>
          <w:r>
            <w:tab/>
          </w:r>
          <w:r>
            <w:fldChar w:fldCharType="begin"/>
          </w:r>
          <w:r>
            <w:instrText xml:space="preserve"> PAGEREF _Toc29345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ACC7C7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_Toc2952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应急预案</w:t>
          </w:r>
          <w:r>
            <w:tab/>
          </w:r>
          <w:r>
            <w:fldChar w:fldCharType="begin"/>
          </w:r>
          <w:r>
            <w:instrText xml:space="preserve"> PAGEREF _Toc2952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9FB676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_Toc8477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应急演练</w:t>
          </w:r>
          <w:r>
            <w:tab/>
          </w:r>
          <w:r>
            <w:fldChar w:fldCharType="begin"/>
          </w:r>
          <w:r>
            <w:instrText xml:space="preserve"> PAGEREF _Toc8477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4FA3CDD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_Toc11762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风险控制</w:t>
          </w:r>
          <w:r>
            <w:tab/>
          </w:r>
          <w:r>
            <w:fldChar w:fldCharType="begin"/>
          </w:r>
          <w:r>
            <w:instrText xml:space="preserve"> PAGEREF _Toc11762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581C4D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_Toc4964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_Toc4964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77C16C7">
          <w:pPr>
            <w:spacing w:line="228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7B9AA583">
      <w:pPr>
        <w:spacing w:line="228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42D49412">
      <w:pPr>
        <w:pStyle w:val="29"/>
        <w:bidi w:val="0"/>
      </w:pPr>
      <w:bookmarkStart w:id="4" w:name="bookmark11"/>
      <w:bookmarkEnd w:id="4"/>
      <w:bookmarkStart w:id="5" w:name="heading_0"/>
      <w:bookmarkStart w:id="6" w:name="_Toc20999"/>
      <w:r>
        <w:t>项目概述</w:t>
      </w:r>
      <w:bookmarkEnd w:id="5"/>
      <w:bookmarkEnd w:id="6"/>
    </w:p>
    <w:p w14:paraId="3B4BB81E">
      <w:pPr>
        <w:pStyle w:val="31"/>
        <w:bidi w:val="0"/>
      </w:pPr>
      <w:bookmarkStart w:id="7" w:name="heading_1"/>
      <w:bookmarkStart w:id="8" w:name="_Toc2402"/>
      <w:r>
        <w:t>项目背景</w:t>
      </w:r>
      <w:bookmarkEnd w:id="7"/>
      <w:bookmarkEnd w:id="8"/>
    </w:p>
    <w:p w14:paraId="1CBA3A18">
      <w:pPr>
        <w:pStyle w:val="30"/>
        <w:bidi w:val="0"/>
      </w:pPr>
      <w:r>
        <w:t>根据双方签订的《运维服务合同书》，江苏云储智能科技有限公司（乙方）为淮安生态文化旅游区财政局（甲方）提供机房硬件维保服务。为确保项目顺利实施，保障甲方信息系统安全稳定运行，特制定本方案。</w:t>
      </w:r>
    </w:p>
    <w:p w14:paraId="25DD115B">
      <w:pPr>
        <w:pStyle w:val="31"/>
        <w:bidi w:val="0"/>
      </w:pPr>
      <w:bookmarkStart w:id="9" w:name="heading_2"/>
      <w:bookmarkStart w:id="10" w:name="_Toc16923"/>
      <w:r>
        <w:t>项目目标</w:t>
      </w:r>
      <w:bookmarkEnd w:id="9"/>
      <w:bookmarkEnd w:id="10"/>
    </w:p>
    <w:p w14:paraId="253C4DD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保障甲方机房硬件设备的稳定运行，设备可用性达到合同约定标准；</w:t>
      </w:r>
    </w:p>
    <w:p w14:paraId="17C7BC8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建立规范的运维服务体系，确保服务响应及时、问题处理高效；</w:t>
      </w:r>
    </w:p>
    <w:p w14:paraId="4CF2064C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通过定期巡检和预防性维护，提前发现并消除隐患；</w:t>
      </w:r>
    </w:p>
    <w:p w14:paraId="1D5ECB5B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提升甲方信息化系统的整体可靠性和连续性。</w:t>
      </w:r>
    </w:p>
    <w:p w14:paraId="7D2C7BD9">
      <w:pPr>
        <w:pStyle w:val="31"/>
        <w:bidi w:val="0"/>
      </w:pPr>
      <w:bookmarkStart w:id="11" w:name="heading_3"/>
      <w:bookmarkStart w:id="12" w:name="_Toc28486"/>
      <w:r>
        <w:t>服务范围</w:t>
      </w:r>
      <w:bookmarkEnd w:id="11"/>
      <w:bookmarkEnd w:id="12"/>
    </w:p>
    <w:p w14:paraId="0A347F72">
      <w:pPr>
        <w:pStyle w:val="30"/>
        <w:bidi w:val="0"/>
      </w:pPr>
      <w:r>
        <w:t>服务对象为合同附件一《维保设备清单》所列设备，包括：H3C数通路由器1台、H3C核心交换机1台、华三汇聚交换机2台、华为楼层汇聚交换机1台、浪潮一体化服务器1台、联想用友财务服务器1台、浪潮数据回流服务器1台，共计7台设备。</w:t>
      </w:r>
    </w:p>
    <w:p w14:paraId="6B616FC5">
      <w:pPr>
        <w:pStyle w:val="31"/>
        <w:bidi w:val="0"/>
      </w:pPr>
      <w:bookmarkStart w:id="13" w:name="heading_4"/>
      <w:bookmarkStart w:id="14" w:name="_Toc18103"/>
      <w:r>
        <w:t>服务期限与地点</w:t>
      </w:r>
      <w:bookmarkEnd w:id="13"/>
      <w:bookmarkEnd w:id="14"/>
    </w:p>
    <w:p w14:paraId="1A4E5D5F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服务期限：2025年8月15日至2026年8月14日</w:t>
      </w:r>
    </w:p>
    <w:p w14:paraId="5BAEDB71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服务地点：淮安生态文旅区财政局</w:t>
      </w:r>
    </w:p>
    <w:p w14:paraId="15EF7F5C">
      <w:pPr>
        <w:pStyle w:val="29"/>
        <w:bidi w:val="0"/>
      </w:pPr>
      <w:bookmarkStart w:id="15" w:name="heading_5"/>
      <w:bookmarkStart w:id="16" w:name="_Toc13500"/>
      <w:r>
        <w:t>服务策略与原则</w:t>
      </w:r>
      <w:bookmarkEnd w:id="15"/>
      <w:bookmarkEnd w:id="16"/>
    </w:p>
    <w:p w14:paraId="02C9423B">
      <w:pPr>
        <w:pStyle w:val="31"/>
        <w:bidi w:val="0"/>
      </w:pPr>
      <w:bookmarkStart w:id="17" w:name="heading_6"/>
      <w:bookmarkStart w:id="18" w:name="_Toc6676"/>
      <w:r>
        <w:t>服务策略</w:t>
      </w:r>
      <w:bookmarkEnd w:id="17"/>
      <w:bookmarkEnd w:id="18"/>
    </w:p>
    <w:p w14:paraId="169F091D">
      <w:pPr>
        <w:pStyle w:val="30"/>
        <w:bidi w:val="0"/>
      </w:pPr>
      <w:r>
        <w:t>本项目采用“主动预防为主、快速响应为辅”的服务策略。通过定期巡检提前发现潜在问题，减少突发故障；同时建立快速响应机制，确保故障发生时能够及时处理。</w:t>
      </w:r>
    </w:p>
    <w:p w14:paraId="0726B8D3">
      <w:pPr>
        <w:pStyle w:val="31"/>
        <w:bidi w:val="0"/>
      </w:pPr>
      <w:bookmarkStart w:id="19" w:name="heading_7"/>
      <w:bookmarkStart w:id="20" w:name="_Toc30343"/>
      <w:r>
        <w:t>服务原则</w:t>
      </w:r>
      <w:bookmarkEnd w:id="19"/>
      <w:bookmarkEnd w:id="20"/>
    </w:p>
    <w:p w14:paraId="17B14F99">
      <w:pPr>
        <w:pStyle w:val="41"/>
        <w:numPr>
          <w:ilvl w:val="0"/>
          <w:numId w:val="4"/>
        </w:numPr>
        <w:bidi w:val="0"/>
      </w:pPr>
      <w:r>
        <w:t>规范原则：所有服务活动严格按照公司运维服务交付规范执行，确保过程可追溯、结果可衡量。</w:t>
      </w:r>
    </w:p>
    <w:p w14:paraId="44110EC3">
      <w:pPr>
        <w:pStyle w:val="41"/>
        <w:numPr>
          <w:ilvl w:val="0"/>
          <w:numId w:val="4"/>
        </w:numPr>
        <w:bidi w:val="0"/>
      </w:pPr>
      <w:r>
        <w:t>主动原则：变被动维修为主动巡检，定期评估设备健康状态，提前消除隐患。</w:t>
      </w:r>
    </w:p>
    <w:p w14:paraId="32045AF7">
      <w:pPr>
        <w:pStyle w:val="41"/>
        <w:numPr>
          <w:ilvl w:val="0"/>
          <w:numId w:val="4"/>
        </w:numPr>
        <w:bidi w:val="0"/>
      </w:pPr>
      <w:r>
        <w:t>闭环原则：从问题发现、处理到验证、总结，形成完整闭环，持续改进服务质量。</w:t>
      </w:r>
    </w:p>
    <w:p w14:paraId="721572CC">
      <w:pPr>
        <w:pStyle w:val="41"/>
        <w:numPr>
          <w:ilvl w:val="0"/>
          <w:numId w:val="4"/>
        </w:numPr>
        <w:bidi w:val="0"/>
      </w:pPr>
      <w:r>
        <w:t>透明原则：定期向甲方提供服务报告，确保服务过程透明、结果可见。</w:t>
      </w:r>
    </w:p>
    <w:p w14:paraId="3E2B3F1E">
      <w:pPr>
        <w:pStyle w:val="29"/>
        <w:bidi w:val="0"/>
      </w:pPr>
      <w:bookmarkStart w:id="21" w:name="heading_8"/>
      <w:bookmarkStart w:id="22" w:name="_Toc11180"/>
      <w:r>
        <w:t>服务内容与承诺</w:t>
      </w:r>
      <w:bookmarkEnd w:id="21"/>
      <w:bookmarkEnd w:id="22"/>
    </w:p>
    <w:p w14:paraId="6A0EF8B3">
      <w:pPr>
        <w:pStyle w:val="31"/>
        <w:bidi w:val="0"/>
      </w:pPr>
      <w:bookmarkStart w:id="23" w:name="heading_9"/>
      <w:bookmarkStart w:id="24" w:name="_Toc7410"/>
      <w:r>
        <w:t>服务内容</w:t>
      </w:r>
      <w:bookmarkEnd w:id="23"/>
      <w:bookmarkEnd w:id="24"/>
    </w:p>
    <w:p w14:paraId="7AE294BB">
      <w:pPr>
        <w:pStyle w:val="30"/>
        <w:bidi w:val="0"/>
      </w:pPr>
      <w:r>
        <w:t>本项目主要提供以下五类服务：</w:t>
      </w:r>
    </w:p>
    <w:p w14:paraId="3223CEFD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bookmarkStart w:id="25" w:name="heading_10"/>
      <w:r>
        <w:t>定期巡检</w:t>
      </w:r>
      <w:bookmarkEnd w:id="25"/>
    </w:p>
    <w:p w14:paraId="67AFF808">
      <w:pPr>
        <w:pStyle w:val="30"/>
        <w:bidi w:val="0"/>
      </w:pPr>
      <w:r>
        <w:t>每月对清单内设备进行一次现场巡检，检查内容包括设备运行状态、配置完整性、日志分析等。每次巡检出具《月巡检记录报告》，加盖乙方公章。</w:t>
      </w:r>
    </w:p>
    <w:p w14:paraId="3CA36DF3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bookmarkStart w:id="26" w:name="heading_11"/>
      <w:r>
        <w:t>故障响应</w:t>
      </w:r>
      <w:bookmarkEnd w:id="26"/>
    </w:p>
    <w:p w14:paraId="28D88DA6">
      <w:pPr>
        <w:pStyle w:val="30"/>
        <w:bidi w:val="0"/>
      </w:pPr>
      <w:r>
        <w:t>建立分级响应机制。关键故障（导致系统中断）30分钟内电话响应，4小时内工程师到场；一般故障（性能下降）2小时内响应，8小时内到场。故障处理后出具《故障处理报告》。</w:t>
      </w:r>
    </w:p>
    <w:p w14:paraId="792F0401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bookmarkStart w:id="27" w:name="heading_12"/>
      <w:r>
        <w:t>硬件更换</w:t>
      </w:r>
      <w:bookmarkEnd w:id="27"/>
    </w:p>
    <w:p w14:paraId="42922C40">
      <w:pPr>
        <w:pStyle w:val="30"/>
        <w:bidi w:val="0"/>
      </w:pPr>
      <w:r>
        <w:t>《维保设备清单》所列设备如出现硬件损坏，由乙方提供备件进行更换并完成调试，确保设备恢复正常运行。</w:t>
      </w:r>
    </w:p>
    <w:p w14:paraId="17935795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bookmarkStart w:id="28" w:name="heading_13"/>
      <w:r>
        <w:t>配置备份</w:t>
      </w:r>
      <w:bookmarkEnd w:id="28"/>
    </w:p>
    <w:p w14:paraId="18677470">
      <w:pPr>
        <w:pStyle w:val="30"/>
        <w:bidi w:val="0"/>
      </w:pPr>
      <w:r>
        <w:t>每月对设备配置进行备份，确保故障后可快速恢复。配置变更后48小时内更新备份。</w:t>
      </w:r>
    </w:p>
    <w:p w14:paraId="40470508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bookmarkStart w:id="29" w:name="heading_14"/>
      <w:r>
        <w:t>服务报告</w:t>
      </w:r>
      <w:bookmarkEnd w:id="29"/>
    </w:p>
    <w:p w14:paraId="644DB5E1">
      <w:pPr>
        <w:pStyle w:val="30"/>
        <w:bidi w:val="0"/>
      </w:pPr>
      <w:r>
        <w:t>按月度、季度、年度定期输出服务报告，向甲方汇报服务情况、指标达成及改进建议。</w:t>
      </w:r>
    </w:p>
    <w:p w14:paraId="4E76D214">
      <w:pPr>
        <w:pStyle w:val="31"/>
        <w:bidi w:val="0"/>
      </w:pPr>
      <w:bookmarkStart w:id="30" w:name="heading_15"/>
      <w:bookmarkStart w:id="31" w:name="_Toc1649"/>
      <w:r>
        <w:t>服务级别承诺</w:t>
      </w:r>
      <w:bookmarkEnd w:id="30"/>
      <w:bookmarkEnd w:id="31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9"/>
        <w:gridCol w:w="2084"/>
        <w:gridCol w:w="2040"/>
        <w:gridCol w:w="2086"/>
      </w:tblGrid>
      <w:tr w14:paraId="58BC21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2E7A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故障级别</w:t>
            </w:r>
          </w:p>
        </w:tc>
        <w:tc>
          <w:tcPr>
            <w:tcW w:w="20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202F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响应时限</w:t>
            </w:r>
          </w:p>
        </w:tc>
        <w:tc>
          <w:tcPr>
            <w:tcW w:w="2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78BC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到场时限</w:t>
            </w:r>
          </w:p>
        </w:tc>
        <w:tc>
          <w:tcPr>
            <w:tcW w:w="20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9FF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解决时限</w:t>
            </w:r>
          </w:p>
        </w:tc>
      </w:tr>
      <w:tr w14:paraId="560A6E4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414E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关键故障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FD92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30分钟内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8CA5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4小时内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8923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8小时内</w:t>
            </w:r>
          </w:p>
        </w:tc>
      </w:tr>
      <w:tr w14:paraId="53509BD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C02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一般故障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BF19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2小时内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7512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8小时内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7BD4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24小时内</w:t>
            </w:r>
          </w:p>
        </w:tc>
      </w:tr>
    </w:tbl>
    <w:p w14:paraId="23D70E82">
      <w:pPr>
        <w:pStyle w:val="30"/>
        <w:bidi w:val="0"/>
      </w:pPr>
      <w:r>
        <w:t>核心网络设备可用性目标≥99.9%，服务器设备可用性目标≥99.5%。服务时间为5×8小时，关键故障7×24小时响应。</w:t>
      </w:r>
    </w:p>
    <w:p w14:paraId="2E03AB13">
      <w:pPr>
        <w:pStyle w:val="29"/>
        <w:bidi w:val="0"/>
      </w:pPr>
      <w:bookmarkStart w:id="32" w:name="heading_16"/>
      <w:bookmarkStart w:id="33" w:name="_Toc946"/>
      <w:r>
        <w:t>服务团队与资源配置</w:t>
      </w:r>
      <w:bookmarkEnd w:id="32"/>
      <w:bookmarkEnd w:id="33"/>
    </w:p>
    <w:p w14:paraId="39317101">
      <w:pPr>
        <w:pStyle w:val="31"/>
        <w:bidi w:val="0"/>
      </w:pPr>
      <w:bookmarkStart w:id="34" w:name="heading_17"/>
      <w:bookmarkStart w:id="35" w:name="_Toc18853"/>
      <w:r>
        <w:t>项目团队</w:t>
      </w:r>
      <w:bookmarkEnd w:id="34"/>
      <w:bookmarkEnd w:id="35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5"/>
        <w:gridCol w:w="838"/>
        <w:gridCol w:w="5726"/>
      </w:tblGrid>
      <w:tr w14:paraId="2F8C65F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E3B39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8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C245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57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8A59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6F9345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AF1C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3FEB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  <w:tc>
          <w:tcPr>
            <w:tcW w:w="5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09A1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全面负责项目交付，协调资源，监督服务质量</w:t>
            </w:r>
          </w:p>
        </w:tc>
      </w:tr>
      <w:tr w14:paraId="5F14E69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5B93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D11B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李伟</w:t>
            </w:r>
          </w:p>
        </w:tc>
        <w:tc>
          <w:tcPr>
            <w:tcW w:w="5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8810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负责现场巡检、故障处理、设备维护</w:t>
            </w:r>
          </w:p>
        </w:tc>
      </w:tr>
      <w:tr w14:paraId="0BE92FC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875C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网络工程师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C4CD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张强</w:t>
            </w:r>
          </w:p>
        </w:tc>
        <w:tc>
          <w:tcPr>
            <w:tcW w:w="5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49F8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负责网络设备配置、故障排查</w:t>
            </w:r>
          </w:p>
        </w:tc>
      </w:tr>
      <w:tr w14:paraId="278741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23AE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373A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徐丽</w:t>
            </w:r>
          </w:p>
        </w:tc>
        <w:tc>
          <w:tcPr>
            <w:tcW w:w="5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92C2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接收服务请求、跟踪进度、客户回访</w:t>
            </w:r>
          </w:p>
        </w:tc>
      </w:tr>
      <w:tr w14:paraId="2DE4C7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505F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9274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李强</w:t>
            </w:r>
          </w:p>
        </w:tc>
        <w:tc>
          <w:tcPr>
            <w:tcW w:w="57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C0A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负责备件管理、紧急调拨</w:t>
            </w:r>
          </w:p>
        </w:tc>
      </w:tr>
    </w:tbl>
    <w:p w14:paraId="0DE4E14E">
      <w:pPr>
        <w:pStyle w:val="31"/>
        <w:bidi w:val="0"/>
      </w:pPr>
      <w:bookmarkStart w:id="36" w:name="heading_18"/>
      <w:bookmarkStart w:id="37" w:name="_Toc15834"/>
      <w:r>
        <w:t>人员保障</w:t>
      </w:r>
      <w:bookmarkEnd w:id="36"/>
      <w:bookmarkEnd w:id="37"/>
    </w:p>
    <w:p w14:paraId="35A6F06B">
      <w:pPr>
        <w:pStyle w:val="30"/>
        <w:bidi w:val="0"/>
      </w:pPr>
      <w:r>
        <w:t>关键岗位（项目负责人、运维工程师）设有AB角备份，当A岗因休假、培训等原因不在岗时，由B岗代理其职责，确保服务不中断。所有服务人员均签署保密协议。</w:t>
      </w:r>
    </w:p>
    <w:p w14:paraId="0BDCB350">
      <w:pPr>
        <w:pStyle w:val="31"/>
        <w:bidi w:val="0"/>
      </w:pPr>
      <w:bookmarkStart w:id="38" w:name="heading_19"/>
      <w:bookmarkStart w:id="39" w:name="_Toc20866"/>
      <w:r>
        <w:t>备件保障</w:t>
      </w:r>
      <w:bookmarkEnd w:id="38"/>
      <w:bookmarkEnd w:id="39"/>
    </w:p>
    <w:p w14:paraId="3FCBDBE0">
      <w:pPr>
        <w:pStyle w:val="30"/>
        <w:bidi w:val="0"/>
      </w:pPr>
      <w:r>
        <w:t>针对本项目设备特点，已建立备件储备清单，关键备件（电源模块、硬盘、内存、光纤模块等）在中心库储备，确保紧急情况下4小时内可调拨到位。备件库每季度盘点一次，保证账实相符。</w:t>
      </w:r>
    </w:p>
    <w:p w14:paraId="6345A863">
      <w:pPr>
        <w:pStyle w:val="29"/>
        <w:bidi w:val="0"/>
      </w:pPr>
      <w:bookmarkStart w:id="40" w:name="heading_20"/>
      <w:bookmarkStart w:id="41" w:name="_Toc15973"/>
      <w:r>
        <w:t>交付实施路径</w:t>
      </w:r>
      <w:bookmarkEnd w:id="40"/>
      <w:bookmarkEnd w:id="41"/>
    </w:p>
    <w:p w14:paraId="231F8933">
      <w:pPr>
        <w:pStyle w:val="31"/>
        <w:bidi w:val="0"/>
      </w:pPr>
      <w:bookmarkStart w:id="42" w:name="heading_21"/>
      <w:bookmarkStart w:id="43" w:name="_Toc22037"/>
      <w:r>
        <w:t>交付阶段划分</w:t>
      </w:r>
      <w:bookmarkEnd w:id="42"/>
      <w:bookmarkEnd w:id="43"/>
    </w:p>
    <w:p w14:paraId="7B3B4500">
      <w:pPr>
        <w:pStyle w:val="30"/>
        <w:bidi w:val="0"/>
      </w:pPr>
      <w:r>
        <w:t>本项目交付分为三个阶段：</w:t>
      </w:r>
    </w:p>
    <w:p w14:paraId="1FF9548B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bookmarkStart w:id="44" w:name="heading_22"/>
      <w:r>
        <w:t>第一阶段：启动准备（合同签订后7日内）</w:t>
      </w:r>
      <w:bookmarkEnd w:id="44"/>
    </w:p>
    <w:p w14:paraId="25EB42F2">
      <w:pPr>
        <w:pStyle w:val="30"/>
        <w:bidi w:val="0"/>
      </w:pPr>
      <w:r>
        <w:t>完成项目团队组建，与甲方确认接口人，制定巡检计划和应急预案，建立服务台沟通渠道。</w:t>
      </w:r>
    </w:p>
    <w:p w14:paraId="431A77D4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bookmarkStart w:id="45" w:name="heading_23"/>
      <w:r>
        <w:t>第二阶段：持续运营（服务期内）</w:t>
      </w:r>
      <w:bookmarkEnd w:id="45"/>
    </w:p>
    <w:p w14:paraId="2F31FD6B">
      <w:pPr>
        <w:pStyle w:val="30"/>
        <w:bidi w:val="0"/>
      </w:pPr>
      <w:r>
        <w:t>按计划执行月度巡检、故障响应、配置备份等日常工作，定期输出服务报告，持续改进服务质量。</w:t>
      </w:r>
    </w:p>
    <w:p w14:paraId="670F1587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bookmarkStart w:id="46" w:name="heading_24"/>
      <w:r>
        <w:t>第三阶段：收尾总结（合同到期前15日内）</w:t>
      </w:r>
      <w:bookmarkEnd w:id="46"/>
    </w:p>
    <w:p w14:paraId="41EE355C">
      <w:pPr>
        <w:pStyle w:val="30"/>
        <w:bidi w:val="0"/>
      </w:pPr>
      <w:r>
        <w:t>整理全年服务记录，编制年度运维总结报告，向甲方汇报服务成果，完成项目交接。</w:t>
      </w:r>
    </w:p>
    <w:p w14:paraId="2E65A57D">
      <w:pPr>
        <w:pStyle w:val="31"/>
        <w:bidi w:val="0"/>
      </w:pPr>
      <w:bookmarkStart w:id="47" w:name="heading_25"/>
      <w:bookmarkStart w:id="48" w:name="_Toc12840"/>
      <w:r>
        <w:t>核心服务流程</w:t>
      </w:r>
      <w:bookmarkEnd w:id="47"/>
      <w:bookmarkEnd w:id="48"/>
    </w:p>
    <w:p w14:paraId="618CE1F2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bookmarkStart w:id="49" w:name="heading_26"/>
      <w:r>
        <w:t>巡检流程</w:t>
      </w:r>
      <w:bookmarkEnd w:id="49"/>
    </w:p>
    <w:p w14:paraId="2D158F38">
      <w:pPr>
        <w:pStyle w:val="30"/>
        <w:bidi w:val="0"/>
      </w:pPr>
      <w:r>
        <w:t>每月提前与甲方确认巡检时间，工程师到场后按巡检清单逐项检查设备状态，记录发现的问题，出具巡检报告，对发现的问题提出处理建议。</w:t>
      </w:r>
    </w:p>
    <w:p w14:paraId="786CEDAA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bookmarkStart w:id="50" w:name="heading_27"/>
      <w:r>
        <w:t>故障处理流程</w:t>
      </w:r>
      <w:bookmarkEnd w:id="50"/>
    </w:p>
    <w:p w14:paraId="26928119">
      <w:pPr>
        <w:pStyle w:val="30"/>
        <w:bidi w:val="0"/>
      </w:pPr>
      <w:r>
        <w:t>服务台接收故障申报后，记录事件信息并判断故障级别。关键故障30分钟内响应并派工程师，4小时内到场；一般故障2小时内响应。工程师到场后排査诊断，硬件故障更换备件，软件/配置故障现场调试恢复。解决后经甲方确认关闭事件，必要时将处理经验录入知识库。</w:t>
      </w:r>
    </w:p>
    <w:p w14:paraId="48E7840B">
      <w:pPr>
        <w:pStyle w:val="31"/>
        <w:bidi w:val="0"/>
      </w:pPr>
      <w:bookmarkStart w:id="51" w:name="heading_28"/>
      <w:bookmarkStart w:id="52" w:name="_Toc14839"/>
      <w:r>
        <w:t>交付物清单</w:t>
      </w:r>
      <w:bookmarkEnd w:id="51"/>
      <w:bookmarkEnd w:id="52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6"/>
        <w:gridCol w:w="3519"/>
        <w:gridCol w:w="3564"/>
      </w:tblGrid>
      <w:tr w14:paraId="3632CA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37E2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35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AEC8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5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E94C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交付时间</w:t>
            </w:r>
          </w:p>
        </w:tc>
      </w:tr>
      <w:tr w14:paraId="765D32E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4AF9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启动</w:t>
            </w:r>
          </w:p>
        </w:tc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7FA7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运维服务交付方案</w:t>
            </w:r>
          </w:p>
        </w:tc>
        <w:tc>
          <w:tcPr>
            <w:tcW w:w="3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962A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合同签订后7日内</w:t>
            </w:r>
          </w:p>
        </w:tc>
      </w:tr>
      <w:tr w14:paraId="4CCE6F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8DFB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运营</w:t>
            </w:r>
          </w:p>
        </w:tc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D2BC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月巡检记录报告</w:t>
            </w:r>
          </w:p>
        </w:tc>
        <w:tc>
          <w:tcPr>
            <w:tcW w:w="3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4B3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次月5日前</w:t>
            </w:r>
          </w:p>
        </w:tc>
      </w:tr>
      <w:tr w14:paraId="3F430D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CF61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运营</w:t>
            </w:r>
          </w:p>
        </w:tc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524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故障处理报告</w:t>
            </w:r>
          </w:p>
        </w:tc>
        <w:tc>
          <w:tcPr>
            <w:tcW w:w="3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7878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故障处理后3日内</w:t>
            </w:r>
          </w:p>
        </w:tc>
      </w:tr>
      <w:tr w14:paraId="7619D3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D29A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运营</w:t>
            </w:r>
          </w:p>
        </w:tc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6DB8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季度服务报告</w:t>
            </w:r>
          </w:p>
        </w:tc>
        <w:tc>
          <w:tcPr>
            <w:tcW w:w="3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F950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季度结束后10日内</w:t>
            </w:r>
          </w:p>
        </w:tc>
      </w:tr>
      <w:tr w14:paraId="2FD697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3C82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收尾</w:t>
            </w:r>
          </w:p>
        </w:tc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2E5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年度运维总结报告</w:t>
            </w:r>
          </w:p>
        </w:tc>
        <w:tc>
          <w:tcPr>
            <w:tcW w:w="35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DAC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合同到期前15日内</w:t>
            </w:r>
          </w:p>
        </w:tc>
      </w:tr>
    </w:tbl>
    <w:p w14:paraId="377DD7DF">
      <w:pPr>
        <w:pStyle w:val="29"/>
        <w:bidi w:val="0"/>
      </w:pPr>
      <w:bookmarkStart w:id="53" w:name="heading_29"/>
      <w:bookmarkStart w:id="54" w:name="_Toc32290"/>
      <w:r>
        <w:t>质量管理</w:t>
      </w:r>
      <w:bookmarkEnd w:id="53"/>
      <w:bookmarkEnd w:id="54"/>
    </w:p>
    <w:p w14:paraId="7FA052FF">
      <w:pPr>
        <w:pStyle w:val="31"/>
        <w:bidi w:val="0"/>
      </w:pPr>
      <w:bookmarkStart w:id="55" w:name="heading_30"/>
      <w:bookmarkStart w:id="56" w:name="_Toc20425"/>
      <w:r>
        <w:t>质量目标</w:t>
      </w:r>
      <w:bookmarkEnd w:id="55"/>
      <w:bookmarkEnd w:id="56"/>
    </w:p>
    <w:p w14:paraId="18F6E638">
      <w:pPr>
        <w:pStyle w:val="41"/>
        <w:numPr>
          <w:ilvl w:val="0"/>
          <w:numId w:val="8"/>
        </w:numPr>
        <w:bidi w:val="0"/>
      </w:pPr>
      <w:r>
        <w:t>设备可用性：核心网络设备≥99.9%，服务器设备≥99.5%</w:t>
      </w:r>
    </w:p>
    <w:p w14:paraId="23C71C5C">
      <w:pPr>
        <w:pStyle w:val="41"/>
        <w:numPr>
          <w:ilvl w:val="0"/>
          <w:numId w:val="8"/>
        </w:numPr>
        <w:bidi w:val="0"/>
      </w:pPr>
      <w:r>
        <w:t>故障响应及时率：≥95%</w:t>
      </w:r>
    </w:p>
    <w:p w14:paraId="33931359">
      <w:pPr>
        <w:pStyle w:val="41"/>
        <w:numPr>
          <w:ilvl w:val="0"/>
          <w:numId w:val="8"/>
        </w:numPr>
        <w:bidi w:val="0"/>
      </w:pPr>
      <w:r>
        <w:t>故障解决及时率：≥90%</w:t>
      </w:r>
    </w:p>
    <w:p w14:paraId="032EA78C">
      <w:pPr>
        <w:pStyle w:val="41"/>
        <w:numPr>
          <w:ilvl w:val="0"/>
          <w:numId w:val="8"/>
        </w:numPr>
        <w:bidi w:val="0"/>
      </w:pPr>
      <w:r>
        <w:t>客户满意度：≥95分</w:t>
      </w:r>
    </w:p>
    <w:p w14:paraId="1BD83B1A">
      <w:pPr>
        <w:pStyle w:val="31"/>
        <w:bidi w:val="0"/>
      </w:pPr>
      <w:bookmarkStart w:id="57" w:name="heading_31"/>
      <w:bookmarkStart w:id="58" w:name="_Toc11656"/>
      <w:r>
        <w:t>质量监控措施</w:t>
      </w:r>
      <w:bookmarkEnd w:id="57"/>
      <w:bookmarkEnd w:id="58"/>
    </w:p>
    <w:p w14:paraId="54551475">
      <w:pPr>
        <w:pStyle w:val="41"/>
        <w:numPr>
          <w:ilvl w:val="0"/>
          <w:numId w:val="9"/>
        </w:numPr>
        <w:bidi w:val="0"/>
      </w:pPr>
      <w:r>
        <w:t>所有服务活动通过运维管理平台记录，确保过程可追溯</w:t>
      </w:r>
    </w:p>
    <w:p w14:paraId="2D0FFA21">
      <w:pPr>
        <w:pStyle w:val="41"/>
        <w:numPr>
          <w:ilvl w:val="0"/>
          <w:numId w:val="9"/>
        </w:numPr>
        <w:bidi w:val="0"/>
      </w:pPr>
      <w:r>
        <w:t>每月统计SLA达成情况，对未达标项分析原因</w:t>
      </w:r>
    </w:p>
    <w:p w14:paraId="620D4FE1">
      <w:pPr>
        <w:pStyle w:val="41"/>
        <w:numPr>
          <w:ilvl w:val="0"/>
          <w:numId w:val="9"/>
        </w:numPr>
        <w:bidi w:val="0"/>
      </w:pPr>
      <w:r>
        <w:t>每次故障处理后进行回访，了解客户满意度</w:t>
      </w:r>
    </w:p>
    <w:p w14:paraId="74BAAD68">
      <w:pPr>
        <w:pStyle w:val="41"/>
        <w:numPr>
          <w:ilvl w:val="0"/>
          <w:numId w:val="9"/>
        </w:numPr>
        <w:bidi w:val="0"/>
      </w:pPr>
      <w:r>
        <w:t>每年至少组织一次正式客户满意度调查</w:t>
      </w:r>
    </w:p>
    <w:p w14:paraId="7BD1EBB5">
      <w:pPr>
        <w:pStyle w:val="31"/>
        <w:bidi w:val="0"/>
      </w:pPr>
      <w:bookmarkStart w:id="59" w:name="heading_32"/>
      <w:bookmarkStart w:id="60" w:name="_Toc21667"/>
      <w:r>
        <w:t>改进机制</w:t>
      </w:r>
      <w:bookmarkEnd w:id="59"/>
      <w:bookmarkEnd w:id="60"/>
    </w:p>
    <w:p w14:paraId="7AAAD281">
      <w:pPr>
        <w:pStyle w:val="30"/>
        <w:bidi w:val="0"/>
      </w:pPr>
      <w:r>
        <w:t>建立“发现问题→分析根因→制定措施→实施改进→验证效果”的闭环改进机制。季度服务报告中包含改进建议，重大改进需经甲方确认后实施。改进完成后跟踪验证效果，必要时将有效措施固化到流程中。</w:t>
      </w:r>
    </w:p>
    <w:p w14:paraId="77EBB16F">
      <w:pPr>
        <w:pStyle w:val="29"/>
        <w:bidi w:val="0"/>
      </w:pPr>
      <w:bookmarkStart w:id="61" w:name="heading_33"/>
      <w:bookmarkStart w:id="62" w:name="_Toc13569"/>
      <w:r>
        <w:t>沟通与报告</w:t>
      </w:r>
      <w:bookmarkEnd w:id="61"/>
      <w:bookmarkEnd w:id="62"/>
    </w:p>
    <w:p w14:paraId="1D026EA7">
      <w:pPr>
        <w:pStyle w:val="31"/>
        <w:bidi w:val="0"/>
      </w:pPr>
      <w:bookmarkStart w:id="63" w:name="heading_34"/>
      <w:bookmarkStart w:id="64" w:name="_Toc3788"/>
      <w:r>
        <w:t>沟通机制</w:t>
      </w:r>
      <w:bookmarkEnd w:id="63"/>
      <w:bookmarkEnd w:id="64"/>
    </w:p>
    <w:p w14:paraId="124AFE91">
      <w:pPr>
        <w:pStyle w:val="30"/>
        <w:bidi w:val="0"/>
      </w:pPr>
      <w:r>
        <w:t>日常服务请求通过服务台电话或邮件受理，服务台在15分钟内确认接收。巡检安排提前3个工作日与甲方沟通确认。季度和年度服务汇报以会议形式进行，由项目负责人向甲方汇报服务情况。</w:t>
      </w:r>
    </w:p>
    <w:p w14:paraId="0C0197D8">
      <w:pPr>
        <w:pStyle w:val="31"/>
        <w:bidi w:val="0"/>
      </w:pPr>
      <w:bookmarkStart w:id="65" w:name="heading_35"/>
      <w:bookmarkStart w:id="66" w:name="_Toc23786"/>
      <w:r>
        <w:t>报告体系</w:t>
      </w:r>
      <w:bookmarkEnd w:id="65"/>
      <w:bookmarkEnd w:id="66"/>
    </w:p>
    <w:p w14:paraId="048A5383">
      <w:pPr>
        <w:pStyle w:val="41"/>
        <w:numPr>
          <w:ilvl w:val="0"/>
          <w:numId w:val="10"/>
        </w:numPr>
        <w:bidi w:val="0"/>
      </w:pPr>
      <w:r>
        <w:t>月巡检报告：巡检结果、设备状态、问题汇总，次月5日前提交</w:t>
      </w:r>
    </w:p>
    <w:p w14:paraId="6E94E038">
      <w:pPr>
        <w:pStyle w:val="41"/>
        <w:numPr>
          <w:ilvl w:val="0"/>
          <w:numId w:val="10"/>
        </w:numPr>
        <w:bidi w:val="0"/>
      </w:pPr>
      <w:r>
        <w:t>故障处理报告：故障现象、处理过程、解决方案，处理后3日内提交</w:t>
      </w:r>
    </w:p>
    <w:p w14:paraId="6464F1D2">
      <w:pPr>
        <w:pStyle w:val="41"/>
        <w:numPr>
          <w:ilvl w:val="0"/>
          <w:numId w:val="10"/>
        </w:numPr>
        <w:bidi w:val="0"/>
      </w:pPr>
      <w:r>
        <w:t>季度服务报告：SLA达成、事件统计、改进建议，季度结束后10日内提交</w:t>
      </w:r>
    </w:p>
    <w:p w14:paraId="5DC7FE66">
      <w:pPr>
        <w:pStyle w:val="41"/>
        <w:numPr>
          <w:ilvl w:val="0"/>
          <w:numId w:val="10"/>
        </w:numPr>
        <w:bidi w:val="0"/>
      </w:pPr>
      <w:r>
        <w:t>年度总结报告：全年服务回顾、指标达成、下年建议，合同到期前15日内提交</w:t>
      </w:r>
    </w:p>
    <w:p w14:paraId="79AFC66C">
      <w:pPr>
        <w:pStyle w:val="29"/>
        <w:bidi w:val="0"/>
      </w:pPr>
      <w:bookmarkStart w:id="67" w:name="heading_36"/>
      <w:bookmarkStart w:id="68" w:name="_Toc15231"/>
      <w:r>
        <w:t>应急保障</w:t>
      </w:r>
      <w:bookmarkEnd w:id="67"/>
      <w:bookmarkEnd w:id="68"/>
    </w:p>
    <w:p w14:paraId="20C12336">
      <w:pPr>
        <w:pStyle w:val="31"/>
        <w:bidi w:val="0"/>
      </w:pPr>
      <w:bookmarkStart w:id="69" w:name="heading_37"/>
      <w:bookmarkStart w:id="70" w:name="_Toc29345"/>
      <w:r>
        <w:t>应急组织</w:t>
      </w:r>
      <w:bookmarkEnd w:id="69"/>
      <w:bookmarkEnd w:id="70"/>
    </w:p>
    <w:p w14:paraId="050AEDF8">
      <w:pPr>
        <w:pStyle w:val="30"/>
        <w:bidi w:val="0"/>
      </w:pPr>
      <w:r>
        <w:t>成立由项目负责人担任总指挥的应急小组，下设技术恢复组（负责故障排查与恢复）、联络组（负责与甲方沟通）和保障组（负责备件调拨）。I级事件由副总经理指挥协调。</w:t>
      </w:r>
    </w:p>
    <w:p w14:paraId="2C312605">
      <w:pPr>
        <w:pStyle w:val="31"/>
        <w:bidi w:val="0"/>
      </w:pPr>
      <w:bookmarkStart w:id="71" w:name="heading_38"/>
      <w:bookmarkStart w:id="72" w:name="_Toc2952"/>
      <w:r>
        <w:t>应急预案</w:t>
      </w:r>
      <w:bookmarkEnd w:id="71"/>
      <w:bookmarkEnd w:id="72"/>
    </w:p>
    <w:p w14:paraId="48F477C1">
      <w:pPr>
        <w:pStyle w:val="30"/>
        <w:bidi w:val="0"/>
      </w:pPr>
      <w:r>
        <w:t>已编制《淮安生态新城信息系统运维服务项目-应急预案》，覆盖网络中断、服务器宕机、硬件故障、安全事件等场景。预案中包含处置流程、责任人、联络方式和恢复目标。</w:t>
      </w:r>
    </w:p>
    <w:p w14:paraId="6577B68D">
      <w:pPr>
        <w:pStyle w:val="31"/>
        <w:bidi w:val="0"/>
      </w:pPr>
      <w:bookmarkStart w:id="73" w:name="heading_39"/>
      <w:bookmarkStart w:id="74" w:name="_Toc8477"/>
      <w:r>
        <w:t>应急演练</w:t>
      </w:r>
      <w:bookmarkEnd w:id="73"/>
      <w:bookmarkEnd w:id="74"/>
    </w:p>
    <w:p w14:paraId="5DE78DDB">
      <w:pPr>
        <w:pStyle w:val="30"/>
        <w:bidi w:val="0"/>
      </w:pPr>
      <w:r>
        <w:t>服务期内每年至少组织1次应急演练，验证预案有效性，演练后形成总结报告，针对发现的问题改进预案。</w:t>
      </w:r>
    </w:p>
    <w:p w14:paraId="0675A319">
      <w:pPr>
        <w:pStyle w:val="29"/>
        <w:bidi w:val="0"/>
      </w:pPr>
      <w:bookmarkStart w:id="75" w:name="heading_40"/>
      <w:bookmarkStart w:id="76" w:name="_Toc11762"/>
      <w:r>
        <w:t>风险控制</w:t>
      </w:r>
      <w:bookmarkEnd w:id="75"/>
      <w:bookmarkEnd w:id="76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1"/>
        <w:gridCol w:w="3037"/>
        <w:gridCol w:w="3841"/>
      </w:tblGrid>
      <w:tr w14:paraId="692D66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2A46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风险类别</w:t>
            </w:r>
          </w:p>
        </w:tc>
        <w:tc>
          <w:tcPr>
            <w:tcW w:w="30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CC24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38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640D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</w:tr>
      <w:tr w14:paraId="0730F1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CAFA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人员风险</w:t>
            </w:r>
          </w:p>
        </w:tc>
        <w:tc>
          <w:tcPr>
            <w:tcW w:w="30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F618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关键人员离职或请假</w:t>
            </w:r>
          </w:p>
        </w:tc>
        <w:tc>
          <w:tcPr>
            <w:tcW w:w="38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F00C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AB角备份，知识库传承</w:t>
            </w:r>
          </w:p>
        </w:tc>
      </w:tr>
      <w:tr w14:paraId="0821C7A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650B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技术风险</w:t>
            </w:r>
          </w:p>
        </w:tc>
        <w:tc>
          <w:tcPr>
            <w:tcW w:w="30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9FAF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设备故障无法快速恢复</w:t>
            </w:r>
          </w:p>
        </w:tc>
        <w:tc>
          <w:tcPr>
            <w:tcW w:w="38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4088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备件储备，供应商技术支持</w:t>
            </w:r>
          </w:p>
        </w:tc>
      </w:tr>
      <w:tr w14:paraId="66B651C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FEF3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环境风险</w:t>
            </w:r>
          </w:p>
        </w:tc>
        <w:tc>
          <w:tcPr>
            <w:tcW w:w="30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96C2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电力中断、温湿度异常</w:t>
            </w:r>
          </w:p>
        </w:tc>
        <w:tc>
          <w:tcPr>
            <w:tcW w:w="38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6F5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依托甲方UPS和机房环境监控</w:t>
            </w:r>
          </w:p>
        </w:tc>
      </w:tr>
      <w:tr w14:paraId="2C9313B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3979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安全风险</w:t>
            </w:r>
          </w:p>
        </w:tc>
        <w:tc>
          <w:tcPr>
            <w:tcW w:w="30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1DED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操作失误导致数据丢失</w:t>
            </w:r>
          </w:p>
        </w:tc>
        <w:tc>
          <w:tcPr>
            <w:tcW w:w="38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82E1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操作前备份，变更需审批</w:t>
            </w:r>
          </w:p>
        </w:tc>
      </w:tr>
    </w:tbl>
    <w:p w14:paraId="4A16A0AC">
      <w:pPr>
        <w:pStyle w:val="29"/>
        <w:bidi w:val="0"/>
      </w:pPr>
      <w:bookmarkStart w:id="77" w:name="heading_41"/>
      <w:bookmarkStart w:id="78" w:name="_Toc4964"/>
      <w:r>
        <w:t>附件</w:t>
      </w:r>
      <w:bookmarkEnd w:id="77"/>
      <w:bookmarkEnd w:id="78"/>
    </w:p>
    <w:p w14:paraId="566F041C">
      <w:pPr>
        <w:pStyle w:val="41"/>
        <w:bidi w:val="0"/>
      </w:pPr>
      <w:r>
        <w:t>附件一：《维保设备清单》</w:t>
      </w:r>
    </w:p>
    <w:p w14:paraId="31E215E1">
      <w:pPr>
        <w:pStyle w:val="41"/>
        <w:bidi w:val="0"/>
      </w:pPr>
      <w:r>
        <w:t>附件二：《运维服务团队通讯录》</w:t>
      </w:r>
    </w:p>
    <w:p w14:paraId="0C34E5FE">
      <w:pPr>
        <w:pStyle w:val="41"/>
        <w:bidi w:val="0"/>
      </w:pPr>
      <w:r>
        <w:t>附件三：《应急预案》</w:t>
      </w:r>
    </w:p>
    <w:p w14:paraId="32068DE5">
      <w:pPr>
        <w:pStyle w:val="41"/>
        <w:bidi w:val="0"/>
      </w:pPr>
      <w:r>
        <w:t>附件四：《巡检报告模板》</w:t>
      </w:r>
    </w:p>
    <w:sectPr>
      <w:headerReference r:id="rId5" w:type="default"/>
      <w:pgSz w:w="11906" w:h="16838"/>
      <w:pgMar w:top="1040" w:right="1740" w:bottom="1298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6BCA4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C15DD86"/>
    <w:multiLevelType w:val="singleLevel"/>
    <w:tmpl w:val="9C15DD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47D42F8"/>
    <w:multiLevelType w:val="singleLevel"/>
    <w:tmpl w:val="B47D42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E427D11"/>
    <w:multiLevelType w:val="singleLevel"/>
    <w:tmpl w:val="CE427D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A90D6FD"/>
    <w:multiLevelType w:val="singleLevel"/>
    <w:tmpl w:val="DA90D6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E2CEA9D"/>
    <w:multiLevelType w:val="singleLevel"/>
    <w:tmpl w:val="2E2CEA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95F749B"/>
    <w:multiLevelType w:val="singleLevel"/>
    <w:tmpl w:val="395F74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4EDA72D2"/>
    <w:multiLevelType w:val="singleLevel"/>
    <w:tmpl w:val="4EDA72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CE04F21"/>
    <w:multiLevelType w:val="singleLevel"/>
    <w:tmpl w:val="5CE04F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09FF346"/>
    <w:multiLevelType w:val="singleLevel"/>
    <w:tmpl w:val="609FF3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8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D6392F"/>
    <w:rsid w:val="0C394176"/>
    <w:rsid w:val="0E9C7437"/>
    <w:rsid w:val="19744A3F"/>
    <w:rsid w:val="19FE07AD"/>
    <w:rsid w:val="1D796AC8"/>
    <w:rsid w:val="20BB73F7"/>
    <w:rsid w:val="21E40288"/>
    <w:rsid w:val="24C201BD"/>
    <w:rsid w:val="2C526E62"/>
    <w:rsid w:val="2E496043"/>
    <w:rsid w:val="2FCC6F2B"/>
    <w:rsid w:val="31D10829"/>
    <w:rsid w:val="3A3A5994"/>
    <w:rsid w:val="40051522"/>
    <w:rsid w:val="43AA0EDA"/>
    <w:rsid w:val="4B4707F0"/>
    <w:rsid w:val="4C7B44C0"/>
    <w:rsid w:val="4F7800DE"/>
    <w:rsid w:val="501D159E"/>
    <w:rsid w:val="5173078D"/>
    <w:rsid w:val="52B4767F"/>
    <w:rsid w:val="538D1815"/>
    <w:rsid w:val="5FD56E87"/>
    <w:rsid w:val="60106ED1"/>
    <w:rsid w:val="63E10C3D"/>
    <w:rsid w:val="7702635B"/>
    <w:rsid w:val="7A8D2D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7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2969</Words>
  <Characters>3151</Characters>
  <Lines>0</Lines>
  <Paragraphs>0</Paragraphs>
  <TotalTime>0</TotalTime>
  <ScaleCrop>false</ScaleCrop>
  <LinksUpToDate>false</LinksUpToDate>
  <CharactersWithSpaces>3289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郝宇</cp:lastModifiedBy>
  <dcterms:modified xsi:type="dcterms:W3CDTF">2026-05-07T05:44:37Z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