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9C0C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7623"/>
      <w:r>
        <w:drawing>
          <wp:anchor distT="0" distB="0" distL="114300" distR="114300" simplePos="0" relativeHeight="251661312" behindDoc="1" locked="0" layoutInCell="1" allowOverlap="1">
            <wp:simplePos x="0" y="0"/>
            <wp:positionH relativeFrom="column">
              <wp:posOffset>-19050</wp:posOffset>
            </wp:positionH>
            <wp:positionV relativeFrom="paragraph">
              <wp:posOffset>-26035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730B402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4685"/>
      <w:r>
        <w:rPr>
          <w:rFonts w:hint="eastAsia"/>
          <w:lang w:val="en-US" w:eastAsia="zh-CN"/>
        </w:rPr>
        <w:t>人员管理计划</w:t>
      </w:r>
      <w:bookmarkEnd w:id="1"/>
    </w:p>
    <w:p w14:paraId="3C18FAE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ECE3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C138C3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69C9801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862D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1F6FC6A">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72838B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DFF0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F15940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1CB6EF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EFB04F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F5CE9CE">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A8CBE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88BECCB">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57D007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B43F21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BC3A9A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0DD899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5BC4BF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49BA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293B8E5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3986D7C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72DFC1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F40C3BA">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1BBA15B7">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38543CD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2D183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4AD69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3DF49D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A96520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1F81A7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28785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FDBFE3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79F8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96314C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A3B320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08AEC0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93A47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4766EA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34A477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9532E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03B279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30019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4C683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737F2E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EF8A44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B1484F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765A69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8407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BF8B8B8">
          <w:pPr>
            <w:pStyle w:val="16"/>
            <w:tabs>
              <w:tab w:val="right" w:leader="dot" w:pos="8306"/>
            </w:tabs>
          </w:pPr>
          <w:bookmarkStart w:id="32" w:name="_GoBack"/>
          <w:bookmarkEnd w:id="3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_Toc17623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_Toc17623 \h </w:instrText>
          </w:r>
          <w:r>
            <w:fldChar w:fldCharType="separate"/>
          </w:r>
          <w:r>
            <w:t>1</w:t>
          </w:r>
          <w:r>
            <w:fldChar w:fldCharType="end"/>
          </w:r>
          <w:r>
            <w:rPr>
              <w:rFonts w:hint="eastAsia" w:ascii="宋体" w:hAnsi="宋体" w:eastAsia="宋体" w:cs="宋体"/>
              <w:szCs w:val="24"/>
            </w:rPr>
            <w:fldChar w:fldCharType="end"/>
          </w:r>
        </w:p>
        <w:p w14:paraId="5E86CA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_Toc4685 </w:instrText>
          </w:r>
          <w:r>
            <w:rPr>
              <w:rFonts w:hint="eastAsia" w:ascii="宋体" w:hAnsi="宋体" w:eastAsia="宋体" w:cs="宋体"/>
              <w:szCs w:val="24"/>
            </w:rPr>
            <w:fldChar w:fldCharType="separate"/>
          </w:r>
          <w:r>
            <w:rPr>
              <w:rFonts w:hint="eastAsia"/>
              <w:lang w:val="en-US" w:eastAsia="zh-CN"/>
            </w:rPr>
            <w:t>人员管理计划</w:t>
          </w:r>
          <w:r>
            <w:tab/>
          </w:r>
          <w:r>
            <w:fldChar w:fldCharType="begin"/>
          </w:r>
          <w:r>
            <w:instrText xml:space="preserve"> PAGEREF _Toc4685 \h </w:instrText>
          </w:r>
          <w:r>
            <w:fldChar w:fldCharType="separate"/>
          </w:r>
          <w:r>
            <w:t>1</w:t>
          </w:r>
          <w:r>
            <w:fldChar w:fldCharType="end"/>
          </w:r>
          <w:r>
            <w:rPr>
              <w:rFonts w:hint="eastAsia" w:ascii="宋体" w:hAnsi="宋体" w:eastAsia="宋体" w:cs="宋体"/>
              <w:szCs w:val="24"/>
            </w:rPr>
            <w:fldChar w:fldCharType="end"/>
          </w:r>
        </w:p>
        <w:p w14:paraId="274027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_Toc13421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_Toc13421 \h </w:instrText>
          </w:r>
          <w:r>
            <w:fldChar w:fldCharType="separate"/>
          </w:r>
          <w:r>
            <w:t>5</w:t>
          </w:r>
          <w:r>
            <w:fldChar w:fldCharType="end"/>
          </w:r>
          <w:r>
            <w:rPr>
              <w:rFonts w:hint="eastAsia" w:ascii="宋体" w:hAnsi="宋体" w:eastAsia="宋体" w:cs="宋体"/>
              <w:szCs w:val="24"/>
            </w:rPr>
            <w:fldChar w:fldCharType="end"/>
          </w:r>
        </w:p>
        <w:p w14:paraId="7C7956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_Toc23989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管理目的</w:t>
          </w:r>
          <w:r>
            <w:tab/>
          </w:r>
          <w:r>
            <w:fldChar w:fldCharType="begin"/>
          </w:r>
          <w:r>
            <w:instrText xml:space="preserve"> PAGEREF _Toc23989 \h </w:instrText>
          </w:r>
          <w:r>
            <w:fldChar w:fldCharType="separate"/>
          </w:r>
          <w:r>
            <w:t>5</w:t>
          </w:r>
          <w:r>
            <w:fldChar w:fldCharType="end"/>
          </w:r>
          <w:r>
            <w:rPr>
              <w:rFonts w:hint="eastAsia" w:ascii="宋体" w:hAnsi="宋体" w:eastAsia="宋体" w:cs="宋体"/>
              <w:szCs w:val="24"/>
            </w:rPr>
            <w:fldChar w:fldCharType="end"/>
          </w:r>
        </w:p>
        <w:p w14:paraId="7569624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_Toc25937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_Toc25937 \h </w:instrText>
          </w:r>
          <w:r>
            <w:fldChar w:fldCharType="separate"/>
          </w:r>
          <w:r>
            <w:t>5</w:t>
          </w:r>
          <w:r>
            <w:fldChar w:fldCharType="end"/>
          </w:r>
          <w:r>
            <w:rPr>
              <w:rFonts w:hint="eastAsia" w:ascii="宋体" w:hAnsi="宋体" w:eastAsia="宋体" w:cs="宋体"/>
              <w:szCs w:val="24"/>
            </w:rPr>
            <w:fldChar w:fldCharType="end"/>
          </w:r>
        </w:p>
        <w:p w14:paraId="04A792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_Toc27862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基本原则</w:t>
          </w:r>
          <w:r>
            <w:tab/>
          </w:r>
          <w:r>
            <w:fldChar w:fldCharType="begin"/>
          </w:r>
          <w:r>
            <w:instrText xml:space="preserve"> PAGEREF _Toc27862 \h </w:instrText>
          </w:r>
          <w:r>
            <w:fldChar w:fldCharType="separate"/>
          </w:r>
          <w:r>
            <w:t>5</w:t>
          </w:r>
          <w:r>
            <w:fldChar w:fldCharType="end"/>
          </w:r>
          <w:r>
            <w:rPr>
              <w:rFonts w:hint="eastAsia" w:ascii="宋体" w:hAnsi="宋体" w:eastAsia="宋体" w:cs="宋体"/>
              <w:szCs w:val="24"/>
            </w:rPr>
            <w:fldChar w:fldCharType="end"/>
          </w:r>
        </w:p>
        <w:p w14:paraId="430CCB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_Toc16685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管理职责</w:t>
          </w:r>
          <w:r>
            <w:tab/>
          </w:r>
          <w:r>
            <w:fldChar w:fldCharType="begin"/>
          </w:r>
          <w:r>
            <w:instrText xml:space="preserve"> PAGEREF _Toc16685 \h </w:instrText>
          </w:r>
          <w:r>
            <w:fldChar w:fldCharType="separate"/>
          </w:r>
          <w:r>
            <w:t>6</w:t>
          </w:r>
          <w:r>
            <w:fldChar w:fldCharType="end"/>
          </w:r>
          <w:r>
            <w:rPr>
              <w:rFonts w:hint="eastAsia" w:ascii="宋体" w:hAnsi="宋体" w:eastAsia="宋体" w:cs="宋体"/>
              <w:szCs w:val="24"/>
            </w:rPr>
            <w:fldChar w:fldCharType="end"/>
          </w:r>
        </w:p>
        <w:p w14:paraId="7452AA2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_Toc29095 </w:instrText>
          </w:r>
          <w:r>
            <w:rPr>
              <w:rFonts w:hint="eastAsia" w:ascii="宋体" w:hAnsi="宋体" w:eastAsia="宋体" w:cs="宋体"/>
              <w:szCs w:val="24"/>
            </w:rPr>
            <w:fldChar w:fldCharType="separate"/>
          </w:r>
          <w:r>
            <w:rPr>
              <w:rFonts w:hint="default"/>
              <w:lang w:val="en-US" w:eastAsia="zh-CN"/>
            </w:rPr>
            <w:t>1.4.1. 人力部</w:t>
          </w:r>
          <w:r>
            <w:tab/>
          </w:r>
          <w:r>
            <w:fldChar w:fldCharType="begin"/>
          </w:r>
          <w:r>
            <w:instrText xml:space="preserve"> PAGEREF _Toc29095 \h </w:instrText>
          </w:r>
          <w:r>
            <w:fldChar w:fldCharType="separate"/>
          </w:r>
          <w:r>
            <w:t>6</w:t>
          </w:r>
          <w:r>
            <w:fldChar w:fldCharType="end"/>
          </w:r>
          <w:r>
            <w:rPr>
              <w:rFonts w:hint="eastAsia" w:ascii="宋体" w:hAnsi="宋体" w:eastAsia="宋体" w:cs="宋体"/>
              <w:szCs w:val="24"/>
            </w:rPr>
            <w:fldChar w:fldCharType="end"/>
          </w:r>
        </w:p>
        <w:p w14:paraId="249C7C0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_Toc19756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其他运维部门</w:t>
          </w:r>
          <w:r>
            <w:tab/>
          </w:r>
          <w:r>
            <w:fldChar w:fldCharType="begin"/>
          </w:r>
          <w:r>
            <w:instrText xml:space="preserve"> PAGEREF _Toc19756 \h </w:instrText>
          </w:r>
          <w:r>
            <w:fldChar w:fldCharType="separate"/>
          </w:r>
          <w:r>
            <w:t>6</w:t>
          </w:r>
          <w:r>
            <w:fldChar w:fldCharType="end"/>
          </w:r>
          <w:r>
            <w:rPr>
              <w:rFonts w:hint="eastAsia" w:ascii="宋体" w:hAnsi="宋体" w:eastAsia="宋体" w:cs="宋体"/>
              <w:szCs w:val="24"/>
            </w:rPr>
            <w:fldChar w:fldCharType="end"/>
          </w:r>
        </w:p>
        <w:p w14:paraId="5AC6DB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_Toc21361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管理者代表</w:t>
          </w:r>
          <w:r>
            <w:tab/>
          </w:r>
          <w:r>
            <w:fldChar w:fldCharType="begin"/>
          </w:r>
          <w:r>
            <w:instrText xml:space="preserve"> PAGEREF _Toc21361 \h </w:instrText>
          </w:r>
          <w:r>
            <w:fldChar w:fldCharType="separate"/>
          </w:r>
          <w:r>
            <w:t>6</w:t>
          </w:r>
          <w:r>
            <w:fldChar w:fldCharType="end"/>
          </w:r>
          <w:r>
            <w:rPr>
              <w:rFonts w:hint="eastAsia" w:ascii="宋体" w:hAnsi="宋体" w:eastAsia="宋体" w:cs="宋体"/>
              <w:szCs w:val="24"/>
            </w:rPr>
            <w:fldChar w:fldCharType="end"/>
          </w:r>
        </w:p>
        <w:p w14:paraId="1550D3E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_Toc5911 </w:instrText>
          </w:r>
          <w:r>
            <w:rPr>
              <w:rFonts w:hint="eastAsia" w:ascii="宋体" w:hAnsi="宋体" w:eastAsia="宋体" w:cs="宋体"/>
              <w:szCs w:val="24"/>
            </w:rPr>
            <w:fldChar w:fldCharType="separate"/>
          </w:r>
          <w:r>
            <w:rPr>
              <w:rFonts w:hint="default"/>
              <w:lang w:val="en-US" w:eastAsia="zh-CN"/>
            </w:rPr>
            <w:t>1.4.4. 员工个人</w:t>
          </w:r>
          <w:r>
            <w:tab/>
          </w:r>
          <w:r>
            <w:fldChar w:fldCharType="begin"/>
          </w:r>
          <w:r>
            <w:instrText xml:space="preserve"> PAGEREF _Toc5911 \h </w:instrText>
          </w:r>
          <w:r>
            <w:fldChar w:fldCharType="separate"/>
          </w:r>
          <w:r>
            <w:t>6</w:t>
          </w:r>
          <w:r>
            <w:fldChar w:fldCharType="end"/>
          </w:r>
          <w:r>
            <w:rPr>
              <w:rFonts w:hint="eastAsia" w:ascii="宋体" w:hAnsi="宋体" w:eastAsia="宋体" w:cs="宋体"/>
              <w:szCs w:val="24"/>
            </w:rPr>
            <w:fldChar w:fldCharType="end"/>
          </w:r>
        </w:p>
        <w:p w14:paraId="29D3D2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_Toc9716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人员储备计划</w:t>
          </w:r>
          <w:r>
            <w:tab/>
          </w:r>
          <w:r>
            <w:fldChar w:fldCharType="begin"/>
          </w:r>
          <w:r>
            <w:instrText xml:space="preserve"> PAGEREF _Toc9716 \h </w:instrText>
          </w:r>
          <w:r>
            <w:fldChar w:fldCharType="separate"/>
          </w:r>
          <w:r>
            <w:t>7</w:t>
          </w:r>
          <w:r>
            <w:fldChar w:fldCharType="end"/>
          </w:r>
          <w:r>
            <w:rPr>
              <w:rFonts w:hint="eastAsia" w:ascii="宋体" w:hAnsi="宋体" w:eastAsia="宋体" w:cs="宋体"/>
              <w:szCs w:val="24"/>
            </w:rPr>
            <w:fldChar w:fldCharType="end"/>
          </w:r>
        </w:p>
        <w:p w14:paraId="19DDDE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_Toc5215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外部招聘储备</w:t>
          </w:r>
          <w:r>
            <w:tab/>
          </w:r>
          <w:r>
            <w:fldChar w:fldCharType="begin"/>
          </w:r>
          <w:r>
            <w:instrText xml:space="preserve"> PAGEREF _Toc5215 \h </w:instrText>
          </w:r>
          <w:r>
            <w:fldChar w:fldCharType="separate"/>
          </w:r>
          <w:r>
            <w:t>7</w:t>
          </w:r>
          <w:r>
            <w:fldChar w:fldCharType="end"/>
          </w:r>
          <w:r>
            <w:rPr>
              <w:rFonts w:hint="eastAsia" w:ascii="宋体" w:hAnsi="宋体" w:eastAsia="宋体" w:cs="宋体"/>
              <w:szCs w:val="24"/>
            </w:rPr>
            <w:fldChar w:fldCharType="end"/>
          </w:r>
        </w:p>
        <w:p w14:paraId="0D3EB0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_Toc16073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内部储备与选拔</w:t>
          </w:r>
          <w:r>
            <w:tab/>
          </w:r>
          <w:r>
            <w:fldChar w:fldCharType="begin"/>
          </w:r>
          <w:r>
            <w:instrText xml:space="preserve"> PAGEREF _Toc16073 \h </w:instrText>
          </w:r>
          <w:r>
            <w:fldChar w:fldCharType="separate"/>
          </w:r>
          <w:r>
            <w:t>7</w:t>
          </w:r>
          <w:r>
            <w:fldChar w:fldCharType="end"/>
          </w:r>
          <w:r>
            <w:rPr>
              <w:rFonts w:hint="eastAsia" w:ascii="宋体" w:hAnsi="宋体" w:eastAsia="宋体" w:cs="宋体"/>
              <w:szCs w:val="24"/>
            </w:rPr>
            <w:fldChar w:fldCharType="end"/>
          </w:r>
        </w:p>
        <w:p w14:paraId="0A35F79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_Toc19067 </w:instrText>
          </w:r>
          <w:r>
            <w:rPr>
              <w:rFonts w:hint="eastAsia" w:ascii="宋体" w:hAnsi="宋体" w:eastAsia="宋体" w:cs="宋体"/>
              <w:szCs w:val="24"/>
            </w:rPr>
            <w:fldChar w:fldCharType="separate"/>
          </w:r>
          <w:r>
            <w:rPr>
              <w:rFonts w:hint="default"/>
              <w:lang w:val="en-US" w:eastAsia="zh-CN"/>
            </w:rPr>
            <w:t>3. 人员培训</w:t>
          </w:r>
          <w:r>
            <w:rPr>
              <w:rFonts w:hint="eastAsia"/>
              <w:lang w:val="en-US" w:eastAsia="zh-CN"/>
            </w:rPr>
            <w:t>计划</w:t>
          </w:r>
          <w:r>
            <w:tab/>
          </w:r>
          <w:r>
            <w:fldChar w:fldCharType="begin"/>
          </w:r>
          <w:r>
            <w:instrText xml:space="preserve"> PAGEREF _Toc19067 \h </w:instrText>
          </w:r>
          <w:r>
            <w:fldChar w:fldCharType="separate"/>
          </w:r>
          <w:r>
            <w:t>8</w:t>
          </w:r>
          <w:r>
            <w:fldChar w:fldCharType="end"/>
          </w:r>
          <w:r>
            <w:rPr>
              <w:rFonts w:hint="eastAsia" w:ascii="宋体" w:hAnsi="宋体" w:eastAsia="宋体" w:cs="宋体"/>
              <w:szCs w:val="24"/>
            </w:rPr>
            <w:fldChar w:fldCharType="end"/>
          </w:r>
        </w:p>
        <w:p w14:paraId="092614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_Toc706 </w:instrText>
          </w:r>
          <w:r>
            <w:rPr>
              <w:rFonts w:hint="eastAsia" w:ascii="宋体" w:hAnsi="宋体" w:eastAsia="宋体" w:cs="宋体"/>
              <w:szCs w:val="24"/>
            </w:rPr>
            <w:fldChar w:fldCharType="separate"/>
          </w:r>
          <w:r>
            <w:rPr>
              <w:rFonts w:hint="default"/>
              <w:lang w:val="en-US" w:eastAsia="zh-CN"/>
            </w:rPr>
            <w:t>3.1. 培训计划制定与审批</w:t>
          </w:r>
          <w:r>
            <w:tab/>
          </w:r>
          <w:r>
            <w:fldChar w:fldCharType="begin"/>
          </w:r>
          <w:r>
            <w:instrText xml:space="preserve"> PAGEREF _Toc706 \h </w:instrText>
          </w:r>
          <w:r>
            <w:fldChar w:fldCharType="separate"/>
          </w:r>
          <w:r>
            <w:t>8</w:t>
          </w:r>
          <w:r>
            <w:fldChar w:fldCharType="end"/>
          </w:r>
          <w:r>
            <w:rPr>
              <w:rFonts w:hint="eastAsia" w:ascii="宋体" w:hAnsi="宋体" w:eastAsia="宋体" w:cs="宋体"/>
              <w:szCs w:val="24"/>
            </w:rPr>
            <w:fldChar w:fldCharType="end"/>
          </w:r>
        </w:p>
        <w:p w14:paraId="311373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_Toc4936 </w:instrText>
          </w:r>
          <w:r>
            <w:rPr>
              <w:rFonts w:hint="eastAsia" w:ascii="宋体" w:hAnsi="宋体" w:eastAsia="宋体" w:cs="宋体"/>
              <w:szCs w:val="24"/>
            </w:rPr>
            <w:fldChar w:fldCharType="separate"/>
          </w:r>
          <w:r>
            <w:rPr>
              <w:rFonts w:hint="default"/>
              <w:lang w:val="en-US" w:eastAsia="zh-CN"/>
            </w:rPr>
            <w:t>3.2. 培训组织实施</w:t>
          </w:r>
          <w:r>
            <w:tab/>
          </w:r>
          <w:r>
            <w:fldChar w:fldCharType="begin"/>
          </w:r>
          <w:r>
            <w:instrText xml:space="preserve"> PAGEREF _Toc4936 \h </w:instrText>
          </w:r>
          <w:r>
            <w:fldChar w:fldCharType="separate"/>
          </w:r>
          <w:r>
            <w:t>8</w:t>
          </w:r>
          <w:r>
            <w:fldChar w:fldCharType="end"/>
          </w:r>
          <w:r>
            <w:rPr>
              <w:rFonts w:hint="eastAsia" w:ascii="宋体" w:hAnsi="宋体" w:eastAsia="宋体" w:cs="宋体"/>
              <w:szCs w:val="24"/>
            </w:rPr>
            <w:fldChar w:fldCharType="end"/>
          </w:r>
        </w:p>
        <w:p w14:paraId="5AE883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_Toc4948 </w:instrText>
          </w:r>
          <w:r>
            <w:rPr>
              <w:rFonts w:hint="eastAsia" w:ascii="宋体" w:hAnsi="宋体" w:eastAsia="宋体" w:cs="宋体"/>
              <w:szCs w:val="24"/>
            </w:rPr>
            <w:fldChar w:fldCharType="separate"/>
          </w:r>
          <w:r>
            <w:rPr>
              <w:rFonts w:hint="default"/>
              <w:lang w:val="en-US" w:eastAsia="zh-CN"/>
            </w:rPr>
            <w:t>3.3. 培训效果评估与记录</w:t>
          </w:r>
          <w:r>
            <w:tab/>
          </w:r>
          <w:r>
            <w:fldChar w:fldCharType="begin"/>
          </w:r>
          <w:r>
            <w:instrText xml:space="preserve"> PAGEREF _Toc4948 \h </w:instrText>
          </w:r>
          <w:r>
            <w:fldChar w:fldCharType="separate"/>
          </w:r>
          <w:r>
            <w:t>9</w:t>
          </w:r>
          <w:r>
            <w:fldChar w:fldCharType="end"/>
          </w:r>
          <w:r>
            <w:rPr>
              <w:rFonts w:hint="eastAsia" w:ascii="宋体" w:hAnsi="宋体" w:eastAsia="宋体" w:cs="宋体"/>
              <w:szCs w:val="24"/>
            </w:rPr>
            <w:fldChar w:fldCharType="end"/>
          </w:r>
        </w:p>
        <w:p w14:paraId="0E9108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_Toc9543 </w:instrText>
          </w:r>
          <w:r>
            <w:rPr>
              <w:rFonts w:hint="eastAsia" w:ascii="宋体" w:hAnsi="宋体" w:eastAsia="宋体" w:cs="宋体"/>
              <w:szCs w:val="24"/>
            </w:rPr>
            <w:fldChar w:fldCharType="separate"/>
          </w:r>
          <w:r>
            <w:rPr>
              <w:rFonts w:hint="default"/>
              <w:lang w:val="en-US" w:eastAsia="zh-CN"/>
            </w:rPr>
            <w:t>3.4. 培训记录管理与归档</w:t>
          </w:r>
          <w:r>
            <w:tab/>
          </w:r>
          <w:r>
            <w:fldChar w:fldCharType="begin"/>
          </w:r>
          <w:r>
            <w:instrText xml:space="preserve"> PAGEREF _Toc9543 \h </w:instrText>
          </w:r>
          <w:r>
            <w:fldChar w:fldCharType="separate"/>
          </w:r>
          <w:r>
            <w:t>9</w:t>
          </w:r>
          <w:r>
            <w:fldChar w:fldCharType="end"/>
          </w:r>
          <w:r>
            <w:rPr>
              <w:rFonts w:hint="eastAsia" w:ascii="宋体" w:hAnsi="宋体" w:eastAsia="宋体" w:cs="宋体"/>
              <w:szCs w:val="24"/>
            </w:rPr>
            <w:fldChar w:fldCharType="end"/>
          </w:r>
        </w:p>
        <w:p w14:paraId="07F4ED9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_Toc1108 </w:instrText>
          </w:r>
          <w:r>
            <w:rPr>
              <w:rFonts w:hint="eastAsia" w:ascii="宋体" w:hAnsi="宋体" w:eastAsia="宋体" w:cs="宋体"/>
              <w:szCs w:val="24"/>
            </w:rPr>
            <w:fldChar w:fldCharType="separate"/>
          </w:r>
          <w:r>
            <w:rPr>
              <w:rFonts w:hint="default"/>
              <w:lang w:val="en-US" w:eastAsia="zh-CN"/>
            </w:rPr>
            <w:t>4. 人员绩效考核</w:t>
          </w:r>
          <w:r>
            <w:rPr>
              <w:rFonts w:hint="eastAsia"/>
              <w:lang w:val="en-US" w:eastAsia="zh-CN"/>
            </w:rPr>
            <w:t>计划</w:t>
          </w:r>
          <w:r>
            <w:tab/>
          </w:r>
          <w:r>
            <w:fldChar w:fldCharType="begin"/>
          </w:r>
          <w:r>
            <w:instrText xml:space="preserve"> PAGEREF _Toc1108 \h </w:instrText>
          </w:r>
          <w:r>
            <w:fldChar w:fldCharType="separate"/>
          </w:r>
          <w:r>
            <w:t>10</w:t>
          </w:r>
          <w:r>
            <w:fldChar w:fldCharType="end"/>
          </w:r>
          <w:r>
            <w:rPr>
              <w:rFonts w:hint="eastAsia" w:ascii="宋体" w:hAnsi="宋体" w:eastAsia="宋体" w:cs="宋体"/>
              <w:szCs w:val="24"/>
            </w:rPr>
            <w:fldChar w:fldCharType="end"/>
          </w:r>
        </w:p>
        <w:p w14:paraId="5B6F32C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_Toc1776 </w:instrText>
          </w:r>
          <w:r>
            <w:rPr>
              <w:rFonts w:hint="eastAsia" w:ascii="宋体" w:hAnsi="宋体" w:eastAsia="宋体" w:cs="宋体"/>
              <w:szCs w:val="24"/>
            </w:rPr>
            <w:fldChar w:fldCharType="separate"/>
          </w:r>
          <w:r>
            <w:rPr>
              <w:rFonts w:hint="default"/>
              <w:lang w:val="en-US" w:eastAsia="zh-CN"/>
            </w:rPr>
            <w:t>4.1. 考核周期设定</w:t>
          </w:r>
          <w:r>
            <w:tab/>
          </w:r>
          <w:r>
            <w:fldChar w:fldCharType="begin"/>
          </w:r>
          <w:r>
            <w:instrText xml:space="preserve"> PAGEREF _Toc1776 \h </w:instrText>
          </w:r>
          <w:r>
            <w:fldChar w:fldCharType="separate"/>
          </w:r>
          <w:r>
            <w:t>10</w:t>
          </w:r>
          <w:r>
            <w:fldChar w:fldCharType="end"/>
          </w:r>
          <w:r>
            <w:rPr>
              <w:rFonts w:hint="eastAsia" w:ascii="宋体" w:hAnsi="宋体" w:eastAsia="宋体" w:cs="宋体"/>
              <w:szCs w:val="24"/>
            </w:rPr>
            <w:fldChar w:fldCharType="end"/>
          </w:r>
        </w:p>
        <w:p w14:paraId="15D30A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_Toc17542 </w:instrText>
          </w:r>
          <w:r>
            <w:rPr>
              <w:rFonts w:hint="eastAsia" w:ascii="宋体" w:hAnsi="宋体" w:eastAsia="宋体" w:cs="宋体"/>
              <w:szCs w:val="24"/>
            </w:rPr>
            <w:fldChar w:fldCharType="separate"/>
          </w:r>
          <w:r>
            <w:rPr>
              <w:rFonts w:hint="default"/>
              <w:lang w:val="en-US" w:eastAsia="zh-CN"/>
            </w:rPr>
            <w:t>4.2. 考核流程</w:t>
          </w:r>
          <w:r>
            <w:tab/>
          </w:r>
          <w:r>
            <w:fldChar w:fldCharType="begin"/>
          </w:r>
          <w:r>
            <w:instrText xml:space="preserve"> PAGEREF _Toc17542 \h </w:instrText>
          </w:r>
          <w:r>
            <w:fldChar w:fldCharType="separate"/>
          </w:r>
          <w:r>
            <w:t>10</w:t>
          </w:r>
          <w:r>
            <w:fldChar w:fldCharType="end"/>
          </w:r>
          <w:r>
            <w:rPr>
              <w:rFonts w:hint="eastAsia" w:ascii="宋体" w:hAnsi="宋体" w:eastAsia="宋体" w:cs="宋体"/>
              <w:szCs w:val="24"/>
            </w:rPr>
            <w:fldChar w:fldCharType="end"/>
          </w:r>
        </w:p>
        <w:p w14:paraId="7A05284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_Toc3441 </w:instrText>
          </w:r>
          <w:r>
            <w:rPr>
              <w:rFonts w:hint="eastAsia" w:ascii="宋体" w:hAnsi="宋体" w:eastAsia="宋体" w:cs="宋体"/>
              <w:szCs w:val="24"/>
            </w:rPr>
            <w:fldChar w:fldCharType="separate"/>
          </w:r>
          <w:r>
            <w:rPr>
              <w:rFonts w:hint="default"/>
              <w:lang w:val="en-US" w:eastAsia="zh-CN"/>
            </w:rPr>
            <w:t>4.2.1. 绩效计划制定</w:t>
          </w:r>
          <w:r>
            <w:tab/>
          </w:r>
          <w:r>
            <w:fldChar w:fldCharType="begin"/>
          </w:r>
          <w:r>
            <w:instrText xml:space="preserve"> PAGEREF _Toc3441 \h </w:instrText>
          </w:r>
          <w:r>
            <w:fldChar w:fldCharType="separate"/>
          </w:r>
          <w:r>
            <w:t>10</w:t>
          </w:r>
          <w:r>
            <w:fldChar w:fldCharType="end"/>
          </w:r>
          <w:r>
            <w:rPr>
              <w:rFonts w:hint="eastAsia" w:ascii="宋体" w:hAnsi="宋体" w:eastAsia="宋体" w:cs="宋体"/>
              <w:szCs w:val="24"/>
            </w:rPr>
            <w:fldChar w:fldCharType="end"/>
          </w:r>
        </w:p>
        <w:p w14:paraId="351F02C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_Toc30683 </w:instrText>
          </w:r>
          <w:r>
            <w:rPr>
              <w:rFonts w:hint="eastAsia" w:ascii="宋体" w:hAnsi="宋体" w:eastAsia="宋体" w:cs="宋体"/>
              <w:szCs w:val="24"/>
            </w:rPr>
            <w:fldChar w:fldCharType="separate"/>
          </w:r>
          <w:r>
            <w:rPr>
              <w:rFonts w:hint="default"/>
              <w:lang w:val="en-US" w:eastAsia="zh-CN"/>
            </w:rPr>
            <w:t>4.2.2. 绩效过程辅导与反馈</w:t>
          </w:r>
          <w:r>
            <w:tab/>
          </w:r>
          <w:r>
            <w:fldChar w:fldCharType="begin"/>
          </w:r>
          <w:r>
            <w:instrText xml:space="preserve"> PAGEREF _Toc30683 \h </w:instrText>
          </w:r>
          <w:r>
            <w:fldChar w:fldCharType="separate"/>
          </w:r>
          <w:r>
            <w:t>10</w:t>
          </w:r>
          <w:r>
            <w:fldChar w:fldCharType="end"/>
          </w:r>
          <w:r>
            <w:rPr>
              <w:rFonts w:hint="eastAsia" w:ascii="宋体" w:hAnsi="宋体" w:eastAsia="宋体" w:cs="宋体"/>
              <w:szCs w:val="24"/>
            </w:rPr>
            <w:fldChar w:fldCharType="end"/>
          </w:r>
        </w:p>
        <w:p w14:paraId="75AA882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_Toc19089 </w:instrText>
          </w:r>
          <w:r>
            <w:rPr>
              <w:rFonts w:hint="eastAsia" w:ascii="宋体" w:hAnsi="宋体" w:eastAsia="宋体" w:cs="宋体"/>
              <w:szCs w:val="24"/>
            </w:rPr>
            <w:fldChar w:fldCharType="separate"/>
          </w:r>
          <w:r>
            <w:rPr>
              <w:rFonts w:hint="default"/>
              <w:lang w:val="en-US" w:eastAsia="zh-CN"/>
            </w:rPr>
            <w:t>4.2.3. 绩效考核评估</w:t>
          </w:r>
          <w:r>
            <w:tab/>
          </w:r>
          <w:r>
            <w:fldChar w:fldCharType="begin"/>
          </w:r>
          <w:r>
            <w:instrText xml:space="preserve"> PAGEREF _Toc19089 \h </w:instrText>
          </w:r>
          <w:r>
            <w:fldChar w:fldCharType="separate"/>
          </w:r>
          <w:r>
            <w:t>10</w:t>
          </w:r>
          <w:r>
            <w:fldChar w:fldCharType="end"/>
          </w:r>
          <w:r>
            <w:rPr>
              <w:rFonts w:hint="eastAsia" w:ascii="宋体" w:hAnsi="宋体" w:eastAsia="宋体" w:cs="宋体"/>
              <w:szCs w:val="24"/>
            </w:rPr>
            <w:fldChar w:fldCharType="end"/>
          </w:r>
        </w:p>
        <w:p w14:paraId="27945BC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_Toc14405 </w:instrText>
          </w:r>
          <w:r>
            <w:rPr>
              <w:rFonts w:hint="eastAsia" w:ascii="宋体" w:hAnsi="宋体" w:eastAsia="宋体" w:cs="宋体"/>
              <w:szCs w:val="24"/>
            </w:rPr>
            <w:fldChar w:fldCharType="separate"/>
          </w:r>
          <w:r>
            <w:rPr>
              <w:rFonts w:hint="default"/>
              <w:lang w:val="en-US" w:eastAsia="zh-CN"/>
            </w:rPr>
            <w:t>4.2.4. 绩效结果反馈与面谈</w:t>
          </w:r>
          <w:r>
            <w:tab/>
          </w:r>
          <w:r>
            <w:fldChar w:fldCharType="begin"/>
          </w:r>
          <w:r>
            <w:instrText xml:space="preserve"> PAGEREF _Toc14405 \h </w:instrText>
          </w:r>
          <w:r>
            <w:fldChar w:fldCharType="separate"/>
          </w:r>
          <w:r>
            <w:t>11</w:t>
          </w:r>
          <w:r>
            <w:fldChar w:fldCharType="end"/>
          </w:r>
          <w:r>
            <w:rPr>
              <w:rFonts w:hint="eastAsia" w:ascii="宋体" w:hAnsi="宋体" w:eastAsia="宋体" w:cs="宋体"/>
              <w:szCs w:val="24"/>
            </w:rPr>
            <w:fldChar w:fldCharType="end"/>
          </w:r>
        </w:p>
        <w:p w14:paraId="6052E3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_Toc10901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考核指标要求</w:t>
          </w:r>
          <w:r>
            <w:tab/>
          </w:r>
          <w:r>
            <w:fldChar w:fldCharType="begin"/>
          </w:r>
          <w:r>
            <w:instrText xml:space="preserve"> PAGEREF _Toc10901 \h </w:instrText>
          </w:r>
          <w:r>
            <w:fldChar w:fldCharType="separate"/>
          </w:r>
          <w:r>
            <w:t>11</w:t>
          </w:r>
          <w:r>
            <w:fldChar w:fldCharType="end"/>
          </w:r>
          <w:r>
            <w:rPr>
              <w:rFonts w:hint="eastAsia" w:ascii="宋体" w:hAnsi="宋体" w:eastAsia="宋体" w:cs="宋体"/>
              <w:szCs w:val="24"/>
            </w:rPr>
            <w:fldChar w:fldCharType="end"/>
          </w:r>
        </w:p>
        <w:p w14:paraId="4DFCD1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_Toc6798 </w:instrText>
          </w:r>
          <w:r>
            <w:rPr>
              <w:rFonts w:hint="eastAsia" w:ascii="宋体" w:hAnsi="宋体" w:eastAsia="宋体" w:cs="宋体"/>
              <w:szCs w:val="24"/>
            </w:rPr>
            <w:fldChar w:fldCharType="separate"/>
          </w:r>
          <w:r>
            <w:rPr>
              <w:rFonts w:hint="default"/>
              <w:lang w:val="en-US" w:eastAsia="zh-CN"/>
            </w:rPr>
            <w:t>5. 人员技能评定</w:t>
          </w:r>
          <w:r>
            <w:rPr>
              <w:rFonts w:hint="eastAsia"/>
              <w:lang w:val="en-US" w:eastAsia="zh-CN"/>
            </w:rPr>
            <w:t>计划</w:t>
          </w:r>
          <w:r>
            <w:tab/>
          </w:r>
          <w:r>
            <w:fldChar w:fldCharType="begin"/>
          </w:r>
          <w:r>
            <w:instrText xml:space="preserve"> PAGEREF _Toc6798 \h </w:instrText>
          </w:r>
          <w:r>
            <w:fldChar w:fldCharType="separate"/>
          </w:r>
          <w:r>
            <w:t>11</w:t>
          </w:r>
          <w:r>
            <w:fldChar w:fldCharType="end"/>
          </w:r>
          <w:r>
            <w:rPr>
              <w:rFonts w:hint="eastAsia" w:ascii="宋体" w:hAnsi="宋体" w:eastAsia="宋体" w:cs="宋体"/>
              <w:szCs w:val="24"/>
            </w:rPr>
            <w:fldChar w:fldCharType="end"/>
          </w:r>
        </w:p>
        <w:p w14:paraId="12490C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_Toc19029 </w:instrText>
          </w:r>
          <w:r>
            <w:rPr>
              <w:rFonts w:hint="eastAsia" w:ascii="宋体" w:hAnsi="宋体" w:eastAsia="宋体" w:cs="宋体"/>
              <w:szCs w:val="24"/>
            </w:rPr>
            <w:fldChar w:fldCharType="separate"/>
          </w:r>
          <w:r>
            <w:rPr>
              <w:rFonts w:hint="default"/>
              <w:lang w:val="en-US" w:eastAsia="zh-CN"/>
            </w:rPr>
            <w:t>5.1. 评定流程</w:t>
          </w:r>
          <w:r>
            <w:tab/>
          </w:r>
          <w:r>
            <w:fldChar w:fldCharType="begin"/>
          </w:r>
          <w:r>
            <w:instrText xml:space="preserve"> PAGEREF _Toc19029 \h </w:instrText>
          </w:r>
          <w:r>
            <w:fldChar w:fldCharType="separate"/>
          </w:r>
          <w:r>
            <w:t>11</w:t>
          </w:r>
          <w:r>
            <w:fldChar w:fldCharType="end"/>
          </w:r>
          <w:r>
            <w:rPr>
              <w:rFonts w:hint="eastAsia" w:ascii="宋体" w:hAnsi="宋体" w:eastAsia="宋体" w:cs="宋体"/>
              <w:szCs w:val="24"/>
            </w:rPr>
            <w:fldChar w:fldCharType="end"/>
          </w:r>
        </w:p>
        <w:p w14:paraId="5159B6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_Toc32412 </w:instrText>
          </w:r>
          <w:r>
            <w:rPr>
              <w:rFonts w:hint="eastAsia" w:ascii="宋体" w:hAnsi="宋体" w:eastAsia="宋体" w:cs="宋体"/>
              <w:szCs w:val="24"/>
            </w:rPr>
            <w:fldChar w:fldCharType="separate"/>
          </w:r>
          <w:r>
            <w:rPr>
              <w:rFonts w:hint="default"/>
              <w:lang w:val="en-US" w:eastAsia="zh-CN"/>
            </w:rPr>
            <w:t>5.2. 技能模型与等级标准</w:t>
          </w:r>
          <w:r>
            <w:tab/>
          </w:r>
          <w:r>
            <w:fldChar w:fldCharType="begin"/>
          </w:r>
          <w:r>
            <w:instrText xml:space="preserve"> PAGEREF _Toc32412 \h </w:instrText>
          </w:r>
          <w:r>
            <w:fldChar w:fldCharType="separate"/>
          </w:r>
          <w:r>
            <w:t>11</w:t>
          </w:r>
          <w:r>
            <w:fldChar w:fldCharType="end"/>
          </w:r>
          <w:r>
            <w:rPr>
              <w:rFonts w:hint="eastAsia" w:ascii="宋体" w:hAnsi="宋体" w:eastAsia="宋体" w:cs="宋体"/>
              <w:szCs w:val="24"/>
            </w:rPr>
            <w:fldChar w:fldCharType="end"/>
          </w:r>
        </w:p>
        <w:p w14:paraId="7C628E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_Toc3808 </w:instrText>
          </w:r>
          <w:r>
            <w:rPr>
              <w:rFonts w:hint="eastAsia" w:ascii="宋体" w:hAnsi="宋体" w:eastAsia="宋体" w:cs="宋体"/>
              <w:szCs w:val="24"/>
            </w:rPr>
            <w:fldChar w:fldCharType="separate"/>
          </w:r>
          <w:r>
            <w:rPr>
              <w:rFonts w:hint="default"/>
              <w:lang w:val="en-US" w:eastAsia="zh-CN"/>
            </w:rPr>
            <w:t>5.3. 评定周期</w:t>
          </w:r>
          <w:r>
            <w:tab/>
          </w:r>
          <w:r>
            <w:fldChar w:fldCharType="begin"/>
          </w:r>
          <w:r>
            <w:instrText xml:space="preserve"> PAGEREF _Toc3808 \h </w:instrText>
          </w:r>
          <w:r>
            <w:fldChar w:fldCharType="separate"/>
          </w:r>
          <w:r>
            <w:t>12</w:t>
          </w:r>
          <w:r>
            <w:fldChar w:fldCharType="end"/>
          </w:r>
          <w:r>
            <w:rPr>
              <w:rFonts w:hint="eastAsia" w:ascii="宋体" w:hAnsi="宋体" w:eastAsia="宋体" w:cs="宋体"/>
              <w:szCs w:val="24"/>
            </w:rPr>
            <w:fldChar w:fldCharType="end"/>
          </w:r>
        </w:p>
        <w:p w14:paraId="059F6A5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_Toc12028 </w:instrText>
          </w:r>
          <w:r>
            <w:rPr>
              <w:rFonts w:hint="eastAsia" w:ascii="宋体" w:hAnsi="宋体" w:eastAsia="宋体" w:cs="宋体"/>
              <w:szCs w:val="24"/>
            </w:rPr>
            <w:fldChar w:fldCharType="separate"/>
          </w:r>
          <w:r>
            <w:rPr>
              <w:rFonts w:hint="default"/>
              <w:lang w:val="en-US" w:eastAsia="zh-CN"/>
            </w:rPr>
            <w:t>5.4. 评定方法与实施</w:t>
          </w:r>
          <w:r>
            <w:tab/>
          </w:r>
          <w:r>
            <w:fldChar w:fldCharType="begin"/>
          </w:r>
          <w:r>
            <w:instrText xml:space="preserve"> PAGEREF _Toc12028 \h </w:instrText>
          </w:r>
          <w:r>
            <w:fldChar w:fldCharType="separate"/>
          </w:r>
          <w:r>
            <w:t>12</w:t>
          </w:r>
          <w:r>
            <w:fldChar w:fldCharType="end"/>
          </w:r>
          <w:r>
            <w:rPr>
              <w:rFonts w:hint="eastAsia" w:ascii="宋体" w:hAnsi="宋体" w:eastAsia="宋体" w:cs="宋体"/>
              <w:szCs w:val="24"/>
            </w:rPr>
            <w:fldChar w:fldCharType="end"/>
          </w:r>
        </w:p>
        <w:p w14:paraId="3AC6E533">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BD76022">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87DD185">
      <w:pPr>
        <w:pStyle w:val="28"/>
        <w:bidi w:val="0"/>
        <w:rPr>
          <w:rFonts w:hint="default"/>
          <w:lang w:val="en-US" w:eastAsia="zh-CN"/>
        </w:rPr>
      </w:pPr>
      <w:bookmarkStart w:id="2" w:name="_Toc13421"/>
      <w:r>
        <w:rPr>
          <w:rFonts w:hint="eastAsia"/>
          <w:lang w:val="en-US" w:eastAsia="zh-CN"/>
        </w:rPr>
        <w:t>总则</w:t>
      </w:r>
      <w:bookmarkEnd w:id="2"/>
    </w:p>
    <w:p w14:paraId="3D4E00D3">
      <w:pPr>
        <w:pStyle w:val="30"/>
        <w:bidi w:val="0"/>
        <w:rPr>
          <w:rFonts w:hint="eastAsia"/>
          <w:lang w:val="en-US" w:eastAsia="zh-CN"/>
        </w:rPr>
      </w:pPr>
      <w:bookmarkStart w:id="3" w:name="_Toc23989"/>
      <w:r>
        <w:rPr>
          <w:rFonts w:hint="eastAsia"/>
          <w:lang w:val="en-US" w:eastAsia="zh-CN"/>
        </w:rPr>
        <w:t>管理目的</w:t>
      </w:r>
      <w:bookmarkEnd w:id="3"/>
    </w:p>
    <w:p w14:paraId="66276CA3">
      <w:pPr>
        <w:pStyle w:val="29"/>
        <w:rPr>
          <w:rFonts w:hint="eastAsia"/>
          <w:lang w:val="en-US" w:eastAsia="zh-CN"/>
        </w:rPr>
      </w:pPr>
      <w:r>
        <w:rPr>
          <w:rFonts w:hint="eastAsia"/>
          <w:lang w:val="en-US" w:eastAsia="zh-CN"/>
        </w:rPr>
        <w:t>为建立科学、规范、系统的人员管理体系，优化公司人力资源配置，提升员工专业技能与综合素质，保障公司各项业务，特别是软件运维服务及相关研发、质量、应急业务的稳定与持续发展，特制定本制度。</w:t>
      </w:r>
    </w:p>
    <w:p w14:paraId="678E79EB">
      <w:pPr>
        <w:pStyle w:val="29"/>
        <w:rPr>
          <w:rFonts w:hint="eastAsia"/>
          <w:lang w:val="en-US" w:eastAsia="zh-CN"/>
        </w:rPr>
      </w:pPr>
      <w:r>
        <w:rPr>
          <w:rFonts w:hint="eastAsia"/>
          <w:lang w:val="en-US" w:eastAsia="zh-CN"/>
        </w:rPr>
        <w:t>本制度旨在通过有效的人员招聘、储备、培训、备份、绩效与技能管理，打造一支结构合理、技能精湛、敬业高效的人才队伍，支撑公司战略目标的实现。</w:t>
      </w:r>
    </w:p>
    <w:p w14:paraId="59CAF891">
      <w:pPr>
        <w:pStyle w:val="30"/>
        <w:bidi w:val="0"/>
        <w:rPr>
          <w:rFonts w:hint="eastAsia"/>
          <w:lang w:val="en-US" w:eastAsia="zh-CN"/>
        </w:rPr>
      </w:pPr>
      <w:bookmarkStart w:id="4" w:name="_Toc25937"/>
      <w:r>
        <w:rPr>
          <w:rFonts w:hint="eastAsia"/>
          <w:lang w:val="en-US" w:eastAsia="zh-CN"/>
        </w:rPr>
        <w:t>适用范围</w:t>
      </w:r>
      <w:bookmarkEnd w:id="4"/>
    </w:p>
    <w:p w14:paraId="1940D0F0">
      <w:pPr>
        <w:pStyle w:val="29"/>
        <w:rPr>
          <w:rFonts w:hint="eastAsia"/>
          <w:lang w:val="en-US" w:eastAsia="zh-CN"/>
        </w:rPr>
      </w:pPr>
      <w:r>
        <w:rPr>
          <w:rFonts w:hint="eastAsia"/>
          <w:lang w:val="en-US" w:eastAsia="zh-CN"/>
        </w:rPr>
        <w:t>本制度适用于江西通信产业服务有限公司全体员工，包括与公司建立劳动关系的所有正式员工、试用期员工及公司认定的其他相关人员。本制度所涵盖的管理活动，包括但不限于人员的招聘、内部储备、培训发展、岗位备份（AB角）、绩效考核及技能评定等工作。</w:t>
      </w:r>
    </w:p>
    <w:p w14:paraId="7996486C">
      <w:pPr>
        <w:pStyle w:val="30"/>
        <w:bidi w:val="0"/>
        <w:rPr>
          <w:rFonts w:hint="eastAsia"/>
          <w:lang w:val="en-US" w:eastAsia="zh-CN"/>
        </w:rPr>
      </w:pPr>
      <w:bookmarkStart w:id="5" w:name="_Toc27862"/>
      <w:r>
        <w:rPr>
          <w:rFonts w:hint="eastAsia"/>
          <w:lang w:val="en-US" w:eastAsia="zh-CN"/>
        </w:rPr>
        <w:t>基本原则</w:t>
      </w:r>
      <w:bookmarkEnd w:id="5"/>
    </w:p>
    <w:p w14:paraId="7516B52F">
      <w:pPr>
        <w:pStyle w:val="29"/>
        <w:rPr>
          <w:rFonts w:hint="eastAsia"/>
          <w:lang w:val="en-US" w:eastAsia="zh-CN"/>
        </w:rPr>
      </w:pPr>
      <w:r>
        <w:rPr>
          <w:rFonts w:hint="eastAsia"/>
          <w:lang w:val="en-US" w:eastAsia="zh-CN"/>
        </w:rPr>
        <w:t>战略导向原则：所有人员管理活动须紧密围绕公司经营战略与业务发展需要，服务于公司核心竞争力提升。</w:t>
      </w:r>
    </w:p>
    <w:p w14:paraId="5DEDAF80">
      <w:pPr>
        <w:pStyle w:val="29"/>
        <w:rPr>
          <w:rFonts w:hint="eastAsia"/>
          <w:lang w:val="en-US" w:eastAsia="zh-CN"/>
        </w:rPr>
      </w:pPr>
      <w:r>
        <w:rPr>
          <w:rFonts w:hint="eastAsia"/>
          <w:lang w:val="en-US" w:eastAsia="zh-CN"/>
        </w:rPr>
        <w:t>合规性与公平性原则：严格遵守国家及地方相关法律法规，确保管理过程公开、公平、公正，保障员工合法权益。</w:t>
      </w:r>
    </w:p>
    <w:p w14:paraId="64211CB4">
      <w:pPr>
        <w:pStyle w:val="29"/>
        <w:rPr>
          <w:rFonts w:hint="eastAsia"/>
          <w:lang w:val="en-US" w:eastAsia="zh-CN"/>
        </w:rPr>
      </w:pPr>
      <w:r>
        <w:rPr>
          <w:rFonts w:hint="eastAsia"/>
          <w:lang w:val="en-US" w:eastAsia="zh-CN"/>
        </w:rPr>
        <w:t>德才兼备与以德为先原则：在重视员工专业能力与业绩的同时，将职业道德、团队协作与企业文化认同作为重要的评价与选拔标准。</w:t>
      </w:r>
    </w:p>
    <w:p w14:paraId="44723BB9">
      <w:pPr>
        <w:pStyle w:val="29"/>
        <w:rPr>
          <w:rFonts w:hint="eastAsia"/>
          <w:lang w:val="en-US" w:eastAsia="zh-CN"/>
        </w:rPr>
      </w:pPr>
      <w:r>
        <w:rPr>
          <w:rFonts w:hint="eastAsia"/>
          <w:lang w:val="en-US" w:eastAsia="zh-CN"/>
        </w:rPr>
        <w:t>培养与发展并重原则：强调通过系统性培训与职业发展规划，促进员工能力持续提升，实现员工个人成长与公司发展的统一。</w:t>
      </w:r>
    </w:p>
    <w:p w14:paraId="2D303391">
      <w:pPr>
        <w:pStyle w:val="29"/>
        <w:rPr>
          <w:rFonts w:hint="eastAsia"/>
          <w:lang w:val="en-US" w:eastAsia="zh-CN"/>
        </w:rPr>
      </w:pPr>
      <w:r>
        <w:rPr>
          <w:rFonts w:hint="eastAsia"/>
          <w:lang w:val="en-US" w:eastAsia="zh-CN"/>
        </w:rPr>
        <w:t>动态管理与持续改进原则：人员管理策略与措施应根据公司内外部环境变化及执行反馈进行定期评估与优化。</w:t>
      </w:r>
    </w:p>
    <w:p w14:paraId="30FB91EC">
      <w:pPr>
        <w:pStyle w:val="30"/>
        <w:bidi w:val="0"/>
        <w:rPr>
          <w:rFonts w:hint="default"/>
          <w:lang w:val="en-US" w:eastAsia="zh-CN"/>
        </w:rPr>
      </w:pPr>
      <w:bookmarkStart w:id="6" w:name="_Toc16685"/>
      <w:r>
        <w:rPr>
          <w:rFonts w:hint="eastAsia"/>
          <w:lang w:val="en-US" w:eastAsia="zh-CN"/>
        </w:rPr>
        <w:t>管理职责</w:t>
      </w:r>
      <w:bookmarkEnd w:id="6"/>
    </w:p>
    <w:p w14:paraId="32486FA5">
      <w:pPr>
        <w:pStyle w:val="31"/>
        <w:bidi w:val="0"/>
        <w:rPr>
          <w:rFonts w:hint="default"/>
          <w:lang w:val="en-US" w:eastAsia="zh-CN"/>
        </w:rPr>
      </w:pPr>
      <w:bookmarkStart w:id="7" w:name="_Toc29095"/>
      <w:r>
        <w:rPr>
          <w:rFonts w:hint="default"/>
          <w:lang w:val="en-US" w:eastAsia="zh-CN"/>
        </w:rPr>
        <w:t>人力部</w:t>
      </w:r>
      <w:bookmarkEnd w:id="7"/>
    </w:p>
    <w:p w14:paraId="15C03385">
      <w:pPr>
        <w:pStyle w:val="29"/>
        <w:rPr>
          <w:rFonts w:hint="default"/>
          <w:lang w:val="en-US" w:eastAsia="zh-CN"/>
        </w:rPr>
      </w:pPr>
      <w:r>
        <w:rPr>
          <w:rFonts w:hint="default"/>
          <w:lang w:val="en-US" w:eastAsia="zh-CN"/>
        </w:rPr>
        <w:t>作为人员管理的归口部门，负责本制度的制定、修订、解释与推动实施。具体职责包括：</w:t>
      </w:r>
    </w:p>
    <w:p w14:paraId="0DD9CA24">
      <w:pPr>
        <w:pStyle w:val="29"/>
        <w:numPr>
          <w:ilvl w:val="0"/>
          <w:numId w:val="2"/>
        </w:numPr>
        <w:ind w:left="425" w:leftChars="0" w:hanging="425" w:firstLineChars="0"/>
        <w:rPr>
          <w:rFonts w:hint="default"/>
          <w:lang w:val="en-US" w:eastAsia="zh-CN"/>
        </w:rPr>
      </w:pPr>
      <w:r>
        <w:rPr>
          <w:rFonts w:hint="default"/>
          <w:lang w:val="en-US" w:eastAsia="zh-CN"/>
        </w:rPr>
        <w:t>统筹全公司招聘计划与活动；</w:t>
      </w:r>
    </w:p>
    <w:p w14:paraId="53063D63">
      <w:pPr>
        <w:pStyle w:val="29"/>
        <w:numPr>
          <w:ilvl w:val="0"/>
          <w:numId w:val="2"/>
        </w:numPr>
        <w:ind w:left="425" w:leftChars="0" w:hanging="425" w:firstLineChars="0"/>
        <w:rPr>
          <w:rFonts w:hint="default"/>
          <w:lang w:val="en-US" w:eastAsia="zh-CN"/>
        </w:rPr>
      </w:pPr>
      <w:r>
        <w:rPr>
          <w:rFonts w:hint="default"/>
          <w:lang w:val="en-US" w:eastAsia="zh-CN"/>
        </w:rPr>
        <w:t>建立人才储备与培训体系；</w:t>
      </w:r>
    </w:p>
    <w:p w14:paraId="47EB1C14">
      <w:pPr>
        <w:pStyle w:val="29"/>
        <w:numPr>
          <w:ilvl w:val="0"/>
          <w:numId w:val="2"/>
        </w:numPr>
        <w:ind w:left="425" w:leftChars="0" w:hanging="425" w:firstLineChars="0"/>
        <w:rPr>
          <w:rFonts w:hint="default"/>
          <w:lang w:val="en-US" w:eastAsia="zh-CN"/>
        </w:rPr>
      </w:pPr>
      <w:r>
        <w:rPr>
          <w:rFonts w:hint="default"/>
          <w:lang w:val="en-US" w:eastAsia="zh-CN"/>
        </w:rPr>
        <w:t>组织协调绩效考核与技能评定工作；</w:t>
      </w:r>
    </w:p>
    <w:p w14:paraId="0F0E1386">
      <w:pPr>
        <w:pStyle w:val="29"/>
        <w:numPr>
          <w:ilvl w:val="0"/>
          <w:numId w:val="2"/>
        </w:numPr>
        <w:ind w:left="425" w:leftChars="0" w:hanging="425" w:firstLineChars="0"/>
        <w:rPr>
          <w:rFonts w:hint="default"/>
          <w:lang w:val="en-US" w:eastAsia="zh-CN"/>
        </w:rPr>
      </w:pPr>
      <w:r>
        <w:rPr>
          <w:rFonts w:hint="default"/>
          <w:lang w:val="en-US" w:eastAsia="zh-CN"/>
        </w:rPr>
        <w:t>监督人员备份机制运行；</w:t>
      </w:r>
    </w:p>
    <w:p w14:paraId="369AC460">
      <w:pPr>
        <w:pStyle w:val="29"/>
        <w:numPr>
          <w:ilvl w:val="0"/>
          <w:numId w:val="2"/>
        </w:numPr>
        <w:ind w:left="425" w:leftChars="0" w:hanging="425" w:firstLineChars="0"/>
        <w:rPr>
          <w:rFonts w:hint="default"/>
          <w:lang w:val="en-US" w:eastAsia="zh-CN"/>
        </w:rPr>
      </w:pPr>
      <w:r>
        <w:rPr>
          <w:rFonts w:hint="default"/>
          <w:lang w:val="en-US" w:eastAsia="zh-CN"/>
        </w:rPr>
        <w:t>管理相关人事档案与数据。</w:t>
      </w:r>
    </w:p>
    <w:p w14:paraId="4DE9190D">
      <w:pPr>
        <w:pStyle w:val="31"/>
        <w:bidi w:val="0"/>
        <w:rPr>
          <w:rFonts w:hint="eastAsia"/>
          <w:lang w:val="en-US" w:eastAsia="zh-CN"/>
        </w:rPr>
      </w:pPr>
      <w:bookmarkStart w:id="8" w:name="_Toc19756"/>
      <w:r>
        <w:rPr>
          <w:rFonts w:hint="eastAsia"/>
          <w:lang w:val="en-US" w:eastAsia="zh-CN"/>
        </w:rPr>
        <w:t>其他运维部门</w:t>
      </w:r>
      <w:bookmarkEnd w:id="8"/>
    </w:p>
    <w:p w14:paraId="77B7F99F">
      <w:pPr>
        <w:pStyle w:val="29"/>
        <w:rPr>
          <w:rFonts w:hint="eastAsia"/>
          <w:lang w:val="en-US" w:eastAsia="zh-CN"/>
        </w:rPr>
      </w:pPr>
      <w:r>
        <w:rPr>
          <w:rFonts w:hint="default"/>
          <w:lang w:val="en-US" w:eastAsia="zh-CN"/>
        </w:rPr>
        <w:t>作为人员管理的需求部门与执行主体，</w:t>
      </w:r>
      <w:r>
        <w:rPr>
          <w:rFonts w:hint="eastAsia"/>
          <w:lang w:val="en-US" w:eastAsia="zh-CN"/>
        </w:rPr>
        <w:t>具体职责包括</w:t>
      </w:r>
      <w:r>
        <w:rPr>
          <w:rFonts w:hint="default"/>
          <w:lang w:val="en-US" w:eastAsia="zh-CN"/>
        </w:rPr>
        <w:t>：</w:t>
      </w:r>
    </w:p>
    <w:p w14:paraId="542DEC11">
      <w:pPr>
        <w:pStyle w:val="29"/>
        <w:numPr>
          <w:ilvl w:val="0"/>
          <w:numId w:val="3"/>
        </w:numPr>
        <w:ind w:left="425" w:leftChars="0" w:hanging="425" w:firstLineChars="0"/>
        <w:rPr>
          <w:rFonts w:hint="default"/>
          <w:lang w:val="en-US" w:eastAsia="zh-CN"/>
        </w:rPr>
      </w:pPr>
      <w:r>
        <w:rPr>
          <w:rFonts w:hint="default"/>
          <w:lang w:val="en-US" w:eastAsia="zh-CN"/>
        </w:rPr>
        <w:t>负责根据业务发展提出具体的人员需求（招聘、储备、培训等）；</w:t>
      </w:r>
    </w:p>
    <w:p w14:paraId="6C37A95C">
      <w:pPr>
        <w:pStyle w:val="29"/>
        <w:numPr>
          <w:ilvl w:val="0"/>
          <w:numId w:val="3"/>
        </w:numPr>
        <w:ind w:left="425" w:leftChars="0" w:hanging="425" w:firstLineChars="0"/>
        <w:rPr>
          <w:rFonts w:hint="default"/>
          <w:lang w:val="en-US" w:eastAsia="zh-CN"/>
        </w:rPr>
      </w:pPr>
      <w:r>
        <w:rPr>
          <w:rFonts w:hint="default"/>
          <w:lang w:val="en-US" w:eastAsia="zh-CN"/>
        </w:rPr>
        <w:t>参与候选人的面试与评估；</w:t>
      </w:r>
    </w:p>
    <w:p w14:paraId="0C903955">
      <w:pPr>
        <w:pStyle w:val="29"/>
        <w:numPr>
          <w:ilvl w:val="0"/>
          <w:numId w:val="3"/>
        </w:numPr>
        <w:ind w:left="425" w:leftChars="0" w:hanging="425" w:firstLineChars="0"/>
        <w:rPr>
          <w:rFonts w:hint="default"/>
          <w:lang w:val="en-US" w:eastAsia="zh-CN"/>
        </w:rPr>
      </w:pPr>
      <w:r>
        <w:rPr>
          <w:rFonts w:hint="default"/>
          <w:lang w:val="en-US" w:eastAsia="zh-CN"/>
        </w:rPr>
        <w:t>组织实施部门内部培训、岗位技能传授与备份人员培养；</w:t>
      </w:r>
    </w:p>
    <w:p w14:paraId="28E7F09F">
      <w:pPr>
        <w:pStyle w:val="29"/>
        <w:numPr>
          <w:ilvl w:val="0"/>
          <w:numId w:val="3"/>
        </w:numPr>
        <w:ind w:left="425" w:leftChars="0" w:hanging="425" w:firstLineChars="0"/>
        <w:rPr>
          <w:rFonts w:hint="default"/>
          <w:lang w:val="en-US" w:eastAsia="zh-CN"/>
        </w:rPr>
      </w:pPr>
      <w:r>
        <w:rPr>
          <w:rFonts w:hint="default"/>
          <w:lang w:val="en-US" w:eastAsia="zh-CN"/>
        </w:rPr>
        <w:t>负责本部门员工的日常绩效管理与反馈；配合完成公司组织的各项人员管理活动。</w:t>
      </w:r>
    </w:p>
    <w:p w14:paraId="1FF9303B">
      <w:pPr>
        <w:pStyle w:val="31"/>
        <w:bidi w:val="0"/>
        <w:rPr>
          <w:rFonts w:hint="default"/>
          <w:lang w:val="en-US" w:eastAsia="zh-CN"/>
        </w:rPr>
      </w:pPr>
      <w:bookmarkStart w:id="9" w:name="_Toc21361"/>
      <w:r>
        <w:rPr>
          <w:rFonts w:hint="eastAsia"/>
          <w:lang w:val="en-US" w:eastAsia="zh-CN"/>
        </w:rPr>
        <w:t>管理者代表</w:t>
      </w:r>
      <w:bookmarkEnd w:id="9"/>
    </w:p>
    <w:p w14:paraId="582F24B0">
      <w:pPr>
        <w:pStyle w:val="29"/>
        <w:rPr>
          <w:rFonts w:hint="default"/>
          <w:lang w:val="en-US" w:eastAsia="zh-CN"/>
        </w:rPr>
      </w:pPr>
      <w:r>
        <w:rPr>
          <w:rFonts w:hint="default"/>
          <w:lang w:val="en-US" w:eastAsia="zh-CN"/>
        </w:rPr>
        <w:t>负责审批公司整体人员规划、年度招聘与培训预算、关键岗位的任命以及重大的人力资源政策。为人员管理体系的建设与运行提供资源支持与方向指导。</w:t>
      </w:r>
    </w:p>
    <w:p w14:paraId="43FD39E1">
      <w:pPr>
        <w:pStyle w:val="31"/>
        <w:bidi w:val="0"/>
        <w:rPr>
          <w:rFonts w:hint="default"/>
          <w:lang w:val="en-US" w:eastAsia="zh-CN"/>
        </w:rPr>
      </w:pPr>
      <w:bookmarkStart w:id="10" w:name="_Toc5911"/>
      <w:r>
        <w:rPr>
          <w:rFonts w:hint="default"/>
          <w:lang w:val="en-US" w:eastAsia="zh-CN"/>
        </w:rPr>
        <w:t>员工个人</w:t>
      </w:r>
      <w:bookmarkEnd w:id="10"/>
    </w:p>
    <w:p w14:paraId="422280F6">
      <w:pPr>
        <w:pStyle w:val="29"/>
        <w:rPr>
          <w:rFonts w:hint="default"/>
          <w:lang w:val="en-US" w:eastAsia="zh-CN"/>
        </w:rPr>
      </w:pPr>
      <w:r>
        <w:rPr>
          <w:rFonts w:hint="eastAsia"/>
          <w:lang w:val="en-US" w:eastAsia="zh-CN"/>
        </w:rPr>
        <w:t>为积极完成人员管理管理，员工个人应积极完成以下工作：</w:t>
      </w:r>
    </w:p>
    <w:p w14:paraId="03A2BC73">
      <w:pPr>
        <w:pStyle w:val="29"/>
        <w:numPr>
          <w:ilvl w:val="0"/>
          <w:numId w:val="4"/>
        </w:numPr>
        <w:ind w:left="425" w:leftChars="0" w:hanging="425" w:firstLineChars="0"/>
        <w:rPr>
          <w:rFonts w:hint="default"/>
          <w:lang w:val="en-US" w:eastAsia="zh-CN"/>
        </w:rPr>
      </w:pPr>
      <w:r>
        <w:rPr>
          <w:rFonts w:hint="default"/>
          <w:lang w:val="en-US" w:eastAsia="zh-CN"/>
        </w:rPr>
        <w:t>应积极参与公司组织的各项培训与发展活动，主动提升自身技能与绩效；</w:t>
      </w:r>
    </w:p>
    <w:p w14:paraId="577BC290">
      <w:pPr>
        <w:pStyle w:val="29"/>
        <w:numPr>
          <w:ilvl w:val="0"/>
          <w:numId w:val="4"/>
        </w:numPr>
        <w:ind w:left="425" w:leftChars="0" w:hanging="425" w:firstLineChars="0"/>
        <w:rPr>
          <w:rFonts w:hint="default"/>
          <w:lang w:val="en-US" w:eastAsia="zh-CN"/>
        </w:rPr>
      </w:pPr>
      <w:r>
        <w:rPr>
          <w:rFonts w:hint="default"/>
          <w:lang w:val="en-US" w:eastAsia="zh-CN"/>
        </w:rPr>
        <w:t>遵循岗位备份安排，确保知识共享与业务连续性；</w:t>
      </w:r>
    </w:p>
    <w:p w14:paraId="74CD65FF">
      <w:pPr>
        <w:pStyle w:val="29"/>
        <w:numPr>
          <w:ilvl w:val="0"/>
          <w:numId w:val="4"/>
        </w:numPr>
        <w:ind w:left="425" w:leftChars="0" w:hanging="425" w:firstLineChars="0"/>
        <w:rPr>
          <w:rFonts w:hint="default"/>
          <w:lang w:val="en-US" w:eastAsia="zh-CN"/>
        </w:rPr>
      </w:pPr>
      <w:r>
        <w:rPr>
          <w:rFonts w:hint="default"/>
          <w:lang w:val="en-US" w:eastAsia="zh-CN"/>
        </w:rPr>
        <w:t>如实参与绩效考核与技能评定，并基于反馈进行改进。</w:t>
      </w:r>
    </w:p>
    <w:p w14:paraId="126EBF22">
      <w:pPr>
        <w:pStyle w:val="28"/>
        <w:bidi w:val="0"/>
        <w:rPr>
          <w:rFonts w:hint="default"/>
          <w:lang w:val="en-US" w:eastAsia="zh-CN"/>
        </w:rPr>
      </w:pPr>
      <w:bookmarkStart w:id="11" w:name="_Toc9716"/>
      <w:r>
        <w:rPr>
          <w:rFonts w:hint="eastAsia"/>
          <w:lang w:val="en-US" w:eastAsia="zh-CN"/>
        </w:rPr>
        <w:t>人员储备计划</w:t>
      </w:r>
      <w:bookmarkEnd w:id="11"/>
    </w:p>
    <w:p w14:paraId="719BE372">
      <w:pPr>
        <w:pStyle w:val="30"/>
        <w:bidi w:val="0"/>
        <w:rPr>
          <w:rFonts w:hint="eastAsia"/>
          <w:lang w:val="en-US" w:eastAsia="zh-CN"/>
        </w:rPr>
      </w:pPr>
      <w:bookmarkStart w:id="12" w:name="_Toc5215"/>
      <w:r>
        <w:rPr>
          <w:rFonts w:hint="eastAsia"/>
          <w:lang w:val="en-US" w:eastAsia="zh-CN"/>
        </w:rPr>
        <w:t>外部招聘储备</w:t>
      </w:r>
      <w:bookmarkEnd w:id="12"/>
    </w:p>
    <w:p w14:paraId="73682DB4">
      <w:pPr>
        <w:pStyle w:val="29"/>
        <w:rPr>
          <w:rFonts w:hint="eastAsia"/>
          <w:lang w:val="en-US" w:eastAsia="zh-CN"/>
        </w:rPr>
      </w:pPr>
      <w:r>
        <w:rPr>
          <w:rFonts w:hint="eastAsia"/>
          <w:lang w:val="en-US" w:eastAsia="zh-CN"/>
        </w:rPr>
        <w:t>人力部汇总数智运营部和研发总院提出的用人需求汇总，在5个岗位共需要招聘11人，情况如下：</w:t>
      </w:r>
    </w:p>
    <w:p w14:paraId="66DBA1E9">
      <w:pPr>
        <w:pStyle w:val="29"/>
        <w:rPr>
          <w:rFonts w:hint="eastAsia"/>
          <w:lang w:val="en-US" w:eastAsia="zh-CN"/>
        </w:rPr>
      </w:pPr>
      <w:r>
        <w:rPr>
          <w:rFonts w:hint="eastAsia"/>
          <w:lang w:val="en-US" w:eastAsia="zh-CN"/>
        </w:rPr>
        <w:t>开发工程师1人</w:t>
      </w:r>
    </w:p>
    <w:p w14:paraId="3454C7B8">
      <w:pPr>
        <w:pStyle w:val="29"/>
        <w:rPr>
          <w:rFonts w:hint="eastAsia"/>
          <w:lang w:val="en-US" w:eastAsia="zh-CN"/>
        </w:rPr>
      </w:pPr>
      <w:r>
        <w:rPr>
          <w:rFonts w:hint="eastAsia"/>
          <w:lang w:val="en-US" w:eastAsia="zh-CN"/>
        </w:rPr>
        <w:t>测试工程师1人</w:t>
      </w:r>
    </w:p>
    <w:p w14:paraId="0911E5CE">
      <w:pPr>
        <w:pStyle w:val="29"/>
        <w:rPr>
          <w:rFonts w:hint="eastAsia"/>
          <w:lang w:val="en-US" w:eastAsia="zh-CN"/>
        </w:rPr>
      </w:pPr>
      <w:r>
        <w:rPr>
          <w:rFonts w:hint="eastAsia"/>
          <w:lang w:val="en-US" w:eastAsia="zh-CN"/>
        </w:rPr>
        <w:t>服务台专员2人</w:t>
      </w:r>
    </w:p>
    <w:p w14:paraId="314568BB">
      <w:pPr>
        <w:pStyle w:val="29"/>
        <w:rPr>
          <w:rFonts w:hint="eastAsia"/>
          <w:lang w:val="en-US" w:eastAsia="zh-CN"/>
        </w:rPr>
      </w:pPr>
      <w:r>
        <w:rPr>
          <w:rFonts w:hint="eastAsia"/>
          <w:lang w:val="en-US" w:eastAsia="zh-CN"/>
        </w:rPr>
        <w:t>运维工程师6人</w:t>
      </w:r>
    </w:p>
    <w:p w14:paraId="5C353ED0">
      <w:pPr>
        <w:pStyle w:val="29"/>
        <w:rPr>
          <w:rFonts w:hint="eastAsia"/>
          <w:lang w:val="en-US" w:eastAsia="zh-CN"/>
        </w:rPr>
      </w:pPr>
      <w:r>
        <w:rPr>
          <w:rFonts w:hint="eastAsia"/>
          <w:lang w:val="en-US" w:eastAsia="zh-CN"/>
        </w:rPr>
        <w:t>服务知识专员1人</w:t>
      </w:r>
    </w:p>
    <w:p w14:paraId="3287AF7B">
      <w:pPr>
        <w:pStyle w:val="29"/>
        <w:bidi w:val="0"/>
      </w:pPr>
      <w:r>
        <w:t>人力部整合各用人部门的岗位需求，根据需求时间与人数进行细化拆解，并据此制定招聘计划如下：</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641A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65086962">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1825" w:type="dxa"/>
            <w:vAlign w:val="center"/>
          </w:tcPr>
          <w:p w14:paraId="6AB7CB9C">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需求部门</w:t>
            </w:r>
          </w:p>
        </w:tc>
        <w:tc>
          <w:tcPr>
            <w:tcW w:w="2134" w:type="dxa"/>
            <w:vAlign w:val="center"/>
          </w:tcPr>
          <w:p w14:paraId="07FFDAEA">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520" w:type="dxa"/>
            <w:vAlign w:val="center"/>
          </w:tcPr>
          <w:p w14:paraId="731A2645">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招聘人数</w:t>
            </w:r>
          </w:p>
        </w:tc>
        <w:tc>
          <w:tcPr>
            <w:tcW w:w="2142" w:type="dxa"/>
            <w:vAlign w:val="center"/>
          </w:tcPr>
          <w:p w14:paraId="39FA0C15">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63CC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894E98E">
            <w:pPr>
              <w:pStyle w:val="29"/>
              <w:widowControl w:val="0"/>
              <w:numPr>
                <w:ilvl w:val="0"/>
                <w:numId w:val="5"/>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008AD76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vAlign w:val="center"/>
          </w:tcPr>
          <w:p w14:paraId="66479615">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2BA63E3E">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C10777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114C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33108F7">
            <w:pPr>
              <w:pStyle w:val="29"/>
              <w:widowControl w:val="0"/>
              <w:numPr>
                <w:ilvl w:val="0"/>
                <w:numId w:val="5"/>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2753A37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vAlign w:val="center"/>
          </w:tcPr>
          <w:p w14:paraId="14822B2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4D6FFA43">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80704C5">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0CFF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85A0483">
            <w:pPr>
              <w:pStyle w:val="29"/>
              <w:widowControl w:val="0"/>
              <w:numPr>
                <w:ilvl w:val="0"/>
                <w:numId w:val="5"/>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642C547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1EAB88C1">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7D65ACB2">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770C76F1">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2757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B03280C">
            <w:pPr>
              <w:pStyle w:val="29"/>
              <w:widowControl w:val="0"/>
              <w:numPr>
                <w:ilvl w:val="0"/>
                <w:numId w:val="5"/>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56B8504E">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0FD5FC2D">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FE7EC8C">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5DC55F25">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073D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738C104">
            <w:pPr>
              <w:pStyle w:val="29"/>
              <w:widowControl w:val="0"/>
              <w:numPr>
                <w:ilvl w:val="0"/>
                <w:numId w:val="5"/>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3752AC34">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4BAE22A6">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F056B77">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49B17E6A">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6597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9F69CAB">
            <w:pPr>
              <w:pStyle w:val="29"/>
              <w:widowControl w:val="0"/>
              <w:numPr>
                <w:ilvl w:val="0"/>
                <w:numId w:val="5"/>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4782CC37">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shd w:val="clear" w:color="auto" w:fill="auto"/>
            <w:vAlign w:val="center"/>
          </w:tcPr>
          <w:p w14:paraId="64B00111">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63CB6799">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105B841B">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p>
        </w:tc>
      </w:tr>
      <w:tr w14:paraId="4A5D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B1BDE46">
            <w:pPr>
              <w:pStyle w:val="29"/>
              <w:widowControl w:val="0"/>
              <w:numPr>
                <w:ilvl w:val="0"/>
                <w:numId w:val="5"/>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7EE79D77">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76EBD8A1">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7A20152">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3C881226">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383B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D893F8A">
            <w:pPr>
              <w:pStyle w:val="29"/>
              <w:widowControl w:val="0"/>
              <w:numPr>
                <w:ilvl w:val="0"/>
                <w:numId w:val="5"/>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724C3B7B">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3219C628">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445427EB">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6FB04E86">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0AF93C2D">
      <w:pPr>
        <w:pStyle w:val="30"/>
        <w:bidi w:val="0"/>
        <w:rPr>
          <w:rFonts w:hint="default"/>
          <w:lang w:val="en-US" w:eastAsia="zh-CN"/>
        </w:rPr>
      </w:pPr>
      <w:bookmarkStart w:id="13" w:name="_Toc16073"/>
      <w:r>
        <w:rPr>
          <w:rFonts w:hint="eastAsia"/>
          <w:lang w:val="en-US" w:eastAsia="zh-CN"/>
        </w:rPr>
        <w:t>内部储备与选拔</w:t>
      </w:r>
      <w:bookmarkEnd w:id="13"/>
    </w:p>
    <w:p w14:paraId="46D11B17">
      <w:pPr>
        <w:pStyle w:val="29"/>
        <w:rPr>
          <w:rFonts w:hint="default"/>
          <w:lang w:val="en-US" w:eastAsia="zh-CN"/>
        </w:rPr>
      </w:pPr>
      <w:r>
        <w:rPr>
          <w:rFonts w:hint="eastAsia"/>
          <w:lang w:val="en-US" w:eastAsia="zh-CN"/>
        </w:rPr>
        <w:t>由于数智运营部经理、运营项目经理、研究总院经理、质量管理部经理对公司运维服务项目稳定性有重大影响，特进行备份，制定人员备份计划如下：</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0FA6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870059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471C1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BB65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EAE25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7D4F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7744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DE88B1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618B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E5753FD">
            <w:pPr>
              <w:keepNext w:val="0"/>
              <w:keepLines w:val="0"/>
              <w:widowControl/>
              <w:numPr>
                <w:ilvl w:val="0"/>
                <w:numId w:val="6"/>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784C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CDA0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0DCC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FCD7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5773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76D6497">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5B5C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B81375">
            <w:pPr>
              <w:keepNext w:val="0"/>
              <w:keepLines w:val="0"/>
              <w:widowControl/>
              <w:numPr>
                <w:ilvl w:val="0"/>
                <w:numId w:val="6"/>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DE3B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4F352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C605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0A97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数智运营部经理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2340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9C92E1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14A4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09E0C27">
            <w:pPr>
              <w:keepNext w:val="0"/>
              <w:keepLines w:val="0"/>
              <w:widowControl/>
              <w:numPr>
                <w:ilvl w:val="0"/>
                <w:numId w:val="6"/>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0B34C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107B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83C0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E5C4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E66B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1753435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4A94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DBB4809">
            <w:pPr>
              <w:keepNext w:val="0"/>
              <w:keepLines w:val="0"/>
              <w:widowControl/>
              <w:numPr>
                <w:ilvl w:val="0"/>
                <w:numId w:val="6"/>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17492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3FD3D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05E01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DB692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B70F3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65AA500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10EEF000">
      <w:pPr>
        <w:pStyle w:val="29"/>
        <w:rPr>
          <w:rFonts w:hint="default"/>
          <w:lang w:val="en-US" w:eastAsia="zh-CN"/>
        </w:rPr>
      </w:pPr>
    </w:p>
    <w:p w14:paraId="4925D2CC">
      <w:pPr>
        <w:pStyle w:val="28"/>
        <w:bidi w:val="0"/>
        <w:rPr>
          <w:rFonts w:hint="default"/>
          <w:lang w:val="en-US" w:eastAsia="zh-CN"/>
        </w:rPr>
      </w:pPr>
      <w:bookmarkStart w:id="14" w:name="_Toc19067"/>
      <w:r>
        <w:rPr>
          <w:rFonts w:hint="default"/>
          <w:lang w:val="en-US" w:eastAsia="zh-CN"/>
        </w:rPr>
        <w:t>人员培训</w:t>
      </w:r>
      <w:r>
        <w:rPr>
          <w:rFonts w:hint="eastAsia"/>
          <w:lang w:val="en-US" w:eastAsia="zh-CN"/>
        </w:rPr>
        <w:t>计划</w:t>
      </w:r>
      <w:bookmarkEnd w:id="14"/>
    </w:p>
    <w:p w14:paraId="4F6CE264">
      <w:pPr>
        <w:pStyle w:val="30"/>
        <w:bidi w:val="0"/>
        <w:rPr>
          <w:rFonts w:hint="default"/>
          <w:lang w:val="en-US" w:eastAsia="zh-CN"/>
        </w:rPr>
      </w:pPr>
      <w:bookmarkStart w:id="15" w:name="_Toc706"/>
      <w:r>
        <w:rPr>
          <w:rFonts w:hint="default"/>
          <w:lang w:val="en-US" w:eastAsia="zh-CN"/>
        </w:rPr>
        <w:t>培训计划制定与审批</w:t>
      </w:r>
      <w:bookmarkEnd w:id="15"/>
    </w:p>
    <w:p w14:paraId="175F23CC">
      <w:pPr>
        <w:pStyle w:val="29"/>
        <w:rPr>
          <w:rFonts w:hint="default"/>
          <w:lang w:val="en-US" w:eastAsia="zh-CN"/>
        </w:rPr>
      </w:pPr>
      <w:r>
        <w:rPr>
          <w:rFonts w:hint="default"/>
          <w:lang w:val="en-US" w:eastAsia="zh-CN"/>
        </w:rPr>
        <w:t>计划制定：人力部基于确认的《年度培训需求分析报告》，结合培训预算，制定《年度培训计划》。计划应明确各项培训的目标、对象、内容、形式（如内训、外训、在线学习等）、时间、课时、预算及预期效果。</w:t>
      </w:r>
    </w:p>
    <w:p w14:paraId="4A6FBA9F">
      <w:pPr>
        <w:pStyle w:val="29"/>
        <w:rPr>
          <w:rFonts w:hint="default"/>
          <w:lang w:val="en-US" w:eastAsia="zh-CN"/>
        </w:rPr>
      </w:pPr>
      <w:r>
        <w:rPr>
          <w:rFonts w:hint="default"/>
          <w:lang w:val="en-US" w:eastAsia="zh-CN"/>
        </w:rPr>
        <w:t>计划审批：《年度培训计划》需提报管理者代表审批。涉及重大预算或战略性的培训项目，需按公司规定报更高层级领导批准。计划批准后，由人力部发布并组织实施。</w:t>
      </w:r>
    </w:p>
    <w:p w14:paraId="61A35024">
      <w:pPr>
        <w:pStyle w:val="30"/>
        <w:bidi w:val="0"/>
        <w:rPr>
          <w:rFonts w:hint="default"/>
          <w:lang w:val="en-US" w:eastAsia="zh-CN"/>
        </w:rPr>
      </w:pPr>
      <w:bookmarkStart w:id="16" w:name="_Toc4936"/>
      <w:r>
        <w:rPr>
          <w:rFonts w:hint="default"/>
          <w:lang w:val="en-US" w:eastAsia="zh-CN"/>
        </w:rPr>
        <w:t>培训组织实施</w:t>
      </w:r>
      <w:bookmarkEnd w:id="16"/>
    </w:p>
    <w:p w14:paraId="613E0C1F">
      <w:pPr>
        <w:pStyle w:val="29"/>
        <w:rPr>
          <w:rFonts w:hint="eastAsia"/>
          <w:lang w:val="en-US" w:eastAsia="zh-CN"/>
        </w:rPr>
      </w:pPr>
      <w:r>
        <w:rPr>
          <w:rFonts w:hint="eastAsia"/>
          <w:lang w:val="en-US" w:eastAsia="zh-CN"/>
        </w:rPr>
        <w:t>根据人力部汇总各部门的培训需求，梳理成培训计划如下：</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1753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5DE4D3C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637B57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7561F4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09755A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4F1AA0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3E2121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79F70A1A">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0F33C9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5E3509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46C1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65D7BEA">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49E55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4323FEFF">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3E1B5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CDD3E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1F82EFCB">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65F962F2">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1E27D5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37AD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D6CC379">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08391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55D185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D9D99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00D31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1247217C">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1C2F4916">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55F05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6DBA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DF78CF9">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89674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2A1D83C0">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0EF0F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DC20C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536B0AB7">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5D7C5A2F">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B03E6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64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CF4E1E7">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E24D1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6208DF0F">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0CD31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095FF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40B60D8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20C0F49E">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88D58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94E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E577A05">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5874D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116B788B">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765A2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41E52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5B0F63E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6DAA914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54BCB0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2167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BFCC9B6">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31A26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6D33141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50EE4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125A1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047EEDD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393B1CF6">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86086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EFF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09928EA">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46781B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7F1200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7DAE7D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27BC5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4A40C4B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29F7C0C0">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72C3C75">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0A1B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C4D1E20">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C6A98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58FE7056">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5B057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71497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45D045E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74FEEC29">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1C227A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68FE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3675AD9">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3D796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5B6BFA0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1EA4C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67ED8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42EBC3DA">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40ACFBA4">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BF9DB93">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0D25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4E659CF">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44250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4B531D0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95E36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364FE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168812CC">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05A082E5">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DE977C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7D68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99D7C11">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71771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28563D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4E6FBC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44B0B4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265A8E07">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0E22CC4B">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25A6E2C">
            <w:pPr>
              <w:keepNext w:val="0"/>
              <w:keepLines w:val="0"/>
              <w:widowControl/>
              <w:suppressLineNumbers w:val="0"/>
              <w:tabs>
                <w:tab w:val="center" w:pos="528"/>
              </w:tabs>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6CCA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14728C72">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7C37E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27CA0525">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6B4EC8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DC8F7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4F34675F">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B8B42DC">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BBE51B2">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73AF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563EC63">
            <w:pPr>
              <w:keepNext w:val="0"/>
              <w:keepLines w:val="0"/>
              <w:pageBreakBefore w:val="0"/>
              <w:widowControl/>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44CA8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0F715FB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9A2E8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557688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5323197B">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19800DBC">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23991A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1A896A22">
      <w:pPr>
        <w:pStyle w:val="30"/>
        <w:bidi w:val="0"/>
        <w:rPr>
          <w:rFonts w:hint="default"/>
          <w:lang w:val="en-US" w:eastAsia="zh-CN"/>
        </w:rPr>
      </w:pPr>
      <w:bookmarkStart w:id="17" w:name="_Toc4948"/>
      <w:r>
        <w:rPr>
          <w:rFonts w:hint="default"/>
          <w:lang w:val="en-US" w:eastAsia="zh-CN"/>
        </w:rPr>
        <w:t>培训效果评估与记录</w:t>
      </w:r>
      <w:bookmarkEnd w:id="17"/>
    </w:p>
    <w:p w14:paraId="158EB7E1">
      <w:pPr>
        <w:pStyle w:val="29"/>
        <w:rPr>
          <w:rFonts w:hint="default"/>
          <w:lang w:val="en-US" w:eastAsia="zh-CN"/>
        </w:rPr>
      </w:pPr>
      <w:r>
        <w:rPr>
          <w:rFonts w:hint="default"/>
          <w:lang w:val="en-US" w:eastAsia="zh-CN"/>
        </w:rPr>
        <w:t>为检验培训效果并推动持续改进，所有培训均需进行评估与记录，主要包括以下三个层面：</w:t>
      </w:r>
    </w:p>
    <w:p w14:paraId="44EAE015">
      <w:pPr>
        <w:pStyle w:val="29"/>
        <w:rPr>
          <w:rFonts w:hint="default"/>
          <w:lang w:val="en-US" w:eastAsia="zh-CN"/>
        </w:rPr>
      </w:pPr>
      <w:r>
        <w:rPr>
          <w:rFonts w:hint="default"/>
          <w:lang w:val="en-US" w:eastAsia="zh-CN"/>
        </w:rPr>
        <w:t>即时反馈（训后）：培训结束后，通过线上或纸质问卷收集学员对课程内容、讲师及组织的满意度评价。</w:t>
      </w:r>
    </w:p>
    <w:p w14:paraId="5DE4AF50">
      <w:pPr>
        <w:pStyle w:val="29"/>
        <w:rPr>
          <w:rFonts w:hint="default"/>
          <w:lang w:val="en-US" w:eastAsia="zh-CN"/>
        </w:rPr>
      </w:pPr>
      <w:r>
        <w:rPr>
          <w:rFonts w:hint="default"/>
          <w:lang w:val="en-US" w:eastAsia="zh-CN"/>
        </w:rPr>
        <w:t>学习效果检验（训中/训后）：通过随堂测试、实操考核、案例分析或提交学习心得等方式，评估学员对知识、技能的掌握情况。</w:t>
      </w:r>
    </w:p>
    <w:p w14:paraId="58C92267">
      <w:pPr>
        <w:pStyle w:val="29"/>
        <w:rPr>
          <w:rFonts w:hint="default"/>
          <w:lang w:val="en-US" w:eastAsia="zh-CN"/>
        </w:rPr>
      </w:pPr>
      <w:r>
        <w:rPr>
          <w:rFonts w:hint="default"/>
          <w:lang w:val="en-US" w:eastAsia="zh-CN"/>
        </w:rPr>
        <w:t>行为改进跟踪（训后）：在培训结束后的1-3个月内，由学员直接上级观察并反馈其工作行为、技能应用是否发生积极变化。</w:t>
      </w:r>
    </w:p>
    <w:p w14:paraId="49CDFA12">
      <w:pPr>
        <w:pStyle w:val="30"/>
        <w:bidi w:val="0"/>
        <w:rPr>
          <w:rFonts w:hint="default"/>
          <w:lang w:val="en-US" w:eastAsia="zh-CN"/>
        </w:rPr>
      </w:pPr>
      <w:bookmarkStart w:id="18" w:name="_Toc9543"/>
      <w:r>
        <w:rPr>
          <w:rFonts w:hint="default"/>
          <w:lang w:val="en-US" w:eastAsia="zh-CN"/>
        </w:rPr>
        <w:t>培训记录管理与归档</w:t>
      </w:r>
      <w:bookmarkEnd w:id="18"/>
    </w:p>
    <w:p w14:paraId="66C166D3">
      <w:pPr>
        <w:pStyle w:val="29"/>
        <w:rPr>
          <w:rFonts w:hint="default"/>
          <w:lang w:val="en-US" w:eastAsia="zh-CN"/>
        </w:rPr>
      </w:pPr>
      <w:r>
        <w:rPr>
          <w:rFonts w:hint="default"/>
          <w:lang w:val="en-US" w:eastAsia="zh-CN"/>
        </w:rPr>
        <w:t>为确保培训过程可追溯、经验可传承，并满足内外部审核要求，所有培训活动必须建立规范档案。</w:t>
      </w:r>
    </w:p>
    <w:p w14:paraId="68C06C15">
      <w:pPr>
        <w:pStyle w:val="29"/>
        <w:rPr>
          <w:rFonts w:hint="default"/>
          <w:lang w:val="en-US" w:eastAsia="zh-CN"/>
        </w:rPr>
      </w:pPr>
      <w:r>
        <w:rPr>
          <w:rFonts w:hint="default"/>
          <w:lang w:val="en-US" w:eastAsia="zh-CN"/>
        </w:rPr>
        <w:t>记录内容：每次培训须至少保存以下材料：培训通知/计划、签到表、培训教材或课件、评估结果（问卷、考核成绩等）、培训现场照片（如有）。</w:t>
      </w:r>
    </w:p>
    <w:p w14:paraId="5D58885D">
      <w:pPr>
        <w:pStyle w:val="29"/>
        <w:rPr>
          <w:rFonts w:hint="default"/>
          <w:lang w:val="en-US" w:eastAsia="zh-CN"/>
        </w:rPr>
      </w:pPr>
      <w:r>
        <w:rPr>
          <w:rFonts w:hint="default"/>
          <w:lang w:val="en-US" w:eastAsia="zh-CN"/>
        </w:rPr>
        <w:t>归档流程：培训结束后5个工作日内，由培训组织部门（或人力部）负责将上述材料的电子版整理齐全，上传至公司指定的文档管理系统或共享服务器，并进行统一编号与分类存储。</w:t>
      </w:r>
    </w:p>
    <w:p w14:paraId="15E7B50C">
      <w:pPr>
        <w:pStyle w:val="29"/>
        <w:rPr>
          <w:rFonts w:hint="default"/>
          <w:lang w:val="en-US" w:eastAsia="zh-CN"/>
        </w:rPr>
      </w:pPr>
      <w:r>
        <w:rPr>
          <w:rFonts w:hint="default"/>
          <w:lang w:val="en-US" w:eastAsia="zh-CN"/>
        </w:rPr>
        <w:t>保管与查阅：培训电子记录需永久备份。重要纸质文档（如签到表、试卷）由人力部统一保存，保存期限不少于3年。员工可经申请查阅本人记录；审计或认证需要时，按公司档案管理规定办理借阅。</w:t>
      </w:r>
    </w:p>
    <w:p w14:paraId="5E2A37DE">
      <w:pPr>
        <w:pStyle w:val="29"/>
        <w:rPr>
          <w:rFonts w:hint="default"/>
          <w:lang w:val="en-US" w:eastAsia="zh-CN"/>
        </w:rPr>
      </w:pPr>
      <w:r>
        <w:rPr>
          <w:rFonts w:hint="default"/>
          <w:lang w:val="en-US" w:eastAsia="zh-CN"/>
        </w:rPr>
        <w:t>保密要求：所有培训记录均为公司内部资料，涉及个人评估结果及内部技术信息的，须严格保密。</w:t>
      </w:r>
    </w:p>
    <w:p w14:paraId="443A173B">
      <w:pPr>
        <w:pStyle w:val="28"/>
        <w:bidi w:val="0"/>
        <w:rPr>
          <w:rFonts w:hint="default"/>
          <w:lang w:val="en-US" w:eastAsia="zh-CN"/>
        </w:rPr>
      </w:pPr>
      <w:bookmarkStart w:id="19" w:name="_Toc1108"/>
      <w:r>
        <w:rPr>
          <w:rFonts w:hint="default"/>
          <w:lang w:val="en-US" w:eastAsia="zh-CN"/>
        </w:rPr>
        <w:t>人员绩效考核</w:t>
      </w:r>
      <w:r>
        <w:rPr>
          <w:rFonts w:hint="eastAsia"/>
          <w:lang w:val="en-US" w:eastAsia="zh-CN"/>
        </w:rPr>
        <w:t>计划</w:t>
      </w:r>
      <w:bookmarkEnd w:id="19"/>
    </w:p>
    <w:p w14:paraId="70BB7F39">
      <w:pPr>
        <w:pStyle w:val="30"/>
        <w:bidi w:val="0"/>
        <w:rPr>
          <w:rFonts w:hint="default"/>
          <w:lang w:val="en-US" w:eastAsia="zh-CN"/>
        </w:rPr>
      </w:pPr>
      <w:bookmarkStart w:id="20" w:name="_Toc1776"/>
      <w:r>
        <w:rPr>
          <w:rFonts w:hint="default"/>
          <w:lang w:val="en-US" w:eastAsia="zh-CN"/>
        </w:rPr>
        <w:t>考核周期设定</w:t>
      </w:r>
      <w:bookmarkEnd w:id="20"/>
    </w:p>
    <w:p w14:paraId="1A54FCBD">
      <w:pPr>
        <w:pStyle w:val="29"/>
        <w:rPr>
          <w:rFonts w:hint="default"/>
          <w:lang w:val="en-US" w:eastAsia="zh-CN"/>
        </w:rPr>
      </w:pPr>
      <w:r>
        <w:rPr>
          <w:rFonts w:hint="default"/>
          <w:lang w:val="en-US" w:eastAsia="zh-CN"/>
        </w:rPr>
        <w:t>季度考核：适用于所有正式员工，于每季度结束后开展，重点评估阶段性目标完成情况与过程表现。</w:t>
      </w:r>
    </w:p>
    <w:p w14:paraId="66713AE6">
      <w:pPr>
        <w:pStyle w:val="29"/>
        <w:rPr>
          <w:rFonts w:hint="default"/>
          <w:lang w:val="en-US" w:eastAsia="zh-CN"/>
        </w:rPr>
      </w:pPr>
      <w:r>
        <w:rPr>
          <w:rFonts w:hint="default"/>
          <w:lang w:val="en-US" w:eastAsia="zh-CN"/>
        </w:rPr>
        <w:t>年度考核：于每年年末进行，综合当年四个季度的考核结果与年度综合能力行为评价，形成年度最终绩效等级。</w:t>
      </w:r>
    </w:p>
    <w:p w14:paraId="4BF73B4D">
      <w:pPr>
        <w:pStyle w:val="30"/>
        <w:bidi w:val="0"/>
        <w:rPr>
          <w:rFonts w:hint="default"/>
          <w:lang w:val="en-US" w:eastAsia="zh-CN"/>
        </w:rPr>
      </w:pPr>
      <w:bookmarkStart w:id="21" w:name="_Toc17542"/>
      <w:r>
        <w:rPr>
          <w:rFonts w:hint="default"/>
          <w:lang w:val="en-US" w:eastAsia="zh-CN"/>
        </w:rPr>
        <w:t>考核流程</w:t>
      </w:r>
      <w:bookmarkEnd w:id="21"/>
    </w:p>
    <w:p w14:paraId="0F234B54">
      <w:pPr>
        <w:pStyle w:val="29"/>
        <w:rPr>
          <w:rFonts w:hint="default"/>
          <w:lang w:val="en-US" w:eastAsia="zh-CN"/>
        </w:rPr>
      </w:pPr>
      <w:r>
        <w:rPr>
          <w:rFonts w:hint="default"/>
          <w:lang w:val="en-US" w:eastAsia="zh-CN"/>
        </w:rPr>
        <w:t>考核流程包含四个关键环节，确保管理的闭环：</w:t>
      </w:r>
    </w:p>
    <w:p w14:paraId="65798C64">
      <w:pPr>
        <w:pStyle w:val="31"/>
        <w:bidi w:val="0"/>
        <w:rPr>
          <w:rFonts w:hint="default"/>
          <w:lang w:val="en-US" w:eastAsia="zh-CN"/>
        </w:rPr>
      </w:pPr>
      <w:bookmarkStart w:id="22" w:name="_Toc3441"/>
      <w:r>
        <w:rPr>
          <w:rFonts w:hint="default"/>
          <w:lang w:val="en-US" w:eastAsia="zh-CN"/>
        </w:rPr>
        <w:t>绩效计划制定</w:t>
      </w:r>
      <w:bookmarkEnd w:id="22"/>
    </w:p>
    <w:p w14:paraId="4105A0D3">
      <w:pPr>
        <w:pStyle w:val="29"/>
        <w:rPr>
          <w:rFonts w:hint="default"/>
          <w:lang w:val="en-US" w:eastAsia="zh-CN"/>
        </w:rPr>
      </w:pPr>
      <w:r>
        <w:rPr>
          <w:rFonts w:hint="default"/>
          <w:lang w:val="en-US" w:eastAsia="zh-CN"/>
        </w:rPr>
        <w:t>每季度初，直接上级与被考核人共同商定并签署《员工绩效计划/考核表》，明确本季度的关键业绩指标（KPI）、重点工作任务及能力行为要求。</w:t>
      </w:r>
    </w:p>
    <w:p w14:paraId="68D50D3C">
      <w:pPr>
        <w:pStyle w:val="31"/>
        <w:bidi w:val="0"/>
        <w:rPr>
          <w:rFonts w:hint="default"/>
          <w:lang w:val="en-US" w:eastAsia="zh-CN"/>
        </w:rPr>
      </w:pPr>
      <w:bookmarkStart w:id="23" w:name="_Toc30683"/>
      <w:r>
        <w:rPr>
          <w:rFonts w:hint="default"/>
          <w:lang w:val="en-US" w:eastAsia="zh-CN"/>
        </w:rPr>
        <w:t>绩效过程辅导与反馈</w:t>
      </w:r>
      <w:bookmarkEnd w:id="23"/>
    </w:p>
    <w:p w14:paraId="20E5D9A0">
      <w:pPr>
        <w:pStyle w:val="29"/>
        <w:rPr>
          <w:rFonts w:hint="default"/>
          <w:lang w:val="en-US" w:eastAsia="zh-CN"/>
        </w:rPr>
      </w:pPr>
      <w:r>
        <w:rPr>
          <w:rFonts w:hint="default"/>
          <w:lang w:val="en-US" w:eastAsia="zh-CN"/>
        </w:rPr>
        <w:t>考核期内，直接上级需进行至少每月一次的定期沟通，提供指导、资源支持，记录关键事件，并及时纠正偏差。</w:t>
      </w:r>
    </w:p>
    <w:p w14:paraId="6A1BEAD0">
      <w:pPr>
        <w:pStyle w:val="31"/>
        <w:bidi w:val="0"/>
        <w:rPr>
          <w:rFonts w:hint="default"/>
          <w:lang w:val="en-US" w:eastAsia="zh-CN"/>
        </w:rPr>
      </w:pPr>
      <w:bookmarkStart w:id="24" w:name="_Toc19089"/>
      <w:r>
        <w:rPr>
          <w:rFonts w:hint="default"/>
          <w:lang w:val="en-US" w:eastAsia="zh-CN"/>
        </w:rPr>
        <w:t>绩效考核评估</w:t>
      </w:r>
      <w:bookmarkEnd w:id="24"/>
    </w:p>
    <w:p w14:paraId="4478F67C">
      <w:pPr>
        <w:pStyle w:val="29"/>
        <w:rPr>
          <w:rFonts w:hint="default"/>
          <w:lang w:val="en-US" w:eastAsia="zh-CN"/>
        </w:rPr>
      </w:pPr>
      <w:r>
        <w:rPr>
          <w:rFonts w:hint="default"/>
          <w:lang w:val="en-US" w:eastAsia="zh-CN"/>
        </w:rPr>
        <w:t>季度考核：季度结束后5个工作日内，完成员工自评、上级评估评分及评语撰写。</w:t>
      </w:r>
    </w:p>
    <w:p w14:paraId="46B3B532">
      <w:pPr>
        <w:pStyle w:val="29"/>
        <w:rPr>
          <w:rFonts w:hint="default"/>
          <w:lang w:val="en-US" w:eastAsia="zh-CN"/>
        </w:rPr>
      </w:pPr>
      <w:r>
        <w:rPr>
          <w:rFonts w:hint="default"/>
          <w:lang w:val="en-US" w:eastAsia="zh-CN"/>
        </w:rPr>
        <w:t>年度考核：年度结束后10个工作日内完成。</w:t>
      </w:r>
    </w:p>
    <w:p w14:paraId="184125FA">
      <w:pPr>
        <w:pStyle w:val="29"/>
        <w:rPr>
          <w:rFonts w:hint="default"/>
          <w:lang w:val="en-US" w:eastAsia="zh-CN"/>
        </w:rPr>
      </w:pPr>
      <w:r>
        <w:rPr>
          <w:rFonts w:hint="default"/>
          <w:lang w:val="en-US" w:eastAsia="zh-CN"/>
        </w:rPr>
        <w:t>绩效结果反馈与面谈：考核评估后3个工作日内，直接上级必须与被考核人进行一对一的面谈，沟通结果，并共同制定《绩效改进与发展计划》。</w:t>
      </w:r>
    </w:p>
    <w:p w14:paraId="7F3637CA">
      <w:pPr>
        <w:pStyle w:val="31"/>
        <w:bidi w:val="0"/>
        <w:rPr>
          <w:rFonts w:hint="default"/>
          <w:lang w:val="en-US" w:eastAsia="zh-CN"/>
        </w:rPr>
      </w:pPr>
      <w:bookmarkStart w:id="25" w:name="_Toc14405"/>
      <w:r>
        <w:rPr>
          <w:rFonts w:hint="default"/>
          <w:lang w:val="en-US" w:eastAsia="zh-CN"/>
        </w:rPr>
        <w:t>绩效结果反馈与面谈</w:t>
      </w:r>
      <w:bookmarkEnd w:id="25"/>
    </w:p>
    <w:p w14:paraId="7AF7E0B6">
      <w:pPr>
        <w:pStyle w:val="29"/>
        <w:rPr>
          <w:rFonts w:hint="default"/>
          <w:lang w:val="en-US" w:eastAsia="zh-CN"/>
        </w:rPr>
      </w:pPr>
      <w:r>
        <w:rPr>
          <w:rFonts w:hint="default"/>
          <w:lang w:val="en-US" w:eastAsia="zh-CN"/>
        </w:rPr>
        <w:t>考核评估后3个工作日内，直接上级必须与被考核人进行一对一的面谈，沟通结果，并共同制定《绩效改进与发展计划》。</w:t>
      </w:r>
    </w:p>
    <w:p w14:paraId="71875E41">
      <w:pPr>
        <w:pStyle w:val="30"/>
        <w:bidi w:val="0"/>
        <w:rPr>
          <w:rFonts w:hint="default"/>
          <w:lang w:val="en-US" w:eastAsia="zh-CN"/>
        </w:rPr>
      </w:pPr>
      <w:bookmarkStart w:id="26" w:name="_Toc10901"/>
      <w:r>
        <w:rPr>
          <w:rFonts w:hint="eastAsia"/>
          <w:lang w:val="en-US" w:eastAsia="zh-CN"/>
        </w:rPr>
        <w:t>考核指标要求</w:t>
      </w:r>
      <w:bookmarkEnd w:id="26"/>
    </w:p>
    <w:p w14:paraId="43671EDB">
      <w:pPr>
        <w:pStyle w:val="29"/>
        <w:rPr>
          <w:rFonts w:hint="default"/>
          <w:lang w:val="en-US" w:eastAsia="zh-CN"/>
        </w:rPr>
      </w:pPr>
      <w:r>
        <w:rPr>
          <w:rFonts w:hint="eastAsia"/>
          <w:lang w:val="en-US" w:eastAsia="zh-CN"/>
        </w:rPr>
        <w:t>人员绩效考核指标为季度绩效考核合格率，计算方式为绩效考核合格人数/绩效考核总人数*100%。目标值为≥90%。</w:t>
      </w:r>
    </w:p>
    <w:p w14:paraId="61D70AE8">
      <w:pPr>
        <w:pStyle w:val="28"/>
        <w:bidi w:val="0"/>
        <w:rPr>
          <w:rFonts w:hint="default"/>
          <w:lang w:val="en-US" w:eastAsia="zh-CN"/>
        </w:rPr>
      </w:pPr>
      <w:bookmarkStart w:id="27" w:name="_Toc6798"/>
      <w:r>
        <w:rPr>
          <w:rFonts w:hint="default"/>
          <w:lang w:val="en-US" w:eastAsia="zh-CN"/>
        </w:rPr>
        <w:t>人员技能评定</w:t>
      </w:r>
      <w:r>
        <w:rPr>
          <w:rFonts w:hint="eastAsia"/>
          <w:lang w:val="en-US" w:eastAsia="zh-CN"/>
        </w:rPr>
        <w:t>计划</w:t>
      </w:r>
      <w:bookmarkEnd w:id="27"/>
    </w:p>
    <w:p w14:paraId="2C051FF4">
      <w:pPr>
        <w:pStyle w:val="30"/>
        <w:bidi w:val="0"/>
        <w:rPr>
          <w:rFonts w:hint="default"/>
          <w:lang w:val="en-US" w:eastAsia="zh-CN"/>
        </w:rPr>
      </w:pPr>
      <w:bookmarkStart w:id="28" w:name="_Toc19029"/>
      <w:r>
        <w:rPr>
          <w:rFonts w:hint="default"/>
          <w:lang w:val="en-US" w:eastAsia="zh-CN"/>
        </w:rPr>
        <w:t>评定流程</w:t>
      </w:r>
      <w:bookmarkEnd w:id="28"/>
    </w:p>
    <w:p w14:paraId="6151339D">
      <w:pPr>
        <w:pStyle w:val="29"/>
        <w:rPr>
          <w:rFonts w:hint="default"/>
          <w:lang w:val="en-US" w:eastAsia="zh-CN"/>
        </w:rPr>
      </w:pPr>
      <w:r>
        <w:rPr>
          <w:rFonts w:hint="default"/>
          <w:lang w:val="en-US" w:eastAsia="zh-CN"/>
        </w:rPr>
        <w:t>申请与推荐：员工根据自愿原则，对照标准进行自评，填写《技能等级晋升申请表》，并附具详实的业绩证明材料，经直接上级与部门负责人审核推荐。</w:t>
      </w:r>
    </w:p>
    <w:p w14:paraId="3C989152">
      <w:pPr>
        <w:pStyle w:val="29"/>
        <w:rPr>
          <w:rFonts w:hint="default"/>
          <w:lang w:val="en-US" w:eastAsia="zh-CN"/>
        </w:rPr>
      </w:pPr>
      <w:r>
        <w:rPr>
          <w:rFonts w:hint="default"/>
          <w:lang w:val="en-US" w:eastAsia="zh-CN"/>
        </w:rPr>
        <w:t>资格审查：人力部会同业务部门，对申请人的基本条件（如司龄、上年度绩效等级等）进行硬性审核，确保参评资格合规。</w:t>
      </w:r>
    </w:p>
    <w:p w14:paraId="675C7237">
      <w:pPr>
        <w:pStyle w:val="29"/>
        <w:rPr>
          <w:rFonts w:hint="default"/>
          <w:lang w:val="en-US" w:eastAsia="zh-CN"/>
        </w:rPr>
      </w:pPr>
      <w:r>
        <w:rPr>
          <w:rFonts w:hint="default"/>
          <w:lang w:val="en-US" w:eastAsia="zh-CN"/>
        </w:rPr>
        <w:t>综合评价：此为评定核心环节，由相对独立的“履历评审”与“能力答辩”两部分构成，从“做过什么”和“能做什么”两个维度进行全面考察。</w:t>
      </w:r>
    </w:p>
    <w:p w14:paraId="43A865DD">
      <w:pPr>
        <w:pStyle w:val="29"/>
        <w:rPr>
          <w:rFonts w:hint="default"/>
          <w:lang w:val="en-US" w:eastAsia="zh-CN"/>
        </w:rPr>
      </w:pPr>
      <w:r>
        <w:rPr>
          <w:rFonts w:hint="default"/>
          <w:lang w:val="en-US" w:eastAsia="zh-CN"/>
        </w:rPr>
        <w:t>审批与公示：拟定名单经管理层审批后，进行公示，确保程序公正透明。</w:t>
      </w:r>
    </w:p>
    <w:p w14:paraId="2D0C1DDE">
      <w:pPr>
        <w:pStyle w:val="29"/>
        <w:rPr>
          <w:rFonts w:hint="default"/>
          <w:lang w:val="en-US" w:eastAsia="zh-CN"/>
        </w:rPr>
      </w:pPr>
      <w:r>
        <w:rPr>
          <w:rFonts w:hint="default"/>
          <w:lang w:val="en-US" w:eastAsia="zh-CN"/>
        </w:rPr>
        <w:t>应用生效：公示无异议后，新等级于次月正式生效，并启动后续的薪酬调整、档案更新等工作。</w:t>
      </w:r>
    </w:p>
    <w:p w14:paraId="36A1C90A">
      <w:pPr>
        <w:pStyle w:val="30"/>
        <w:bidi w:val="0"/>
        <w:rPr>
          <w:rFonts w:hint="default"/>
          <w:lang w:val="en-US" w:eastAsia="zh-CN"/>
        </w:rPr>
      </w:pPr>
      <w:bookmarkStart w:id="29" w:name="_Toc32412"/>
      <w:r>
        <w:rPr>
          <w:rFonts w:hint="default"/>
          <w:lang w:val="en-US" w:eastAsia="zh-CN"/>
        </w:rPr>
        <w:t>技能模型与等级标准</w:t>
      </w:r>
      <w:bookmarkEnd w:id="2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19"/>
        <w:gridCol w:w="1750"/>
        <w:gridCol w:w="3094"/>
        <w:gridCol w:w="2735"/>
      </w:tblGrid>
      <w:tr w14:paraId="7CBE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919" w:type="dxa"/>
            <w:shd w:val="clear" w:color="auto" w:fill="auto"/>
            <w:tcMar>
              <w:top w:w="120" w:type="dxa"/>
              <w:left w:w="0" w:type="dxa"/>
              <w:bottom w:w="120" w:type="dxa"/>
              <w:right w:w="192" w:type="dxa"/>
            </w:tcMar>
            <w:vAlign w:val="center"/>
          </w:tcPr>
          <w:p w14:paraId="548A3B19">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等级</w:t>
            </w:r>
          </w:p>
        </w:tc>
        <w:tc>
          <w:tcPr>
            <w:tcW w:w="1750" w:type="dxa"/>
            <w:shd w:val="clear" w:color="auto" w:fill="auto"/>
            <w:tcMar>
              <w:top w:w="120" w:type="dxa"/>
              <w:left w:w="192" w:type="dxa"/>
              <w:bottom w:w="120" w:type="dxa"/>
              <w:right w:w="192" w:type="dxa"/>
            </w:tcMar>
            <w:vAlign w:val="center"/>
          </w:tcPr>
          <w:p w14:paraId="532AABB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通用核心定义</w:t>
            </w:r>
          </w:p>
        </w:tc>
        <w:tc>
          <w:tcPr>
            <w:tcW w:w="0" w:type="auto"/>
            <w:shd w:val="clear" w:color="auto" w:fill="auto"/>
            <w:tcMar>
              <w:top w:w="120" w:type="dxa"/>
              <w:left w:w="192" w:type="dxa"/>
              <w:bottom w:w="120" w:type="dxa"/>
              <w:right w:w="192" w:type="dxa"/>
            </w:tcMar>
            <w:vAlign w:val="center"/>
          </w:tcPr>
          <w:p w14:paraId="0C2D7C1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技术运维序列（示例：运维工程师方向）</w:t>
            </w:r>
          </w:p>
        </w:tc>
        <w:tc>
          <w:tcPr>
            <w:tcW w:w="0" w:type="auto"/>
            <w:shd w:val="clear" w:color="auto" w:fill="auto"/>
            <w:tcMar>
              <w:top w:w="120" w:type="dxa"/>
              <w:left w:w="192" w:type="dxa"/>
              <w:bottom w:w="120" w:type="dxa"/>
              <w:right w:w="192" w:type="dxa"/>
            </w:tcMar>
            <w:vAlign w:val="center"/>
          </w:tcPr>
          <w:p w14:paraId="2AC7394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质量管理序列（示例：质量专员方向）</w:t>
            </w:r>
          </w:p>
        </w:tc>
      </w:tr>
      <w:tr w14:paraId="0A29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26193D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T1初级</w:t>
            </w:r>
          </w:p>
        </w:tc>
        <w:tc>
          <w:tcPr>
            <w:tcW w:w="1750" w:type="dxa"/>
            <w:shd w:val="clear" w:color="auto" w:fill="auto"/>
            <w:tcMar>
              <w:top w:w="120" w:type="dxa"/>
              <w:left w:w="192" w:type="dxa"/>
              <w:bottom w:w="120" w:type="dxa"/>
              <w:right w:w="192" w:type="dxa"/>
            </w:tcMar>
            <w:vAlign w:val="center"/>
          </w:tcPr>
          <w:p w14:paraId="0504E34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在指导下按规程工作。</w:t>
            </w:r>
          </w:p>
        </w:tc>
        <w:tc>
          <w:tcPr>
            <w:tcW w:w="0" w:type="auto"/>
            <w:shd w:val="clear" w:color="auto" w:fill="auto"/>
            <w:tcMar>
              <w:top w:w="120" w:type="dxa"/>
              <w:left w:w="192" w:type="dxa"/>
              <w:bottom w:w="120" w:type="dxa"/>
              <w:right w:w="192" w:type="dxa"/>
            </w:tcMar>
            <w:vAlign w:val="center"/>
          </w:tcPr>
          <w:p w14:paraId="2AE27C5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能执行标准监控、处理预设告警、完成基础数据备份与巡检。</w:t>
            </w:r>
          </w:p>
        </w:tc>
        <w:tc>
          <w:tcPr>
            <w:tcW w:w="0" w:type="auto"/>
            <w:shd w:val="clear" w:color="auto" w:fill="auto"/>
            <w:tcMar>
              <w:top w:w="120" w:type="dxa"/>
              <w:left w:w="192" w:type="dxa"/>
              <w:bottom w:w="120" w:type="dxa"/>
              <w:right w:w="0" w:type="dxa"/>
            </w:tcMar>
            <w:vAlign w:val="center"/>
          </w:tcPr>
          <w:p w14:paraId="57CD529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能按检查单执行过程审计、准确记录质量数据、管理基础文档。</w:t>
            </w:r>
          </w:p>
        </w:tc>
      </w:tr>
      <w:tr w14:paraId="3053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204ACC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T2中级</w:t>
            </w:r>
          </w:p>
        </w:tc>
        <w:tc>
          <w:tcPr>
            <w:tcW w:w="1750" w:type="dxa"/>
            <w:shd w:val="clear" w:color="auto" w:fill="auto"/>
            <w:tcMar>
              <w:top w:w="120" w:type="dxa"/>
              <w:left w:w="192" w:type="dxa"/>
              <w:bottom w:w="120" w:type="dxa"/>
              <w:right w:w="192" w:type="dxa"/>
            </w:tcMar>
            <w:vAlign w:val="center"/>
          </w:tcPr>
          <w:p w14:paraId="650D1D8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独立负责模块工作，解决常见问题。</w:t>
            </w:r>
          </w:p>
        </w:tc>
        <w:tc>
          <w:tcPr>
            <w:tcW w:w="0" w:type="auto"/>
            <w:shd w:val="clear" w:color="auto" w:fill="auto"/>
            <w:tcMar>
              <w:top w:w="120" w:type="dxa"/>
              <w:left w:w="192" w:type="dxa"/>
              <w:bottom w:w="120" w:type="dxa"/>
              <w:right w:w="192" w:type="dxa"/>
            </w:tcMar>
            <w:vAlign w:val="center"/>
          </w:tcPr>
          <w:p w14:paraId="298FC33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能独立部署维护系统模块，分析解决常见故障，编写简单脚本提升效率。</w:t>
            </w:r>
          </w:p>
        </w:tc>
        <w:tc>
          <w:tcPr>
            <w:tcW w:w="0" w:type="auto"/>
            <w:shd w:val="clear" w:color="auto" w:fill="auto"/>
            <w:tcMar>
              <w:top w:w="120" w:type="dxa"/>
              <w:left w:w="192" w:type="dxa"/>
              <w:bottom w:w="120" w:type="dxa"/>
              <w:right w:w="0" w:type="dxa"/>
            </w:tcMar>
            <w:vAlign w:val="center"/>
          </w:tcPr>
          <w:p w14:paraId="075BE4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能独立开展项目质量检查，分析一般不符合项，提出纠正措施。</w:t>
            </w:r>
          </w:p>
        </w:tc>
      </w:tr>
      <w:tr w14:paraId="7746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0749F9D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T3高级</w:t>
            </w:r>
          </w:p>
        </w:tc>
        <w:tc>
          <w:tcPr>
            <w:tcW w:w="1750" w:type="dxa"/>
            <w:shd w:val="clear" w:color="auto" w:fill="auto"/>
            <w:tcMar>
              <w:top w:w="120" w:type="dxa"/>
              <w:left w:w="192" w:type="dxa"/>
              <w:bottom w:w="120" w:type="dxa"/>
              <w:right w:w="192" w:type="dxa"/>
            </w:tcMar>
            <w:vAlign w:val="center"/>
          </w:tcPr>
          <w:p w14:paraId="7CF085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负责复杂任务/项目，能攻坚并指导他人。</w:t>
            </w:r>
          </w:p>
        </w:tc>
        <w:tc>
          <w:tcPr>
            <w:tcW w:w="0" w:type="auto"/>
            <w:shd w:val="clear" w:color="auto" w:fill="auto"/>
            <w:tcMar>
              <w:top w:w="120" w:type="dxa"/>
              <w:left w:w="192" w:type="dxa"/>
              <w:bottom w:w="120" w:type="dxa"/>
              <w:right w:w="192" w:type="dxa"/>
            </w:tcMar>
            <w:vAlign w:val="center"/>
          </w:tcPr>
          <w:p w14:paraId="1858B16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能主导复杂故障根因分析与性能调优，设计实施自动化方案，承担项目技术主力。</w:t>
            </w:r>
          </w:p>
        </w:tc>
        <w:tc>
          <w:tcPr>
            <w:tcW w:w="0" w:type="auto"/>
            <w:shd w:val="clear" w:color="auto" w:fill="auto"/>
            <w:tcMar>
              <w:top w:w="120" w:type="dxa"/>
              <w:left w:w="192" w:type="dxa"/>
              <w:bottom w:w="120" w:type="dxa"/>
              <w:right w:w="0" w:type="dxa"/>
            </w:tcMar>
            <w:vAlign w:val="center"/>
          </w:tcPr>
          <w:p w14:paraId="4FFA79C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能主导质量改进项目，设计关键控制点流程，协调处理客户质量投诉。</w:t>
            </w:r>
          </w:p>
        </w:tc>
      </w:tr>
      <w:tr w14:paraId="232E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0946343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T4专家</w:t>
            </w:r>
          </w:p>
        </w:tc>
        <w:tc>
          <w:tcPr>
            <w:tcW w:w="1750" w:type="dxa"/>
            <w:shd w:val="clear" w:color="auto" w:fill="auto"/>
            <w:tcMar>
              <w:top w:w="120" w:type="dxa"/>
              <w:left w:w="192" w:type="dxa"/>
              <w:bottom w:w="120" w:type="dxa"/>
              <w:right w:w="192" w:type="dxa"/>
            </w:tcMar>
            <w:vAlign w:val="center"/>
          </w:tcPr>
          <w:p w14:paraId="257F4D3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领域专家，主导关键技术方案，影响业务。</w:t>
            </w:r>
          </w:p>
        </w:tc>
        <w:tc>
          <w:tcPr>
            <w:tcW w:w="0" w:type="auto"/>
            <w:shd w:val="clear" w:color="auto" w:fill="auto"/>
            <w:tcMar>
              <w:top w:w="120" w:type="dxa"/>
              <w:left w:w="192" w:type="dxa"/>
              <w:bottom w:w="120" w:type="dxa"/>
              <w:right w:w="192" w:type="dxa"/>
            </w:tcMar>
            <w:vAlign w:val="center"/>
          </w:tcPr>
          <w:p w14:paraId="4EE7728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能规划运维技术架构，解决系统性技术难题，主导研发核心运维工具平台。</w:t>
            </w:r>
          </w:p>
        </w:tc>
        <w:tc>
          <w:tcPr>
            <w:tcW w:w="0" w:type="auto"/>
            <w:shd w:val="clear" w:color="auto" w:fill="auto"/>
            <w:tcMar>
              <w:top w:w="120" w:type="dxa"/>
              <w:left w:w="192" w:type="dxa"/>
              <w:bottom w:w="120" w:type="dxa"/>
              <w:right w:w="0" w:type="dxa"/>
            </w:tcMar>
            <w:vAlign w:val="center"/>
          </w:tcPr>
          <w:p w14:paraId="777F38E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能优化公司级质量/应急管理体系，主导重大风险预案制定与演练，赋能团队。</w:t>
            </w:r>
          </w:p>
        </w:tc>
      </w:tr>
      <w:tr w14:paraId="3168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500DF4B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T5资深专家</w:t>
            </w:r>
          </w:p>
        </w:tc>
        <w:tc>
          <w:tcPr>
            <w:tcW w:w="1750" w:type="dxa"/>
            <w:shd w:val="clear" w:color="auto" w:fill="auto"/>
            <w:tcMar>
              <w:top w:w="120" w:type="dxa"/>
              <w:left w:w="192" w:type="dxa"/>
              <w:bottom w:w="120" w:type="dxa"/>
              <w:right w:w="192" w:type="dxa"/>
            </w:tcMar>
            <w:vAlign w:val="center"/>
          </w:tcPr>
          <w:p w14:paraId="7760ECD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公司/行业权威，定义技术方向，解决战略难题。</w:t>
            </w:r>
          </w:p>
        </w:tc>
        <w:tc>
          <w:tcPr>
            <w:tcW w:w="0" w:type="auto"/>
            <w:shd w:val="clear" w:color="auto" w:fill="auto"/>
            <w:tcMar>
              <w:top w:w="120" w:type="dxa"/>
              <w:left w:w="192" w:type="dxa"/>
              <w:bottom w:w="120" w:type="dxa"/>
              <w:right w:w="192" w:type="dxa"/>
            </w:tcMar>
            <w:vAlign w:val="center"/>
          </w:tcPr>
          <w:p w14:paraId="06F0B02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能定义公司运维技术战略，研究引入前沿技术，解决行业级难题，提升公司技术影响力。</w:t>
            </w:r>
          </w:p>
        </w:tc>
        <w:tc>
          <w:tcPr>
            <w:tcW w:w="0" w:type="auto"/>
            <w:shd w:val="clear" w:color="auto" w:fill="auto"/>
            <w:tcMar>
              <w:top w:w="120" w:type="dxa"/>
              <w:left w:w="192" w:type="dxa"/>
              <w:bottom w:w="120" w:type="dxa"/>
              <w:right w:w="0" w:type="dxa"/>
            </w:tcMar>
            <w:vAlign w:val="center"/>
          </w:tcPr>
          <w:p w14:paraId="32F1ED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能定义公司质量与风控战略，构建行业最佳实践，代表公司参与标准制定。</w:t>
            </w:r>
          </w:p>
        </w:tc>
      </w:tr>
    </w:tbl>
    <w:p w14:paraId="797FB06B">
      <w:pPr>
        <w:pStyle w:val="30"/>
        <w:bidi w:val="0"/>
        <w:rPr>
          <w:rFonts w:hint="default"/>
          <w:lang w:val="en-US" w:eastAsia="zh-CN"/>
        </w:rPr>
      </w:pPr>
      <w:bookmarkStart w:id="30" w:name="_Toc3808"/>
      <w:r>
        <w:rPr>
          <w:rFonts w:hint="default"/>
          <w:lang w:val="en-US" w:eastAsia="zh-CN"/>
        </w:rPr>
        <w:t>评定周期</w:t>
      </w:r>
      <w:bookmarkEnd w:id="30"/>
    </w:p>
    <w:p w14:paraId="21FD5661">
      <w:pPr>
        <w:pStyle w:val="29"/>
        <w:rPr>
          <w:rFonts w:hint="default"/>
          <w:lang w:val="en-US" w:eastAsia="zh-CN"/>
        </w:rPr>
      </w:pPr>
      <w:r>
        <w:rPr>
          <w:rFonts w:hint="default"/>
          <w:lang w:val="en-US" w:eastAsia="zh-CN"/>
        </w:rPr>
        <w:t>常规集中评定：每年组织一次，计划于2025年</w:t>
      </w:r>
      <w:r>
        <w:rPr>
          <w:rFonts w:hint="eastAsia"/>
          <w:lang w:val="en-US" w:eastAsia="zh-CN"/>
        </w:rPr>
        <w:t>12月</w:t>
      </w:r>
      <w:r>
        <w:rPr>
          <w:rFonts w:hint="default"/>
          <w:lang w:val="en-US" w:eastAsia="zh-CN"/>
        </w:rPr>
        <w:t>启动并完成全部流程，确保评定结果可用于次年的薪酬调整与人才规划。</w:t>
      </w:r>
    </w:p>
    <w:p w14:paraId="62E62C47">
      <w:pPr>
        <w:pStyle w:val="29"/>
        <w:rPr>
          <w:rFonts w:hint="default"/>
          <w:lang w:val="en-US" w:eastAsia="zh-CN"/>
        </w:rPr>
      </w:pPr>
      <w:r>
        <w:rPr>
          <w:rFonts w:hint="default"/>
          <w:lang w:val="en-US" w:eastAsia="zh-CN"/>
        </w:rPr>
        <w:t>破格评定通道：为鼓励卓越贡献，设置绿色通道。凡在技术创新、解决重大生产故障、获得重要客户表彰等方面有突出贡献者，可随时由部门提交破格评定申请，经公司管理层特批后启动快速评定程序，不受上述常规周期限制。</w:t>
      </w:r>
    </w:p>
    <w:p w14:paraId="6AE18C35">
      <w:pPr>
        <w:pStyle w:val="30"/>
        <w:bidi w:val="0"/>
        <w:rPr>
          <w:rFonts w:hint="default"/>
          <w:lang w:val="en-US" w:eastAsia="zh-CN"/>
        </w:rPr>
      </w:pPr>
      <w:bookmarkStart w:id="31" w:name="_Toc12028"/>
      <w:r>
        <w:rPr>
          <w:rFonts w:hint="default"/>
          <w:lang w:val="en-US" w:eastAsia="zh-CN"/>
        </w:rPr>
        <w:t>评定方法与实施</w:t>
      </w:r>
      <w:bookmarkEnd w:id="31"/>
    </w:p>
    <w:p w14:paraId="11DFA607">
      <w:pPr>
        <w:pStyle w:val="29"/>
        <w:rPr>
          <w:rFonts w:hint="default"/>
          <w:lang w:val="en-US" w:eastAsia="zh-CN"/>
        </w:rPr>
      </w:pPr>
      <w:r>
        <w:rPr>
          <w:rFonts w:hint="default"/>
          <w:lang w:val="en-US" w:eastAsia="zh-CN"/>
        </w:rPr>
        <w:t>采用 “履历评审” + “能力答辩” 的复合评价模型，全面评估员工的“过去业绩”与“当下能力”。</w:t>
      </w:r>
    </w:p>
    <w:p w14:paraId="38FEF766">
      <w:pPr>
        <w:pStyle w:val="29"/>
        <w:numPr>
          <w:ilvl w:val="0"/>
          <w:numId w:val="8"/>
        </w:numPr>
        <w:ind w:left="425" w:leftChars="0" w:hanging="425" w:firstLineChars="0"/>
        <w:rPr>
          <w:rFonts w:hint="default"/>
          <w:lang w:val="en-US" w:eastAsia="zh-CN"/>
        </w:rPr>
      </w:pPr>
      <w:r>
        <w:rPr>
          <w:rFonts w:hint="default"/>
          <w:lang w:val="en-US" w:eastAsia="zh-CN"/>
        </w:rPr>
        <w:t>履历评审（权重30%）：基于证据的评价。评审小组根据申请人提交的证明材料，对照标准进行量化评分。重点考察近两年的历史贡献，如关键项目角色与成果、解决的技术难题、编写的专利/技术文档、知识库贡献、获得的荣誉等。</w:t>
      </w:r>
    </w:p>
    <w:p w14:paraId="6F1B1FC3">
      <w:pPr>
        <w:pStyle w:val="29"/>
        <w:numPr>
          <w:ilvl w:val="0"/>
          <w:numId w:val="8"/>
        </w:numPr>
        <w:ind w:left="425" w:leftChars="0" w:hanging="425" w:firstLineChars="0"/>
        <w:rPr>
          <w:rFonts w:hint="default"/>
          <w:lang w:val="en-US" w:eastAsia="zh-CN"/>
        </w:rPr>
      </w:pPr>
      <w:r>
        <w:rPr>
          <w:rFonts w:hint="default"/>
          <w:lang w:val="en-US" w:eastAsia="zh-CN"/>
        </w:rPr>
        <w:t>能力答辩（权重70%）：基于能力的评价。由</w:t>
      </w:r>
      <w:r>
        <w:rPr>
          <w:rFonts w:hint="eastAsia"/>
          <w:lang w:val="en-US" w:eastAsia="zh-CN"/>
        </w:rPr>
        <w:t>人力部</w:t>
      </w:r>
      <w:r>
        <w:rPr>
          <w:rFonts w:hint="default"/>
          <w:lang w:val="en-US" w:eastAsia="zh-CN"/>
        </w:rPr>
        <w:t>通过述职答辩进行。重点考察：</w:t>
      </w:r>
    </w:p>
    <w:p w14:paraId="1C9F6BCD">
      <w:pPr>
        <w:pStyle w:val="29"/>
        <w:numPr>
          <w:ilvl w:val="0"/>
          <w:numId w:val="9"/>
        </w:numPr>
        <w:ind w:left="1265" w:leftChars="0" w:hanging="425" w:firstLineChars="0"/>
        <w:rPr>
          <w:rFonts w:hint="default"/>
          <w:lang w:val="en-US" w:eastAsia="zh-CN"/>
        </w:rPr>
      </w:pPr>
      <w:r>
        <w:rPr>
          <w:rFonts w:hint="default"/>
          <w:lang w:val="en-US" w:eastAsia="zh-CN"/>
        </w:rPr>
        <w:t>专业能力（权重</w:t>
      </w:r>
      <w:r>
        <w:rPr>
          <w:rFonts w:hint="eastAsia"/>
          <w:lang w:val="en-US" w:eastAsia="zh-CN"/>
        </w:rPr>
        <w:t>4</w:t>
      </w:r>
      <w:r>
        <w:rPr>
          <w:rFonts w:hint="default"/>
          <w:lang w:val="en-US" w:eastAsia="zh-CN"/>
        </w:rPr>
        <w:t>0%）：知识体系的深度与广度，解决复杂、不确定性问题的逻辑与方法论。</w:t>
      </w:r>
    </w:p>
    <w:p w14:paraId="251278B9">
      <w:pPr>
        <w:pStyle w:val="29"/>
        <w:numPr>
          <w:ilvl w:val="0"/>
          <w:numId w:val="9"/>
        </w:numPr>
        <w:ind w:left="1265" w:leftChars="0" w:hanging="425" w:firstLineChars="0"/>
        <w:rPr>
          <w:rFonts w:hint="default"/>
          <w:lang w:val="en-US" w:eastAsia="zh-CN"/>
        </w:rPr>
      </w:pPr>
      <w:r>
        <w:rPr>
          <w:rFonts w:hint="default"/>
          <w:lang w:val="en-US" w:eastAsia="zh-CN"/>
        </w:rPr>
        <w:t>计划执行与创新能力（权重</w:t>
      </w:r>
      <w:r>
        <w:rPr>
          <w:rFonts w:hint="eastAsia"/>
          <w:lang w:val="en-US" w:eastAsia="zh-CN"/>
        </w:rPr>
        <w:t>4</w:t>
      </w:r>
      <w:r>
        <w:rPr>
          <w:rFonts w:hint="default"/>
          <w:lang w:val="en-US" w:eastAsia="zh-CN"/>
        </w:rPr>
        <w:t>0%）：目标拆解、资源协调、风险管控的能力；在工作中进行优化改进、技术创新的具体案例与价值。</w:t>
      </w:r>
    </w:p>
    <w:p w14:paraId="749E5BED">
      <w:pPr>
        <w:pStyle w:val="29"/>
        <w:numPr>
          <w:ilvl w:val="0"/>
          <w:numId w:val="9"/>
        </w:numPr>
        <w:ind w:left="1265" w:leftChars="0" w:hanging="425" w:firstLineChars="0"/>
        <w:rPr>
          <w:rFonts w:hint="default"/>
          <w:lang w:val="en-US" w:eastAsia="zh-CN"/>
        </w:rPr>
      </w:pPr>
      <w:r>
        <w:rPr>
          <w:rFonts w:hint="default"/>
          <w:lang w:val="en-US" w:eastAsia="zh-CN"/>
        </w:rPr>
        <w:t>团队协作与职业素养（权重</w:t>
      </w:r>
      <w:r>
        <w:rPr>
          <w:rFonts w:hint="eastAsia"/>
          <w:lang w:val="en-US" w:eastAsia="zh-CN"/>
        </w:rPr>
        <w:t>2</w:t>
      </w:r>
      <w:r>
        <w:rPr>
          <w:rFonts w:hint="default"/>
          <w:lang w:val="en-US" w:eastAsia="zh-CN"/>
        </w:rPr>
        <w:t>0%）：沟通协作、知识分享、客户服务意识及文化认同。</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1D81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FC55FF5"/>
    <w:multiLevelType w:val="singleLevel"/>
    <w:tmpl w:val="BFC55FF5"/>
    <w:lvl w:ilvl="0" w:tentative="0">
      <w:start w:val="1"/>
      <w:numFmt w:val="decimal"/>
      <w:lvlText w:val="%1."/>
      <w:lvlJc w:val="left"/>
      <w:pPr>
        <w:ind w:left="425" w:hanging="425"/>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F918C28A"/>
    <w:multiLevelType w:val="singleLevel"/>
    <w:tmpl w:val="F918C28A"/>
    <w:lvl w:ilvl="0" w:tentative="0">
      <w:start w:val="1"/>
      <w:numFmt w:val="decimal"/>
      <w:lvlText w:val="%1."/>
      <w:lvlJc w:val="left"/>
      <w:pPr>
        <w:ind w:left="425" w:hanging="425"/>
      </w:pPr>
      <w:rPr>
        <w:rFonts w:hint="default"/>
      </w:rPr>
    </w:lvl>
  </w:abstractNum>
  <w:abstractNum w:abstractNumId="4">
    <w:nsid w:val="0F92519D"/>
    <w:multiLevelType w:val="singleLevel"/>
    <w:tmpl w:val="0F92519D"/>
    <w:lvl w:ilvl="0" w:tentative="0">
      <w:start w:val="1"/>
      <w:numFmt w:val="decimal"/>
      <w:lvlText w:val="%1."/>
      <w:lvlJc w:val="left"/>
      <w:pPr>
        <w:ind w:left="425" w:hanging="425"/>
      </w:pPr>
      <w:rPr>
        <w:rFonts w:hint="default"/>
      </w:rPr>
    </w:lvl>
  </w:abstractNum>
  <w:abstractNum w:abstractNumId="5">
    <w:nsid w:val="30A385AE"/>
    <w:multiLevelType w:val="singleLevel"/>
    <w:tmpl w:val="30A385AE"/>
    <w:lvl w:ilvl="0" w:tentative="0">
      <w:start w:val="1"/>
      <w:numFmt w:val="decimal"/>
      <w:lvlText w:val="(%1)"/>
      <w:lvlJc w:val="left"/>
      <w:pPr>
        <w:tabs>
          <w:tab w:val="left" w:pos="840"/>
        </w:tabs>
        <w:ind w:left="1265" w:hanging="425"/>
      </w:pPr>
      <w:rPr>
        <w:rFonts w:hint="default"/>
      </w:rPr>
    </w:lvl>
  </w:abstractNum>
  <w:abstractNum w:abstractNumId="6">
    <w:nsid w:val="5361D5D7"/>
    <w:multiLevelType w:val="singleLevel"/>
    <w:tmpl w:val="5361D5D7"/>
    <w:lvl w:ilvl="0" w:tentative="0">
      <w:start w:val="1"/>
      <w:numFmt w:val="decimal"/>
      <w:lvlText w:val="%1."/>
      <w:lvlJc w:val="left"/>
      <w:pPr>
        <w:ind w:left="425" w:hanging="425"/>
      </w:pPr>
      <w:rPr>
        <w:rFonts w:hint="default"/>
      </w:rPr>
    </w:lvl>
  </w:abstractNum>
  <w:abstractNum w:abstractNumId="7">
    <w:nsid w:val="5C6AE867"/>
    <w:multiLevelType w:val="singleLevel"/>
    <w:tmpl w:val="5C6AE867"/>
    <w:lvl w:ilvl="0" w:tentative="0">
      <w:start w:val="1"/>
      <w:numFmt w:val="decimal"/>
      <w:lvlText w:val="%1."/>
      <w:lvlJc w:val="left"/>
      <w:pPr>
        <w:ind w:left="425" w:hanging="425"/>
      </w:pPr>
      <w:rPr>
        <w:rFonts w:hint="default"/>
      </w:rPr>
    </w:lvl>
  </w:abstractNum>
  <w:abstractNum w:abstractNumId="8">
    <w:nsid w:val="60915A31"/>
    <w:multiLevelType w:val="singleLevel"/>
    <w:tmpl w:val="60915A31"/>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1"/>
  </w:num>
  <w:num w:numId="4">
    <w:abstractNumId w:val="7"/>
  </w:num>
  <w:num w:numId="5">
    <w:abstractNumId w:val="4"/>
  </w:num>
  <w:num w:numId="6">
    <w:abstractNumId w:val="2"/>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C048E"/>
    <w:rsid w:val="06055520"/>
    <w:rsid w:val="06277B8D"/>
    <w:rsid w:val="068821EB"/>
    <w:rsid w:val="069845E6"/>
    <w:rsid w:val="07A34FF1"/>
    <w:rsid w:val="081B2555"/>
    <w:rsid w:val="0D460B5F"/>
    <w:rsid w:val="100B5E29"/>
    <w:rsid w:val="110F1949"/>
    <w:rsid w:val="11953CC6"/>
    <w:rsid w:val="13315BA7"/>
    <w:rsid w:val="153F2FA2"/>
    <w:rsid w:val="169B0D9B"/>
    <w:rsid w:val="17030806"/>
    <w:rsid w:val="18A8690B"/>
    <w:rsid w:val="1B6C7065"/>
    <w:rsid w:val="1E6E4153"/>
    <w:rsid w:val="1F455672"/>
    <w:rsid w:val="202820DF"/>
    <w:rsid w:val="2320592D"/>
    <w:rsid w:val="2F5B602D"/>
    <w:rsid w:val="2F954E77"/>
    <w:rsid w:val="2FB91D2E"/>
    <w:rsid w:val="31943A79"/>
    <w:rsid w:val="366F0610"/>
    <w:rsid w:val="3BF5260F"/>
    <w:rsid w:val="3FC7326B"/>
    <w:rsid w:val="3FEB51AC"/>
    <w:rsid w:val="4A265380"/>
    <w:rsid w:val="4A855DEC"/>
    <w:rsid w:val="4AAD32D6"/>
    <w:rsid w:val="4B2B2900"/>
    <w:rsid w:val="4C14255D"/>
    <w:rsid w:val="4D9D385D"/>
    <w:rsid w:val="51B573C7"/>
    <w:rsid w:val="5B9607DF"/>
    <w:rsid w:val="5CE60D7D"/>
    <w:rsid w:val="5D296EBB"/>
    <w:rsid w:val="60CE0FA3"/>
    <w:rsid w:val="654D5DC0"/>
    <w:rsid w:val="66486604"/>
    <w:rsid w:val="668A09DD"/>
    <w:rsid w:val="6B2B3DFF"/>
    <w:rsid w:val="6C983716"/>
    <w:rsid w:val="6FDE4158"/>
    <w:rsid w:val="702A0B29"/>
    <w:rsid w:val="72EE79E6"/>
    <w:rsid w:val="732E0930"/>
    <w:rsid w:val="740C0C71"/>
    <w:rsid w:val="76F13BD8"/>
    <w:rsid w:val="78B11DE7"/>
    <w:rsid w:val="79CD0EA3"/>
    <w:rsid w:val="79FF6906"/>
    <w:rsid w:val="7D494CE4"/>
    <w:rsid w:val="7E3F7E95"/>
    <w:rsid w:val="7ED20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table" w:customStyle="1" w:styleId="43">
    <w:name w:val="Table Normal_2"/>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3963</Words>
  <Characters>4276</Characters>
  <Lines>0</Lines>
  <Paragraphs>0</Paragraphs>
  <TotalTime>0</TotalTime>
  <ScaleCrop>false</ScaleCrop>
  <LinksUpToDate>false</LinksUpToDate>
  <CharactersWithSpaces>4448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2026-02-06T14:27:53Z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