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7537"/>
      </w:tblGrid>
      <w:tr w14:paraId="53E5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10DD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4A1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336D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0D5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服务类别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784F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□ 事件管理 ☑ 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问题管理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□ 变更管理</w:t>
            </w:r>
          </w:p>
        </w:tc>
      </w:tr>
      <w:tr w14:paraId="5B33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1FC7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问题标题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D1CC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项目业务关闭时，因流程驳回产生的异常“僵尸预占”无法自动释放，导致系统校验失败</w:t>
            </w:r>
          </w:p>
        </w:tc>
      </w:tr>
      <w:tr w14:paraId="65DB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5D27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关联系统/模块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CA0E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翔云系统 - 预算管理模块 / 流程引擎</w:t>
            </w:r>
          </w:p>
        </w:tc>
      </w:tr>
      <w:tr w14:paraId="2F62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509E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影响评估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4727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业务影响：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项目结项流程被阻塞，影响财务关账与审计。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影响范围：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所有使用项目预算管控且发生过流程驳回的场景。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发生频率：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近期累计发生3起类似事件，呈现偶发但重复性特征。</w:t>
            </w:r>
          </w:p>
        </w:tc>
      </w:tr>
      <w:tr w14:paraId="46CC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4C1B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C5CA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当与项目关联的采购订单或支出合同流程被“驳回”时，其申请时占用的项目预算（预占）应被自动释放。但现有逻辑存在缺陷，导致在特定情况下预占记录未被清除，形成“僵尸预占”。用户在后续进行“业务关闭”时，系统校验到此无效预占，即报错“存在项目预算预占，不能进行项目业务关闭”，需人工介入处理。</w:t>
            </w:r>
          </w:p>
        </w:tc>
      </w:tr>
      <w:tr w14:paraId="7D9D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A86F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根本原因分析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3144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直接原因：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经代码审查，发现预算预占释放服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务（BudgetReleaseService）中，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对流程状态回调的处理逻辑不完整。当接收到“驳回”状态时，未正确调用预占释放接口。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根本原因：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该服务的异常处理机制存在漏洞，当释放操作因关联数据锁定等原因失败时，仅记录日志而未进行重试或状态回滚，导致预占状态与实际业务状态不一致。</w:t>
            </w:r>
          </w:p>
        </w:tc>
      </w:tr>
      <w:tr w14:paraId="328AB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9F26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临时解决方案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795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人工干预：运维人员定位到异常预占记录后，协调财务人员在SAP后端使用事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务代码ZPS006进行手动释放。（此方案已记录在知识库）</w:t>
            </w:r>
            <w:bookmarkStart w:id="0" w:name="_GoBack"/>
            <w:bookmarkEnd w:id="0"/>
          </w:p>
        </w:tc>
      </w:tr>
      <w:tr w14:paraId="2BBA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FA1D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永久解决方案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D00B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提交变更请求（RFC），修改系统逻辑：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强 BudgetReleaseService 服务，确保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在流程驳回、取消等终结状态时，必然触发预占释放逻辑。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增加预占释放失败后的自动重试机制（最多3次），并完善异常告警，通知运维人员。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在项目管理后台增加“预占状态校验与一键清理”管理员功能，作为后备管理手段。</w:t>
            </w:r>
          </w:p>
        </w:tc>
      </w:tr>
      <w:tr w14:paraId="4EAA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D664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变更关联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7EDB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变更请求编号：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CHG-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-XY-01087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变更类型：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☑ 标准变更 □ 紧急变更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变更状态：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已评估，待排期开发</w:t>
            </w:r>
          </w:p>
        </w:tc>
      </w:tr>
      <w:tr w14:paraId="09CC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3255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B923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开发工程师 - 张伟（后端组）</w:t>
            </w:r>
          </w:p>
        </w:tc>
      </w:tr>
      <w:tr w14:paraId="51CC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CE58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处理进度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54DA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【10/27】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问题创建，根本原因分析完成。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【10/30】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永久解决方案设计评审通过。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【11/02】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关联变更请求（CHG-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-XY-01087）已提交并获批。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【待办】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开发、测试与上线发布。</w:t>
            </w:r>
          </w:p>
        </w:tc>
      </w:tr>
      <w:tr w14:paraId="1D5F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523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关闭条件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9600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关联的变更（CHG-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-XY-01087）成功上线，且监控期内（如1个月）未再发生由同一根本原因引发的类似事件。</w:t>
            </w:r>
          </w:p>
        </w:tc>
      </w:tr>
      <w:tr w14:paraId="07AE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F4EA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E3EC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（待关闭）</w:t>
            </w:r>
          </w:p>
        </w:tc>
      </w:tr>
      <w:tr w14:paraId="2D9D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EBD0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关联知识条目</w:t>
            </w:r>
          </w:p>
        </w:tc>
        <w:tc>
          <w:tcPr>
            <w:tcW w:w="7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7909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《翔云系统常见问题处理运维专用》 - “无法进行业务关闭，可能存在以下问题：存在项目预算预占”条（已更新，附根本解决方案说明）</w:t>
            </w:r>
          </w:p>
        </w:tc>
      </w:tr>
    </w:tbl>
    <w:p w14:paraId="47B25A54">
      <w:pPr>
        <w:keepNext w:val="0"/>
        <w:keepLines w:val="0"/>
        <w:widowControl/>
        <w:suppressLineNumbers w:val="0"/>
        <w:jc w:val="left"/>
      </w:pPr>
    </w:p>
    <w:p w14:paraId="135BD1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95683"/>
    <w:rsid w:val="0F09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2026-01-23T22:12:06Z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