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BBC9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3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BC63EF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784"/>
      <w:r>
        <w:rPr>
          <w:rFonts w:hint="eastAsia"/>
          <w:lang w:val="en-US" w:eastAsia="zh-CN"/>
        </w:rPr>
        <w:t>运维应急管理制度</w:t>
      </w:r>
      <w:bookmarkEnd w:id="1"/>
    </w:p>
    <w:p w14:paraId="1DA578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8427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7B89C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30D5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287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759F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17770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FFE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886D3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7D0F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17C54D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B24EB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6F1E19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2FE9E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233C7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26C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运维应急管理制度</w:t>
          </w:r>
          <w:r>
            <w:tab/>
          </w:r>
          <w:r>
            <w:fldChar w:fldCharType="begin"/>
          </w:r>
          <w:r>
            <w:instrText xml:space="preserve"> PAGEREF _Toc11784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D7B5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_Toc11293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36B0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373B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F32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应急管理原则</w:t>
          </w:r>
          <w:r>
            <w:tab/>
          </w:r>
          <w:r>
            <w:fldChar w:fldCharType="begin"/>
          </w:r>
          <w:r>
            <w:instrText xml:space="preserve"> PAGEREF _Toc21405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9A9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_Toc20196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1007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数智运营部</w:t>
          </w:r>
          <w:r>
            <w:tab/>
          </w:r>
          <w:r>
            <w:fldChar w:fldCharType="begin"/>
          </w:r>
          <w:r>
            <w:instrText xml:space="preserve"> PAGEREF _Toc5575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8FC2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研究总院</w:t>
          </w:r>
          <w:r>
            <w:tab/>
          </w:r>
          <w:r>
            <w:fldChar w:fldCharType="begin"/>
          </w:r>
          <w:r>
            <w:instrText xml:space="preserve"> PAGEREF _Toc32428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2FA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质量管理部</w:t>
          </w:r>
          <w:r>
            <w:tab/>
          </w:r>
          <w:r>
            <w:fldChar w:fldCharType="begin"/>
          </w:r>
          <w:r>
            <w:instrText xml:space="preserve"> PAGEREF _Toc5187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710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应急预案管理</w:t>
          </w:r>
          <w:r>
            <w:tab/>
          </w:r>
          <w:r>
            <w:fldChar w:fldCharType="begin"/>
          </w:r>
          <w:r>
            <w:instrText xml:space="preserve"> PAGEREF _Toc2007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2269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预案制定</w:t>
          </w:r>
          <w:r>
            <w:tab/>
          </w:r>
          <w:r>
            <w:fldChar w:fldCharType="begin"/>
          </w:r>
          <w:r>
            <w:instrText xml:space="preserve"> PAGEREF _Toc24704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BD95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预案维护</w:t>
          </w:r>
          <w:r>
            <w:tab/>
          </w:r>
          <w:r>
            <w:fldChar w:fldCharType="begin"/>
          </w:r>
          <w:r>
            <w:instrText xml:space="preserve"> PAGEREF _Toc2826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33FB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预案演练</w:t>
          </w:r>
          <w:r>
            <w:tab/>
          </w:r>
          <w:r>
            <w:fldChar w:fldCharType="begin"/>
          </w:r>
          <w:r>
            <w:instrText xml:space="preserve"> PAGEREF _Toc16845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413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应急响应流程</w:t>
          </w:r>
          <w:r>
            <w:tab/>
          </w:r>
          <w:r>
            <w:fldChar w:fldCharType="begin"/>
          </w:r>
          <w:r>
            <w:instrText xml:space="preserve"> PAGEREF _Toc16011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18D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监测与预警</w:t>
          </w:r>
          <w:r>
            <w:tab/>
          </w:r>
          <w:r>
            <w:fldChar w:fldCharType="begin"/>
          </w:r>
          <w:r>
            <w:instrText xml:space="preserve"> PAGEREF _Toc22704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7A7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启动与响应</w:t>
          </w:r>
          <w:r>
            <w:tab/>
          </w:r>
          <w:r>
            <w:fldChar w:fldCharType="begin"/>
          </w:r>
          <w:r>
            <w:instrText xml:space="preserve"> PAGEREF _Toc16086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0594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处置与恢复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9591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终止与报告</w:t>
          </w:r>
          <w:r>
            <w:tab/>
          </w:r>
          <w:r>
            <w:fldChar w:fldCharType="begin"/>
          </w:r>
          <w:r>
            <w:instrText xml:space="preserve"> PAGEREF _Toc271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0E5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应急总结与改进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B533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事件复盘</w:t>
          </w:r>
          <w:r>
            <w:tab/>
          </w:r>
          <w:r>
            <w:fldChar w:fldCharType="begin"/>
          </w:r>
          <w:r>
            <w:instrText xml:space="preserve"> PAGEREF _Toc24000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1283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报告编制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016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改进跟踪</w:t>
          </w:r>
          <w:r>
            <w:tab/>
          </w:r>
          <w:r>
            <w:fldChar w:fldCharType="begin"/>
          </w:r>
          <w:r>
            <w:instrText xml:space="preserve"> PAGEREF _Toc7876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EC3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资源保障</w:t>
          </w:r>
          <w:r>
            <w:tab/>
          </w:r>
          <w:r>
            <w:fldChar w:fldCharType="begin"/>
          </w:r>
          <w:r>
            <w:instrText xml:space="preserve"> PAGEREF _Toc7431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09B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_Toc4430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4B1EE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CB7729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7E49C18">
      <w:pPr>
        <w:pStyle w:val="28"/>
        <w:bidi w:val="0"/>
        <w:rPr>
          <w:rFonts w:hint="default"/>
          <w:lang w:val="en-US" w:eastAsia="zh-CN"/>
        </w:rPr>
      </w:pPr>
      <w:bookmarkStart w:id="2" w:name="_Toc11293"/>
      <w:r>
        <w:rPr>
          <w:rFonts w:hint="default"/>
          <w:lang w:val="en-US" w:eastAsia="zh-CN"/>
        </w:rPr>
        <w:t>目的</w:t>
      </w:r>
      <w:bookmarkEnd w:id="2"/>
    </w:p>
    <w:p w14:paraId="3A20D5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软件运维服务的应急响应机制，规范对突发事件的预防、准备、响应、恢复和总结改进的全过程管理，最大限度地预防和减少突发事件造成的业务影响与损失，保障客户业务连续性，特制定本制度。</w:t>
      </w:r>
    </w:p>
    <w:p w14:paraId="3912013F">
      <w:pPr>
        <w:pStyle w:val="28"/>
        <w:bidi w:val="0"/>
        <w:rPr>
          <w:rFonts w:hint="default"/>
          <w:lang w:val="en-US" w:eastAsia="zh-CN"/>
        </w:rPr>
      </w:pPr>
      <w:bookmarkStart w:id="3" w:name="_Toc1649"/>
      <w:r>
        <w:rPr>
          <w:rFonts w:hint="default"/>
          <w:lang w:val="en-US" w:eastAsia="zh-CN"/>
        </w:rPr>
        <w:t>适用范围</w:t>
      </w:r>
      <w:bookmarkEnd w:id="3"/>
    </w:p>
    <w:p w14:paraId="14C9D5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本制度适用于公司运维服务范围内，因软件系统故障、信息安全事件、数据中心服务中断等突发事件（以下简称“应急事件”）的应急响应管理活动。</w:t>
      </w:r>
    </w:p>
    <w:p w14:paraId="45766CB6">
      <w:pPr>
        <w:pStyle w:val="28"/>
        <w:bidi w:val="0"/>
        <w:rPr>
          <w:rFonts w:hint="default"/>
          <w:lang w:val="en-US" w:eastAsia="zh-CN"/>
        </w:rPr>
      </w:pPr>
      <w:bookmarkStart w:id="4" w:name="_Toc10855"/>
      <w:r>
        <w:rPr>
          <w:rFonts w:hint="default"/>
          <w:lang w:val="en-US" w:eastAsia="zh-CN"/>
        </w:rPr>
        <w:t>定义与术语</w:t>
      </w:r>
      <w:bookmarkEnd w:id="4"/>
    </w:p>
    <w:p w14:paraId="66A0BC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应急事件：指突发的、对运维服务系统造成或可能造成严重危害，需要立即采取超出常规作业程序的行动进行处置的事件。</w:t>
      </w:r>
    </w:p>
    <w:p w14:paraId="13E444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应急预案：为应对特定类型应急事件而预先制定的行动方案、资源调配和指挥协调程序。</w:t>
      </w:r>
    </w:p>
    <w:p w14:paraId="4F6509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：应急响应期间成立的临时指挥机构，负责统一决策与协调。</w:t>
      </w:r>
    </w:p>
    <w:p w14:paraId="7EE819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业务影响分析（BIA）： 分析应急事件对客户业务功能及SLA可能造成的冲击和影响。</w:t>
      </w:r>
    </w:p>
    <w:p w14:paraId="275AB4DB">
      <w:pPr>
        <w:pStyle w:val="28"/>
        <w:bidi w:val="0"/>
        <w:rPr>
          <w:rFonts w:hint="default"/>
          <w:lang w:val="en-US" w:eastAsia="zh-CN"/>
        </w:rPr>
      </w:pPr>
      <w:bookmarkStart w:id="5" w:name="_Toc21405"/>
      <w:r>
        <w:rPr>
          <w:rFonts w:hint="default"/>
          <w:lang w:val="en-US" w:eastAsia="zh-CN"/>
        </w:rPr>
        <w:t>应急管理原则</w:t>
      </w:r>
      <w:bookmarkEnd w:id="5"/>
    </w:p>
    <w:p w14:paraId="3CDA01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预防为主，常备不懈：加强日常监控、风险评估和预案演练，提升预防能力。</w:t>
      </w:r>
    </w:p>
    <w:p w14:paraId="18A1D7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统一指挥，分级负责：建立清晰的指挥体系，按照事件级别启动相应层级的响应。</w:t>
      </w:r>
    </w:p>
    <w:p w14:paraId="17B205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快速响应，协同处置：确保信息通畅、决策迅速、各团队协同有效。</w:t>
      </w:r>
    </w:p>
    <w:p w14:paraId="387E25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持续改进，闭环管理：每次应急后必须进行复盘总结，完善预案与流程。</w:t>
      </w:r>
    </w:p>
    <w:p w14:paraId="26A64F32">
      <w:pPr>
        <w:pStyle w:val="28"/>
        <w:bidi w:val="0"/>
        <w:rPr>
          <w:rFonts w:hint="default"/>
          <w:lang w:val="en-US" w:eastAsia="zh-CN"/>
        </w:rPr>
      </w:pPr>
      <w:bookmarkStart w:id="6" w:name="_Toc20196"/>
      <w:r>
        <w:rPr>
          <w:rFonts w:hint="default"/>
          <w:lang w:val="en-US" w:eastAsia="zh-CN"/>
        </w:rPr>
        <w:t>组织与职责</w:t>
      </w:r>
      <w:bookmarkEnd w:id="6"/>
    </w:p>
    <w:p w14:paraId="39CDF747">
      <w:pPr>
        <w:pStyle w:val="30"/>
        <w:bidi w:val="0"/>
        <w:rPr>
          <w:rFonts w:hint="default"/>
          <w:lang w:val="en-US" w:eastAsia="zh-CN"/>
        </w:rPr>
      </w:pPr>
      <w:bookmarkStart w:id="7" w:name="_Toc5575"/>
      <w:r>
        <w:rPr>
          <w:rFonts w:hint="default"/>
          <w:lang w:val="en-US" w:eastAsia="zh-CN"/>
        </w:rPr>
        <w:t>数智运营部</w:t>
      </w:r>
      <w:bookmarkEnd w:id="7"/>
    </w:p>
    <w:p w14:paraId="139364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负责本制度的制定、修订、宣贯与监督执行。</w:t>
      </w:r>
    </w:p>
    <w:p w14:paraId="6D18EB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负责组织公司级及重大业务应急预案的编制、评审、更新、演练与维护。</w:t>
      </w:r>
    </w:p>
    <w:p w14:paraId="1C9144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在应急响应期间，负责组建应急指挥组并承担指挥协调中心职能。</w:t>
      </w:r>
    </w:p>
    <w:p w14:paraId="02D8E2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负责监督应急响应全过程，并组织事后总结、报告编制与改进措施跟踪。</w:t>
      </w:r>
    </w:p>
    <w:p w14:paraId="25BE6D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负责所辖系统具体应急预案的制定与日常维护。</w:t>
      </w:r>
    </w:p>
    <w:p w14:paraId="61BCCB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作为一线应急响应的核心执行力量，负责事件的技术排查、故障隔离与系统恢复。</w:t>
      </w:r>
    </w:p>
    <w:p w14:paraId="07B1B72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负责应急期间的技术信息提供与处置过程记录。</w:t>
      </w:r>
    </w:p>
    <w:p w14:paraId="38964EF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服务台（信息枢纽）：</w:t>
      </w:r>
    </w:p>
    <w:p w14:paraId="24D45E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作为应急事件初始接报的统一入口（依据《服务台管理制度》）。</w:t>
      </w:r>
    </w:p>
    <w:p w14:paraId="0870EE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负责初步判断、紧急上报，并按照应急指挥组指令，执行客户沟通与状态通报任务。</w:t>
      </w:r>
    </w:p>
    <w:p w14:paraId="0D1D715F">
      <w:pPr>
        <w:pStyle w:val="30"/>
        <w:bidi w:val="0"/>
        <w:rPr>
          <w:rFonts w:hint="default"/>
          <w:lang w:val="en-US" w:eastAsia="zh-CN"/>
        </w:rPr>
      </w:pPr>
      <w:bookmarkStart w:id="8" w:name="_Toc32428"/>
      <w:r>
        <w:rPr>
          <w:rFonts w:hint="default"/>
          <w:lang w:val="en-US" w:eastAsia="zh-CN"/>
        </w:rPr>
        <w:t>研究总院</w:t>
      </w:r>
      <w:bookmarkEnd w:id="8"/>
    </w:p>
    <w:p w14:paraId="3DD0F3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为复杂或重大的技术问题提供专家级支持，参与根因分析。</w:t>
      </w:r>
    </w:p>
    <w:p w14:paraId="1F1FE7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协助验证及提供紧急修复补丁或版本。</w:t>
      </w:r>
    </w:p>
    <w:p w14:paraId="570C6F17">
      <w:pPr>
        <w:pStyle w:val="30"/>
        <w:bidi w:val="0"/>
        <w:rPr>
          <w:rFonts w:hint="default"/>
          <w:lang w:val="en-US" w:eastAsia="zh-CN"/>
        </w:rPr>
      </w:pPr>
      <w:bookmarkStart w:id="9" w:name="_Toc5187"/>
      <w:r>
        <w:rPr>
          <w:rFonts w:hint="default"/>
          <w:lang w:val="en-US" w:eastAsia="zh-CN"/>
        </w:rPr>
        <w:t>质量管理部</w:t>
      </w:r>
      <w:bookmarkEnd w:id="9"/>
    </w:p>
    <w:p w14:paraId="0CFE9D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参与应急预案的评审，确保其与质量体系要求相符。</w:t>
      </w:r>
    </w:p>
    <w:p w14:paraId="50D5FE1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参与或监督重大应急事件的总结复盘，从质量改进角度提出独立建议。</w:t>
      </w:r>
    </w:p>
    <w:p w14:paraId="73ECFCA0">
      <w:pPr>
        <w:pStyle w:val="28"/>
        <w:bidi w:val="0"/>
        <w:rPr>
          <w:rFonts w:hint="default"/>
          <w:lang w:val="en-US" w:eastAsia="zh-CN"/>
        </w:rPr>
      </w:pPr>
      <w:bookmarkStart w:id="10" w:name="_Toc2007"/>
      <w:r>
        <w:rPr>
          <w:rFonts w:hint="default"/>
          <w:lang w:val="en-US" w:eastAsia="zh-CN"/>
        </w:rPr>
        <w:t>应急预案管理</w:t>
      </w:r>
      <w:bookmarkEnd w:id="10"/>
    </w:p>
    <w:p w14:paraId="6ABBBB11">
      <w:pPr>
        <w:pStyle w:val="30"/>
        <w:bidi w:val="0"/>
        <w:rPr>
          <w:rFonts w:hint="default"/>
          <w:lang w:val="en-US" w:eastAsia="zh-CN"/>
        </w:rPr>
      </w:pPr>
      <w:bookmarkStart w:id="11" w:name="_Toc24704"/>
      <w:r>
        <w:rPr>
          <w:rFonts w:hint="default"/>
          <w:lang w:val="en-US" w:eastAsia="zh-CN"/>
        </w:rPr>
        <w:t>预案制定</w:t>
      </w:r>
      <w:bookmarkEnd w:id="11"/>
    </w:p>
    <w:p w14:paraId="4437D8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应急管理部组织各业务部门，基于业务影响分析（BIA）和风险评估，识别关键业务场景及潜在风险。</w:t>
      </w:r>
    </w:p>
    <w:p w14:paraId="0308A6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针对重大风险，须编制专项《应急预案》。预案内容应包括：事件定义与分级、组织与职责、应急启动条件、处置流程、沟通计划、恢复步骤、资源清单等。</w:t>
      </w:r>
    </w:p>
    <w:p w14:paraId="2A584C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预案需经相关部门会签，并由公司主管领导批准后发布。</w:t>
      </w:r>
    </w:p>
    <w:p w14:paraId="7450C31F">
      <w:pPr>
        <w:pStyle w:val="30"/>
        <w:bidi w:val="0"/>
        <w:rPr>
          <w:rFonts w:hint="default"/>
          <w:lang w:val="en-US" w:eastAsia="zh-CN"/>
        </w:rPr>
      </w:pPr>
      <w:bookmarkStart w:id="12" w:name="_Toc2826"/>
      <w:r>
        <w:rPr>
          <w:rFonts w:hint="default"/>
          <w:lang w:val="en-US" w:eastAsia="zh-CN"/>
        </w:rPr>
        <w:t>预案维护</w:t>
      </w:r>
      <w:bookmarkEnd w:id="12"/>
    </w:p>
    <w:p w14:paraId="5D6C9C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应急预案实行动态管理。每年至少进行一次系统性评审。</w:t>
      </w:r>
    </w:p>
    <w:p w14:paraId="5F6C51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当出现以下情况时，必须及时启动预案修订：</w:t>
      </w:r>
    </w:p>
    <w:p w14:paraId="0F9935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组织架构、关键人员或联系方式发生重大变更。</w:t>
      </w:r>
    </w:p>
    <w:p w14:paraId="5D33C2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运维的系统、技术架构或业务逻辑发生重大变化。</w:t>
      </w:r>
    </w:p>
    <w:p w14:paraId="4A317F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法律法规或客户合同要求发生变化。</w:t>
      </w:r>
    </w:p>
    <w:p w14:paraId="7E953B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通过应急演练或实际响应发现预案存在缺陷。</w:t>
      </w:r>
    </w:p>
    <w:p w14:paraId="079DDC52">
      <w:pPr>
        <w:pStyle w:val="30"/>
        <w:bidi w:val="0"/>
        <w:rPr>
          <w:rFonts w:hint="default"/>
          <w:lang w:val="en-US" w:eastAsia="zh-CN"/>
        </w:rPr>
      </w:pPr>
      <w:bookmarkStart w:id="13" w:name="_Toc16845"/>
      <w:r>
        <w:rPr>
          <w:rFonts w:hint="default"/>
          <w:lang w:val="en-US" w:eastAsia="zh-CN"/>
        </w:rPr>
        <w:t>预案演练</w:t>
      </w:r>
      <w:bookmarkEnd w:id="13"/>
    </w:p>
    <w:p w14:paraId="0963D3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应急管理部负责制定年度《应急演练计划》。</w:t>
      </w:r>
    </w:p>
    <w:p w14:paraId="1FDF41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针对核心业务系统应急预案，每年至少组织一次实战演练或桌面推演。</w:t>
      </w:r>
    </w:p>
    <w:p w14:paraId="2C6EDB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演练后须形成《演练总结报告》，评估预案有效性，并记录发现的问题与改进措施。</w:t>
      </w:r>
    </w:p>
    <w:p w14:paraId="0EDE1720">
      <w:pPr>
        <w:pStyle w:val="28"/>
        <w:bidi w:val="0"/>
        <w:rPr>
          <w:rFonts w:hint="default"/>
          <w:lang w:val="en-US" w:eastAsia="zh-CN"/>
        </w:rPr>
      </w:pPr>
      <w:bookmarkStart w:id="14" w:name="_Toc16011"/>
      <w:r>
        <w:rPr>
          <w:rFonts w:hint="default"/>
          <w:lang w:val="en-US" w:eastAsia="zh-CN"/>
        </w:rPr>
        <w:t>应急响应流程</w:t>
      </w:r>
      <w:bookmarkEnd w:id="14"/>
    </w:p>
    <w:p w14:paraId="3AC94265">
      <w:pPr>
        <w:pStyle w:val="30"/>
        <w:bidi w:val="0"/>
        <w:rPr>
          <w:rFonts w:hint="default"/>
          <w:lang w:val="en-US" w:eastAsia="zh-CN"/>
        </w:rPr>
      </w:pPr>
      <w:bookmarkStart w:id="15" w:name="_Toc22704"/>
      <w:r>
        <w:rPr>
          <w:rFonts w:hint="default"/>
          <w:lang w:val="en-US" w:eastAsia="zh-CN"/>
        </w:rPr>
        <w:t>监测与预警</w:t>
      </w:r>
      <w:bookmarkEnd w:id="15"/>
    </w:p>
    <w:p w14:paraId="65A94B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通过运维监控工具、服务台报告等渠道，实时监测系统状态。</w:t>
      </w:r>
    </w:p>
    <w:p w14:paraId="494E15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发现符合应急预案中定义的预警条件时，监测人员应立即按预案规定进行预警通报。</w:t>
      </w:r>
    </w:p>
    <w:p w14:paraId="21361E49">
      <w:pPr>
        <w:pStyle w:val="30"/>
        <w:bidi w:val="0"/>
        <w:rPr>
          <w:rFonts w:hint="default"/>
          <w:lang w:val="en-US" w:eastAsia="zh-CN"/>
        </w:rPr>
      </w:pPr>
      <w:bookmarkStart w:id="16" w:name="_Toc16086"/>
      <w:r>
        <w:rPr>
          <w:rFonts w:hint="default"/>
          <w:lang w:val="en-US" w:eastAsia="zh-CN"/>
        </w:rPr>
        <w:t>启动与响应</w:t>
      </w:r>
      <w:bookmarkEnd w:id="16"/>
    </w:p>
    <w:p w14:paraId="037F2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事件上报与确认： 服务台或监控人员确认事件后，立即上报应急管理部及数智运营部经理。</w:t>
      </w:r>
    </w:p>
    <w:p w14:paraId="273B88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定级与启动： 应急管理部会同技术负责人，根据事件影响范围、业务中断时间等因素初步定级，并决定启动相应级别的应急预案。</w:t>
      </w:r>
    </w:p>
    <w:p w14:paraId="7B8507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成立指挥部： 重大事件（如一级、二级）须立即成立应急指挥部，明确指挥长及各组职责。</w:t>
      </w:r>
    </w:p>
    <w:p w14:paraId="320C6658">
      <w:pPr>
        <w:pStyle w:val="30"/>
        <w:bidi w:val="0"/>
        <w:rPr>
          <w:rFonts w:hint="default"/>
          <w:lang w:val="en-US" w:eastAsia="zh-CN"/>
        </w:rPr>
      </w:pPr>
      <w:bookmarkStart w:id="17" w:name="_Toc32145"/>
      <w:r>
        <w:rPr>
          <w:rFonts w:hint="default"/>
          <w:lang w:val="en-US" w:eastAsia="zh-CN"/>
        </w:rPr>
        <w:t>处置与恢复</w:t>
      </w:r>
      <w:bookmarkEnd w:id="17"/>
    </w:p>
    <w:p w14:paraId="73ABB9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紧急处置： 技术团队按照预案进行故障隔离、系统恢复等操作，优先恢复核心业务。</w:t>
      </w:r>
    </w:p>
    <w:p w14:paraId="25FB6E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沟通通报： 应急指挥部或指定人员（通常由服务台协助）根据沟通计划，定时向客户、管理层通报事件进展。</w:t>
      </w:r>
    </w:p>
    <w:p w14:paraId="1E6A2A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 各团队在指挥部统一协调下工作，确保信息同步、行动一致。</w:t>
      </w:r>
    </w:p>
    <w:p w14:paraId="2EE998BF">
      <w:pPr>
        <w:pStyle w:val="30"/>
        <w:bidi w:val="0"/>
        <w:rPr>
          <w:rFonts w:hint="default"/>
          <w:lang w:val="en-US" w:eastAsia="zh-CN"/>
        </w:rPr>
      </w:pPr>
      <w:bookmarkStart w:id="18" w:name="_Toc271"/>
      <w:r>
        <w:rPr>
          <w:rFonts w:hint="default"/>
          <w:lang w:val="en-US" w:eastAsia="zh-CN"/>
        </w:rPr>
        <w:t>终止与报告</w:t>
      </w:r>
      <w:bookmarkEnd w:id="18"/>
    </w:p>
    <w:p w14:paraId="7262C6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 事件得到有效控制，系统服务恢复，经评估满足终止条件后，由应急指挥部或授权领导宣布应急响应终止。</w:t>
      </w:r>
    </w:p>
    <w:p w14:paraId="0F3F9C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初步报告： 响应终止后24小时内，技术负责人需提交《应急事件初步报告》，说明事件现象、处置过程及当前状态。</w:t>
      </w:r>
    </w:p>
    <w:p w14:paraId="04B80703">
      <w:pPr>
        <w:pStyle w:val="28"/>
        <w:bidi w:val="0"/>
        <w:rPr>
          <w:rFonts w:hint="default"/>
          <w:lang w:val="en-US" w:eastAsia="zh-CN"/>
        </w:rPr>
      </w:pPr>
      <w:bookmarkStart w:id="19" w:name="_Toc15865"/>
      <w:r>
        <w:rPr>
          <w:rFonts w:hint="default"/>
          <w:lang w:val="en-US" w:eastAsia="zh-CN"/>
        </w:rPr>
        <w:t>应急总结与改进</w:t>
      </w:r>
      <w:bookmarkEnd w:id="19"/>
    </w:p>
    <w:p w14:paraId="5D2C5EED">
      <w:pPr>
        <w:pStyle w:val="30"/>
        <w:bidi w:val="0"/>
        <w:rPr>
          <w:rFonts w:hint="default"/>
          <w:lang w:val="en-US" w:eastAsia="zh-CN"/>
        </w:rPr>
      </w:pPr>
      <w:bookmarkStart w:id="20" w:name="_Toc24000"/>
      <w:r>
        <w:rPr>
          <w:rFonts w:hint="default"/>
          <w:lang w:val="en-US" w:eastAsia="zh-CN"/>
        </w:rPr>
        <w:t>事件复盘</w:t>
      </w:r>
      <w:bookmarkEnd w:id="20"/>
    </w:p>
    <w:p w14:paraId="7D32B9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应急响应终止后5个工作日内，应急管理部必须组织一次事件复盘会议。</w:t>
      </w:r>
    </w:p>
    <w:p w14:paraId="57423F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参与人员应包括应急处置相关各方。复盘需采用根本原因分析法，重点分析事件原因、响应过程的不足及预案的适用性。</w:t>
      </w:r>
    </w:p>
    <w:p w14:paraId="17B572B8">
      <w:pPr>
        <w:pStyle w:val="30"/>
        <w:bidi w:val="0"/>
        <w:rPr>
          <w:rFonts w:hint="default"/>
          <w:lang w:val="en-US" w:eastAsia="zh-CN"/>
        </w:rPr>
      </w:pPr>
      <w:bookmarkStart w:id="21" w:name="_Toc13512"/>
      <w:r>
        <w:rPr>
          <w:rFonts w:hint="default"/>
          <w:lang w:val="en-US" w:eastAsia="zh-CN"/>
        </w:rPr>
        <w:t>报告编制</w:t>
      </w:r>
      <w:bookmarkEnd w:id="21"/>
    </w:p>
    <w:p w14:paraId="7A983B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复盘会后3个工作日内，由应急管理部牵头编制正式的《应急响应总结报告》。</w:t>
      </w:r>
    </w:p>
    <w:p w14:paraId="343DE0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报告内容应包括：事件概述、影响分析、时间线追溯、根本原因、处置过程评估、经验教训、改进措施建议。</w:t>
      </w:r>
    </w:p>
    <w:p w14:paraId="23E1649B">
      <w:pPr>
        <w:pStyle w:val="30"/>
        <w:bidi w:val="0"/>
        <w:rPr>
          <w:rFonts w:hint="default"/>
          <w:lang w:val="en-US" w:eastAsia="zh-CN"/>
        </w:rPr>
      </w:pPr>
      <w:bookmarkStart w:id="22" w:name="_Toc7876"/>
      <w:r>
        <w:rPr>
          <w:rFonts w:hint="default"/>
          <w:lang w:val="en-US" w:eastAsia="zh-CN"/>
        </w:rPr>
        <w:t>改进跟踪</w:t>
      </w:r>
      <w:bookmarkEnd w:id="22"/>
    </w:p>
    <w:p w14:paraId="680E8C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报告中的改进措施应明确责任部门与完成时限，并纳入公司统一的改进跟踪体系（如录入《服务改进措施表》）。</w:t>
      </w:r>
    </w:p>
    <w:p w14:paraId="4F40F7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应急管理部负责跟踪改进措施的落实，直至闭环。重大改进措施应触发相关预案和制度的修订。</w:t>
      </w:r>
    </w:p>
    <w:p w14:paraId="4091B468">
      <w:pPr>
        <w:pStyle w:val="28"/>
        <w:bidi w:val="0"/>
        <w:rPr>
          <w:rFonts w:hint="default"/>
          <w:lang w:val="en-US" w:eastAsia="zh-CN"/>
        </w:rPr>
      </w:pPr>
      <w:bookmarkStart w:id="23" w:name="_Toc7431"/>
      <w:r>
        <w:rPr>
          <w:rFonts w:hint="default"/>
          <w:lang w:val="en-US" w:eastAsia="zh-CN"/>
        </w:rPr>
        <w:t>资源保障</w:t>
      </w:r>
      <w:bookmarkEnd w:id="23"/>
    </w:p>
    <w:p w14:paraId="7EBBE8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人员保障：建立应急专家与技术人员名录，确保联络畅通。</w:t>
      </w:r>
    </w:p>
    <w:p w14:paraId="75E1B5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工具保障：确保应急所需的运维工具、监控平台、通讯工具在应急期间可用（参照《运维服务工具管理制度》）。</w:t>
      </w:r>
    </w:p>
    <w:p w14:paraId="072BFE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知识保障：应急案例及解决方案应及时总结，纳入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（参照《服务知识管理制度》），供未来参考。</w:t>
      </w:r>
    </w:p>
    <w:p w14:paraId="7ED04B63">
      <w:pPr>
        <w:pStyle w:val="28"/>
        <w:bidi w:val="0"/>
        <w:rPr>
          <w:rFonts w:hint="default"/>
          <w:lang w:val="en-US" w:eastAsia="zh-CN"/>
        </w:rPr>
      </w:pPr>
      <w:bookmarkStart w:id="24" w:name="_Toc4430"/>
      <w:r>
        <w:rPr>
          <w:rFonts w:hint="eastAsia"/>
          <w:lang w:val="en-US" w:eastAsia="zh-CN"/>
        </w:rPr>
        <w:t>考核指标</w:t>
      </w:r>
    </w:p>
    <w:tbl>
      <w:tblPr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276"/>
        <w:gridCol w:w="5035"/>
        <w:gridCol w:w="926"/>
      </w:tblGrid>
      <w:tr w14:paraId="6A97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09A0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KPI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EB5D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34C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0457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频度</w:t>
            </w:r>
          </w:p>
        </w:tc>
      </w:tr>
      <w:tr w14:paraId="64D5B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E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项目应急演练次数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19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3B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数量，应急演练报告数量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6E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</w:tr>
    </w:tbl>
    <w:p w14:paraId="2070A073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24"/>
    </w:p>
    <w:p w14:paraId="3CB8B2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本制度自发布之日起执行，由应急管理部负责解释与修订。本制度与《服务台管</w:t>
      </w:r>
      <w:bookmarkStart w:id="25" w:name="_GoBack"/>
      <w:bookmarkEnd w:id="25"/>
      <w:r>
        <w:rPr>
          <w:rFonts w:hint="default"/>
          <w:lang w:val="en-US" w:eastAsia="zh-CN"/>
        </w:rPr>
        <w:t>理制度》、《服务交付管理制度》等配套执行。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619D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B16819"/>
    <w:rsid w:val="0F2778A0"/>
    <w:rsid w:val="151C16C7"/>
    <w:rsid w:val="183028D1"/>
    <w:rsid w:val="1ABA46D4"/>
    <w:rsid w:val="20E24984"/>
    <w:rsid w:val="21D00C81"/>
    <w:rsid w:val="25E9485C"/>
    <w:rsid w:val="2ABB2FF2"/>
    <w:rsid w:val="31975317"/>
    <w:rsid w:val="35676842"/>
    <w:rsid w:val="38C42E95"/>
    <w:rsid w:val="3B11613A"/>
    <w:rsid w:val="41B643F6"/>
    <w:rsid w:val="45603F46"/>
    <w:rsid w:val="514A5AAA"/>
    <w:rsid w:val="5C0A47B4"/>
    <w:rsid w:val="5C62639E"/>
    <w:rsid w:val="5E313793"/>
    <w:rsid w:val="5FE30A95"/>
    <w:rsid w:val="6E0B0643"/>
    <w:rsid w:val="6E8421A4"/>
    <w:rsid w:val="7D56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2403</Words>
  <Characters>2514</Characters>
  <Lines>0</Lines>
  <Paragraphs>0</Paragraphs>
  <TotalTime>2</TotalTime>
  <ScaleCrop>false</ScaleCrop>
  <LinksUpToDate>false</LinksUpToDate>
  <CharactersWithSpaces>2621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2026-01-20T13:41:19Z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