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39893">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ascii="黑体" w:hAnsi="宋体" w:eastAsia="黑体"/>
          <w:sz w:val="36"/>
          <w:szCs w:val="44"/>
        </w:rPr>
      </w:pPr>
      <w:bookmarkStart w:id="0" w:name="_GoBack"/>
      <w:r>
        <w:drawing>
          <wp:anchor distT="0" distB="0" distL="114300" distR="114300" simplePos="0" relativeHeight="251661312" behindDoc="1" locked="0" layoutInCell="1" allowOverlap="1">
            <wp:simplePos x="0" y="0"/>
            <wp:positionH relativeFrom="column">
              <wp:posOffset>-19050</wp:posOffset>
            </wp:positionH>
            <wp:positionV relativeFrom="paragraph">
              <wp:posOffset>-36830</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304790" cy="8893810"/>
                    </a:xfrm>
                    <a:prstGeom prst="rect">
                      <a:avLst/>
                    </a:prstGeom>
                    <a:noFill/>
                    <a:ln>
                      <a:noFill/>
                    </a:ln>
                  </pic:spPr>
                </pic:pic>
              </a:graphicData>
            </a:graphic>
          </wp:anchor>
        </w:drawing>
      </w:r>
      <w:bookmarkEnd w:id="0"/>
    </w:p>
    <w:p w14:paraId="4369402C">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52"/>
          <w:szCs w:val="44"/>
        </w:rPr>
      </w:pPr>
      <w:r>
        <w:rPr>
          <w:rFonts w:hint="eastAsia" w:ascii="黑体" w:hAnsi="宋体" w:eastAsia="黑体"/>
          <w:sz w:val="52"/>
          <w:szCs w:val="44"/>
        </w:rPr>
        <w:t xml:space="preserve">晋  来  办 </w:t>
      </w:r>
      <w:r>
        <w:rPr>
          <w:rFonts w:ascii="黑体" w:hAnsi="宋体" w:eastAsia="黑体"/>
          <w:sz w:val="52"/>
          <w:szCs w:val="44"/>
        </w:rPr>
        <w:t xml:space="preserve"> </w:t>
      </w:r>
      <w:r>
        <w:rPr>
          <w:rFonts w:hint="eastAsia" w:ascii="黑体" w:hAnsi="宋体" w:eastAsia="黑体"/>
          <w:sz w:val="52"/>
          <w:szCs w:val="44"/>
        </w:rPr>
        <w:t xml:space="preserve">平 </w:t>
      </w:r>
      <w:r>
        <w:rPr>
          <w:rFonts w:ascii="黑体" w:hAnsi="宋体" w:eastAsia="黑体"/>
          <w:sz w:val="52"/>
          <w:szCs w:val="44"/>
        </w:rPr>
        <w:t xml:space="preserve"> </w:t>
      </w:r>
      <w:r>
        <w:rPr>
          <w:rFonts w:hint="eastAsia" w:ascii="黑体" w:hAnsi="宋体" w:eastAsia="黑体"/>
          <w:sz w:val="52"/>
          <w:szCs w:val="44"/>
        </w:rPr>
        <w:t>台</w:t>
      </w:r>
    </w:p>
    <w:p w14:paraId="583CDB1F">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52"/>
          <w:szCs w:val="44"/>
        </w:rPr>
      </w:pPr>
    </w:p>
    <w:p w14:paraId="38684C1A">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52"/>
          <w:szCs w:val="44"/>
        </w:rPr>
      </w:pPr>
    </w:p>
    <w:p w14:paraId="4A121FE7">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52"/>
          <w:szCs w:val="44"/>
        </w:rPr>
      </w:pPr>
    </w:p>
    <w:p w14:paraId="5A5A5322">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52"/>
          <w:szCs w:val="44"/>
        </w:rPr>
      </w:pPr>
      <w:r>
        <w:rPr>
          <w:rFonts w:hint="eastAsia" w:ascii="黑体" w:hAnsi="宋体" w:eastAsia="黑体"/>
          <w:sz w:val="52"/>
          <w:szCs w:val="44"/>
        </w:rPr>
        <w:t>应</w:t>
      </w:r>
    </w:p>
    <w:p w14:paraId="52277300">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52"/>
          <w:szCs w:val="44"/>
        </w:rPr>
      </w:pPr>
      <w:r>
        <w:rPr>
          <w:rFonts w:hint="eastAsia" w:ascii="黑体" w:hAnsi="宋体" w:eastAsia="黑体"/>
          <w:sz w:val="52"/>
          <w:szCs w:val="44"/>
        </w:rPr>
        <w:t>急</w:t>
      </w:r>
      <w:r>
        <w:drawing>
          <wp:anchor distT="0" distB="0" distL="114300" distR="114300" simplePos="0" relativeHeight="251659264" behindDoc="1" locked="0" layoutInCell="1" allowOverlap="1">
            <wp:simplePos x="0" y="0"/>
            <wp:positionH relativeFrom="column">
              <wp:posOffset>0</wp:posOffset>
            </wp:positionH>
            <wp:positionV relativeFrom="paragraph">
              <wp:posOffset>-3670935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3675" cy="8843645"/>
                    </a:xfrm>
                    <a:prstGeom prst="rect">
                      <a:avLst/>
                    </a:prstGeom>
                    <a:noFill/>
                    <a:ln>
                      <a:noFill/>
                    </a:ln>
                  </pic:spPr>
                </pic:pic>
              </a:graphicData>
            </a:graphic>
          </wp:anchor>
        </w:drawing>
      </w:r>
    </w:p>
    <w:p w14:paraId="61894BD7">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hint="eastAsia" w:ascii="黑体" w:hAnsi="宋体" w:eastAsia="黑体"/>
          <w:sz w:val="52"/>
          <w:szCs w:val="44"/>
          <w:lang w:val="en-US" w:eastAsia="zh-CN"/>
        </w:rPr>
      </w:pPr>
      <w:r>
        <w:rPr>
          <w:rFonts w:hint="eastAsia" w:ascii="黑体" w:hAnsi="宋体" w:eastAsia="黑体"/>
          <w:sz w:val="52"/>
          <w:szCs w:val="44"/>
          <w:lang w:val="en-US" w:eastAsia="zh-CN"/>
        </w:rPr>
        <w:t>演</w:t>
      </w:r>
    </w:p>
    <w:p w14:paraId="75AF7CB5">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hint="eastAsia" w:ascii="黑体" w:hAnsi="宋体" w:eastAsia="黑体"/>
          <w:sz w:val="52"/>
          <w:szCs w:val="44"/>
          <w:lang w:val="en-US" w:eastAsia="zh-CN"/>
        </w:rPr>
      </w:pPr>
      <w:r>
        <w:rPr>
          <w:rFonts w:hint="eastAsia" w:ascii="黑体" w:hAnsi="宋体" w:eastAsia="黑体"/>
          <w:sz w:val="52"/>
          <w:szCs w:val="44"/>
          <w:lang w:val="en-US" w:eastAsia="zh-CN"/>
        </w:rPr>
        <w:t>练</w:t>
      </w:r>
    </w:p>
    <w:p w14:paraId="3C64817A">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hint="default" w:ascii="黑体" w:hAnsi="宋体" w:eastAsia="黑体"/>
          <w:sz w:val="52"/>
          <w:szCs w:val="44"/>
          <w:lang w:val="en-US" w:eastAsia="zh-CN"/>
        </w:rPr>
      </w:pPr>
      <w:r>
        <w:rPr>
          <w:rFonts w:hint="eastAsia" w:ascii="黑体" w:hAnsi="宋体" w:eastAsia="黑体"/>
          <w:sz w:val="52"/>
          <w:szCs w:val="44"/>
          <w:lang w:val="en-US" w:eastAsia="zh-CN"/>
        </w:rPr>
        <w:t>报</w:t>
      </w:r>
    </w:p>
    <w:p w14:paraId="110343F9">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36"/>
          <w:szCs w:val="44"/>
        </w:rPr>
      </w:pPr>
      <w:r>
        <w:rPr>
          <w:rFonts w:hint="eastAsia" w:ascii="黑体" w:hAnsi="宋体" w:eastAsia="黑体"/>
          <w:sz w:val="52"/>
          <w:szCs w:val="44"/>
          <w:lang w:val="en-US" w:eastAsia="zh-CN"/>
        </w:rPr>
        <w:t>告</w:t>
      </w:r>
    </w:p>
    <w:p w14:paraId="1D6B8BE9">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36"/>
          <w:szCs w:val="44"/>
        </w:rPr>
      </w:pPr>
    </w:p>
    <w:p w14:paraId="2D1AB0FF">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36"/>
          <w:szCs w:val="44"/>
        </w:rPr>
      </w:pPr>
    </w:p>
    <w:p w14:paraId="3BF19C81">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36"/>
          <w:szCs w:val="44"/>
        </w:rPr>
      </w:pPr>
    </w:p>
    <w:p w14:paraId="7110B5D7">
      <w:pPr>
        <w:keepNext w:val="0"/>
        <w:keepLines w:val="0"/>
        <w:pageBreakBefore w:val="0"/>
        <w:widowControl w:val="0"/>
        <w:kinsoku w:val="0"/>
        <w:wordWrap/>
        <w:overflowPunct/>
        <w:topLinePunct w:val="0"/>
        <w:autoSpaceDE w:val="0"/>
        <w:autoSpaceDN w:val="0"/>
        <w:bidi w:val="0"/>
        <w:adjustRightInd w:val="0"/>
        <w:snapToGrid w:val="0"/>
        <w:spacing w:line="360" w:lineRule="auto"/>
        <w:jc w:val="center"/>
        <w:textAlignment w:val="baseline"/>
        <w:rPr>
          <w:rFonts w:ascii="黑体" w:hAnsi="宋体" w:eastAsia="黑体"/>
          <w:sz w:val="36"/>
          <w:szCs w:val="44"/>
        </w:rPr>
      </w:pPr>
      <w:r>
        <w:rPr>
          <w:rFonts w:ascii="黑体" w:hAnsi="宋体" w:eastAsia="黑体"/>
          <w:sz w:val="36"/>
          <w:szCs w:val="44"/>
        </w:rPr>
        <w:t>202</w:t>
      </w:r>
      <w:r>
        <w:rPr>
          <w:rFonts w:hint="eastAsia" w:ascii="黑体" w:hAnsi="宋体" w:eastAsia="黑体"/>
          <w:sz w:val="36"/>
          <w:szCs w:val="44"/>
          <w:lang w:val="en-US" w:eastAsia="zh-CN"/>
        </w:rPr>
        <w:t>5</w:t>
      </w:r>
      <w:r>
        <w:rPr>
          <w:rFonts w:hint="eastAsia" w:ascii="黑体" w:hAnsi="宋体" w:eastAsia="黑体"/>
          <w:sz w:val="36"/>
          <w:szCs w:val="44"/>
        </w:rPr>
        <w:t>年</w:t>
      </w:r>
      <w:r>
        <w:rPr>
          <w:rFonts w:hint="eastAsia" w:ascii="黑体" w:hAnsi="宋体" w:eastAsia="黑体"/>
          <w:sz w:val="36"/>
          <w:szCs w:val="44"/>
          <w:lang w:val="en-US" w:eastAsia="zh-CN"/>
        </w:rPr>
        <w:t>8</w:t>
      </w:r>
      <w:r>
        <w:rPr>
          <w:rFonts w:hint="eastAsia" w:ascii="黑体" w:hAnsi="宋体" w:eastAsia="黑体"/>
          <w:sz w:val="36"/>
          <w:szCs w:val="44"/>
        </w:rPr>
        <w:t>月</w:t>
      </w:r>
      <w:r>
        <w:rPr>
          <w:rFonts w:hint="eastAsia" w:ascii="黑体" w:hAnsi="宋体" w:eastAsia="黑体"/>
          <w:sz w:val="36"/>
          <w:szCs w:val="44"/>
          <w:lang w:val="en-US" w:eastAsia="zh-CN"/>
        </w:rPr>
        <w:t>30</w:t>
      </w:r>
      <w:r>
        <w:rPr>
          <w:rFonts w:hint="eastAsia" w:ascii="黑体" w:hAnsi="宋体" w:eastAsia="黑体"/>
          <w:sz w:val="36"/>
          <w:szCs w:val="44"/>
        </w:rPr>
        <w:t>日</w:t>
      </w:r>
    </w:p>
    <w:p w14:paraId="5550826D">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ascii="楷体_GB2312" w:eastAsia="楷体_GB2312"/>
          <w:b/>
          <w:sz w:val="32"/>
          <w:szCs w:val="28"/>
        </w:rPr>
        <w:sectPr>
          <w:headerReference r:id="rId5" w:type="first"/>
          <w:footerReference r:id="rId6" w:type="first"/>
          <w:pgSz w:w="11906" w:h="16838"/>
          <w:pgMar w:top="1440" w:right="1800" w:bottom="1440" w:left="1800" w:header="851" w:footer="992" w:gutter="0"/>
          <w:pgNumType w:start="1"/>
          <w:cols w:space="720" w:num="1"/>
          <w:titlePg/>
          <w:docGrid w:type="lines" w:linePitch="312" w:charSpace="0"/>
        </w:sectPr>
      </w:pPr>
    </w:p>
    <w:p w14:paraId="3261107E">
      <w:pPr>
        <w:keepNext w:val="0"/>
        <w:keepLines w:val="0"/>
        <w:pageBreakBefore w:val="0"/>
        <w:widowControl w:val="0"/>
        <w:tabs>
          <w:tab w:val="left" w:pos="1340"/>
          <w:tab w:val="center" w:pos="4153"/>
        </w:tabs>
        <w:kinsoku w:val="0"/>
        <w:wordWrap/>
        <w:overflowPunct/>
        <w:topLinePunct w:val="0"/>
        <w:autoSpaceDE w:val="0"/>
        <w:autoSpaceDN w:val="0"/>
        <w:bidi w:val="0"/>
        <w:adjustRightInd w:val="0"/>
        <w:snapToGrid w:val="0"/>
        <w:spacing w:line="360" w:lineRule="auto"/>
        <w:jc w:val="left"/>
        <w:textAlignment w:val="baseline"/>
        <w:rPr>
          <w:rFonts w:ascii="宋体" w:hAnsi="宋体"/>
          <w:bCs/>
          <w:sz w:val="32"/>
          <w:szCs w:val="28"/>
        </w:rPr>
      </w:pPr>
      <w:r>
        <w:rPr>
          <w:rFonts w:ascii="宋体" w:hAnsi="宋体"/>
          <w:bCs/>
          <w:sz w:val="32"/>
          <w:szCs w:val="28"/>
        </w:rPr>
        <w:tab/>
      </w:r>
      <w:r>
        <w:rPr>
          <w:rFonts w:ascii="宋体" w:hAnsi="宋体"/>
          <w:bCs/>
          <w:sz w:val="32"/>
          <w:szCs w:val="28"/>
        </w:rPr>
        <w:tab/>
      </w:r>
      <w:r>
        <w:rPr>
          <w:rFonts w:hint="eastAsia" w:ascii="宋体" w:hAnsi="宋体"/>
          <w:bCs/>
          <w:sz w:val="32"/>
          <w:szCs w:val="28"/>
        </w:rPr>
        <w:t>目 录</w:t>
      </w:r>
    </w:p>
    <w:p w14:paraId="125BC159">
      <w:pPr>
        <w:pStyle w:val="20"/>
        <w:tabs>
          <w:tab w:val="right" w:leader="dot" w:pos="8306"/>
        </w:tabs>
      </w:pPr>
      <w:r>
        <w:rPr>
          <w:rFonts w:ascii="楷体_GB2312" w:hAnsi="宋体" w:eastAsia="楷体_GB2312"/>
          <w:sz w:val="22"/>
          <w:szCs w:val="21"/>
        </w:rPr>
        <w:fldChar w:fldCharType="begin"/>
      </w:r>
      <w:r>
        <w:rPr>
          <w:rFonts w:ascii="楷体_GB2312" w:hAnsi="宋体" w:eastAsia="楷体_GB2312"/>
          <w:sz w:val="22"/>
          <w:szCs w:val="21"/>
        </w:rPr>
        <w:instrText xml:space="preserve">TOC \o "1-1" \h \u </w:instrText>
      </w:r>
      <w:r>
        <w:rPr>
          <w:rFonts w:ascii="楷体_GB2312" w:hAnsi="宋体" w:eastAsia="楷体_GB2312"/>
          <w:sz w:val="22"/>
          <w:szCs w:val="21"/>
        </w:rPr>
        <w:fldChar w:fldCharType="separate"/>
      </w:r>
      <w:r>
        <w:rPr>
          <w:rFonts w:ascii="楷体_GB2312" w:hAnsi="宋体" w:eastAsia="楷体_GB2312"/>
          <w:szCs w:val="21"/>
        </w:rPr>
        <w:fldChar w:fldCharType="begin"/>
      </w:r>
      <w:r>
        <w:rPr>
          <w:rFonts w:ascii="楷体_GB2312" w:hAnsi="宋体" w:eastAsia="楷体_GB2312"/>
          <w:szCs w:val="21"/>
        </w:rPr>
        <w:instrText xml:space="preserve"> HYPERLINK \l _Toc30770 </w:instrText>
      </w:r>
      <w:r>
        <w:rPr>
          <w:rFonts w:ascii="楷体_GB2312" w:hAnsi="宋体" w:eastAsia="楷体_GB2312"/>
          <w:szCs w:val="21"/>
        </w:rPr>
        <w:fldChar w:fldCharType="separate"/>
      </w:r>
      <w:r>
        <w:rPr>
          <w:rFonts w:hint="default"/>
        </w:rPr>
        <w:t xml:space="preserve">1. </w:t>
      </w:r>
      <w:r>
        <w:rPr>
          <w:rFonts w:hint="eastAsia"/>
        </w:rPr>
        <w:t>演练目的</w:t>
      </w:r>
      <w:r>
        <w:tab/>
      </w:r>
      <w:r>
        <w:fldChar w:fldCharType="begin"/>
      </w:r>
      <w:r>
        <w:instrText xml:space="preserve"> PAGEREF _Toc30770 \h </w:instrText>
      </w:r>
      <w:r>
        <w:fldChar w:fldCharType="separate"/>
      </w:r>
      <w:r>
        <w:t>1</w:t>
      </w:r>
      <w:r>
        <w:fldChar w:fldCharType="end"/>
      </w:r>
      <w:r>
        <w:rPr>
          <w:rFonts w:ascii="楷体_GB2312" w:hAnsi="宋体" w:eastAsia="楷体_GB2312"/>
          <w:szCs w:val="21"/>
        </w:rPr>
        <w:fldChar w:fldCharType="end"/>
      </w:r>
    </w:p>
    <w:p w14:paraId="2A7A0704">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_Toc24287 </w:instrText>
      </w:r>
      <w:r>
        <w:rPr>
          <w:rFonts w:ascii="楷体_GB2312" w:hAnsi="宋体" w:eastAsia="楷体_GB2312"/>
          <w:bCs/>
          <w:szCs w:val="21"/>
        </w:rPr>
        <w:fldChar w:fldCharType="separate"/>
      </w:r>
      <w:r>
        <w:rPr>
          <w:rFonts w:hint="default"/>
        </w:rPr>
        <w:t xml:space="preserve">2. </w:t>
      </w:r>
      <w:r>
        <w:rPr>
          <w:rFonts w:hint="eastAsia"/>
        </w:rPr>
        <w:t>演练范围与场景</w:t>
      </w:r>
      <w:r>
        <w:tab/>
      </w:r>
      <w:r>
        <w:fldChar w:fldCharType="begin"/>
      </w:r>
      <w:r>
        <w:instrText xml:space="preserve"> PAGEREF _Toc24287 \h </w:instrText>
      </w:r>
      <w:r>
        <w:fldChar w:fldCharType="separate"/>
      </w:r>
      <w:r>
        <w:t>1</w:t>
      </w:r>
      <w:r>
        <w:fldChar w:fldCharType="end"/>
      </w:r>
      <w:r>
        <w:rPr>
          <w:rFonts w:ascii="楷体_GB2312" w:hAnsi="宋体" w:eastAsia="楷体_GB2312"/>
          <w:bCs/>
          <w:szCs w:val="21"/>
        </w:rPr>
        <w:fldChar w:fldCharType="end"/>
      </w:r>
    </w:p>
    <w:p w14:paraId="2823AAA5">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_Toc29649 </w:instrText>
      </w:r>
      <w:r>
        <w:rPr>
          <w:rFonts w:ascii="楷体_GB2312" w:hAnsi="宋体" w:eastAsia="楷体_GB2312"/>
          <w:bCs/>
          <w:szCs w:val="21"/>
        </w:rPr>
        <w:fldChar w:fldCharType="separate"/>
      </w:r>
      <w:r>
        <w:rPr>
          <w:rFonts w:hint="default"/>
        </w:rPr>
        <w:t xml:space="preserve">3. </w:t>
      </w:r>
      <w:r>
        <w:rPr>
          <w:rFonts w:hint="eastAsia"/>
        </w:rPr>
        <w:t>演练方式与时间</w:t>
      </w:r>
      <w:r>
        <w:tab/>
      </w:r>
      <w:r>
        <w:fldChar w:fldCharType="begin"/>
      </w:r>
      <w:r>
        <w:instrText xml:space="preserve"> PAGEREF _Toc29649 \h </w:instrText>
      </w:r>
      <w:r>
        <w:fldChar w:fldCharType="separate"/>
      </w:r>
      <w:r>
        <w:t>2</w:t>
      </w:r>
      <w:r>
        <w:fldChar w:fldCharType="end"/>
      </w:r>
      <w:r>
        <w:rPr>
          <w:rFonts w:ascii="楷体_GB2312" w:hAnsi="宋体" w:eastAsia="楷体_GB2312"/>
          <w:bCs/>
          <w:szCs w:val="21"/>
        </w:rPr>
        <w:fldChar w:fldCharType="end"/>
      </w:r>
    </w:p>
    <w:p w14:paraId="5B9F28C4">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_Toc9535 </w:instrText>
      </w:r>
      <w:r>
        <w:rPr>
          <w:rFonts w:ascii="楷体_GB2312" w:hAnsi="宋体" w:eastAsia="楷体_GB2312"/>
          <w:bCs/>
          <w:szCs w:val="21"/>
        </w:rPr>
        <w:fldChar w:fldCharType="separate"/>
      </w:r>
      <w:r>
        <w:rPr>
          <w:rFonts w:hint="default"/>
          <w:lang w:val="en-US" w:eastAsia="zh-CN"/>
        </w:rPr>
        <w:t xml:space="preserve">4. </w:t>
      </w:r>
      <w:r>
        <w:rPr>
          <w:rFonts w:hint="eastAsia"/>
          <w:lang w:val="en-US" w:eastAsia="zh-CN"/>
        </w:rPr>
        <w:t>参与人员及职责</w:t>
      </w:r>
      <w:r>
        <w:tab/>
      </w:r>
      <w:r>
        <w:fldChar w:fldCharType="begin"/>
      </w:r>
      <w:r>
        <w:instrText xml:space="preserve"> PAGEREF _Toc9535 \h </w:instrText>
      </w:r>
      <w:r>
        <w:fldChar w:fldCharType="separate"/>
      </w:r>
      <w:r>
        <w:t>2</w:t>
      </w:r>
      <w:r>
        <w:fldChar w:fldCharType="end"/>
      </w:r>
      <w:r>
        <w:rPr>
          <w:rFonts w:ascii="楷体_GB2312" w:hAnsi="宋体" w:eastAsia="楷体_GB2312"/>
          <w:bCs/>
          <w:szCs w:val="21"/>
        </w:rPr>
        <w:fldChar w:fldCharType="end"/>
      </w:r>
    </w:p>
    <w:p w14:paraId="0188BA72">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_Toc7830 </w:instrText>
      </w:r>
      <w:r>
        <w:rPr>
          <w:rFonts w:ascii="楷体_GB2312" w:hAnsi="宋体" w:eastAsia="楷体_GB2312"/>
          <w:bCs/>
          <w:szCs w:val="21"/>
        </w:rPr>
        <w:fldChar w:fldCharType="separate"/>
      </w:r>
      <w:r>
        <w:rPr>
          <w:rFonts w:hint="default"/>
          <w:lang w:val="en-US" w:eastAsia="zh-CN"/>
        </w:rPr>
        <w:t>5. 演练阶段与议程</w:t>
      </w:r>
      <w:r>
        <w:tab/>
      </w:r>
      <w:r>
        <w:fldChar w:fldCharType="begin"/>
      </w:r>
      <w:r>
        <w:instrText xml:space="preserve"> PAGEREF _Toc7830 \h </w:instrText>
      </w:r>
      <w:r>
        <w:fldChar w:fldCharType="separate"/>
      </w:r>
      <w:r>
        <w:t>2</w:t>
      </w:r>
      <w:r>
        <w:fldChar w:fldCharType="end"/>
      </w:r>
      <w:r>
        <w:rPr>
          <w:rFonts w:ascii="楷体_GB2312" w:hAnsi="宋体" w:eastAsia="楷体_GB2312"/>
          <w:bCs/>
          <w:szCs w:val="21"/>
        </w:rPr>
        <w:fldChar w:fldCharType="end"/>
      </w:r>
    </w:p>
    <w:p w14:paraId="32B810F1">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_Toc11869 </w:instrText>
      </w:r>
      <w:r>
        <w:rPr>
          <w:rFonts w:ascii="楷体_GB2312" w:hAnsi="宋体" w:eastAsia="楷体_GB2312"/>
          <w:bCs/>
          <w:szCs w:val="21"/>
        </w:rPr>
        <w:fldChar w:fldCharType="separate"/>
      </w:r>
      <w:r>
        <w:rPr>
          <w:rFonts w:hint="default"/>
          <w:lang w:val="en-US" w:eastAsia="zh-CN"/>
        </w:rPr>
        <w:t>6. 成功标准</w:t>
      </w:r>
      <w:r>
        <w:tab/>
      </w:r>
      <w:r>
        <w:fldChar w:fldCharType="begin"/>
      </w:r>
      <w:r>
        <w:instrText xml:space="preserve"> PAGEREF _Toc11869 \h </w:instrText>
      </w:r>
      <w:r>
        <w:fldChar w:fldCharType="separate"/>
      </w:r>
      <w:r>
        <w:t>3</w:t>
      </w:r>
      <w:r>
        <w:fldChar w:fldCharType="end"/>
      </w:r>
      <w:r>
        <w:rPr>
          <w:rFonts w:ascii="楷体_GB2312" w:hAnsi="宋体" w:eastAsia="楷体_GB2312"/>
          <w:bCs/>
          <w:szCs w:val="21"/>
        </w:rPr>
        <w:fldChar w:fldCharType="end"/>
      </w:r>
    </w:p>
    <w:p w14:paraId="6C74F295">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_Toc23955 </w:instrText>
      </w:r>
      <w:r>
        <w:rPr>
          <w:rFonts w:ascii="楷体_GB2312" w:hAnsi="宋体" w:eastAsia="楷体_GB2312"/>
          <w:bCs/>
          <w:szCs w:val="21"/>
        </w:rPr>
        <w:fldChar w:fldCharType="separate"/>
      </w:r>
      <w:r>
        <w:rPr>
          <w:rFonts w:hint="default"/>
          <w:lang w:val="en-US" w:eastAsia="zh-CN"/>
        </w:rPr>
        <w:t>7. 准备工作与资源需求</w:t>
      </w:r>
      <w:r>
        <w:tab/>
      </w:r>
      <w:r>
        <w:fldChar w:fldCharType="begin"/>
      </w:r>
      <w:r>
        <w:instrText xml:space="preserve"> PAGEREF _Toc23955 \h </w:instrText>
      </w:r>
      <w:r>
        <w:fldChar w:fldCharType="separate"/>
      </w:r>
      <w:r>
        <w:t>3</w:t>
      </w:r>
      <w:r>
        <w:fldChar w:fldCharType="end"/>
      </w:r>
      <w:r>
        <w:rPr>
          <w:rFonts w:ascii="楷体_GB2312" w:hAnsi="宋体" w:eastAsia="楷体_GB2312"/>
          <w:bCs/>
          <w:szCs w:val="21"/>
        </w:rPr>
        <w:fldChar w:fldCharType="end"/>
      </w:r>
    </w:p>
    <w:p w14:paraId="06C25C38">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_Toc32380 </w:instrText>
      </w:r>
      <w:r>
        <w:rPr>
          <w:rFonts w:ascii="楷体_GB2312" w:hAnsi="宋体" w:eastAsia="楷体_GB2312"/>
          <w:bCs/>
          <w:szCs w:val="21"/>
        </w:rPr>
        <w:fldChar w:fldCharType="separate"/>
      </w:r>
      <w:r>
        <w:rPr>
          <w:rFonts w:hint="default"/>
          <w:lang w:val="en-US" w:eastAsia="zh-CN"/>
        </w:rPr>
        <w:t>8. 风险控制与注意事项</w:t>
      </w:r>
      <w:r>
        <w:tab/>
      </w:r>
      <w:r>
        <w:fldChar w:fldCharType="begin"/>
      </w:r>
      <w:r>
        <w:instrText xml:space="preserve"> PAGEREF _Toc32380 \h </w:instrText>
      </w:r>
      <w:r>
        <w:fldChar w:fldCharType="separate"/>
      </w:r>
      <w:r>
        <w:t>4</w:t>
      </w:r>
      <w:r>
        <w:fldChar w:fldCharType="end"/>
      </w:r>
      <w:r>
        <w:rPr>
          <w:rFonts w:ascii="楷体_GB2312" w:hAnsi="宋体" w:eastAsia="楷体_GB2312"/>
          <w:bCs/>
          <w:szCs w:val="21"/>
        </w:rPr>
        <w:fldChar w:fldCharType="end"/>
      </w:r>
    </w:p>
    <w:p w14:paraId="12F1FA35">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楷体_GB2312" w:hAnsi="宋体" w:eastAsia="楷体_GB2312"/>
          <w:bCs/>
          <w:sz w:val="22"/>
          <w:szCs w:val="21"/>
        </w:rPr>
        <w:sectPr>
          <w:pgSz w:w="11906" w:h="16838"/>
          <w:pgMar w:top="1440" w:right="1800" w:bottom="1440" w:left="1800" w:header="851" w:footer="992" w:gutter="0"/>
          <w:pgNumType w:start="1"/>
          <w:cols w:space="720" w:num="1"/>
          <w:titlePg/>
          <w:docGrid w:type="lines" w:linePitch="312" w:charSpace="0"/>
        </w:sectPr>
      </w:pPr>
      <w:r>
        <w:rPr>
          <w:rFonts w:ascii="楷体_GB2312" w:hAnsi="宋体" w:eastAsia="楷体_GB2312"/>
          <w:bCs/>
          <w:szCs w:val="21"/>
        </w:rPr>
        <w:fldChar w:fldCharType="end"/>
      </w:r>
    </w:p>
    <w:p w14:paraId="6FC3CC62">
      <w:pPr>
        <w:pStyle w:val="55"/>
        <w:bidi w:val="0"/>
        <w:rPr>
          <w:rFonts w:hint="default"/>
          <w:lang w:val="en-US" w:eastAsia="zh-CN"/>
        </w:rPr>
      </w:pPr>
      <w:r>
        <w:rPr>
          <w:rFonts w:hint="default"/>
          <w:lang w:val="en-US" w:eastAsia="zh-CN"/>
        </w:rPr>
        <w:t>演练概述</w:t>
      </w:r>
    </w:p>
    <w:p w14:paraId="35FAEED5">
      <w:pPr>
        <w:pStyle w:val="56"/>
        <w:rPr>
          <w:rFonts w:hint="default"/>
          <w:lang w:val="en-US" w:eastAsia="zh-CN"/>
        </w:rPr>
      </w:pPr>
      <w:r>
        <w:rPr>
          <w:rFonts w:hint="default"/>
          <w:lang w:val="en-US" w:eastAsia="zh-CN"/>
        </w:rPr>
        <w:t>为全面验证《“晋来办”平台应急预案》的有效性与各应急小组的协同作战能力，我部于 2025年</w:t>
      </w:r>
      <w:r>
        <w:rPr>
          <w:rFonts w:hint="eastAsia"/>
          <w:lang w:val="en-US" w:eastAsia="zh-CN"/>
        </w:rPr>
        <w:t>8</w:t>
      </w:r>
      <w:r>
        <w:rPr>
          <w:rFonts w:hint="default"/>
          <w:lang w:val="en-US" w:eastAsia="zh-CN"/>
        </w:rPr>
        <w:t>月</w:t>
      </w:r>
      <w:r>
        <w:rPr>
          <w:rFonts w:hint="eastAsia"/>
          <w:lang w:val="en-US" w:eastAsia="zh-CN"/>
        </w:rPr>
        <w:t>30</w:t>
      </w:r>
      <w:r>
        <w:rPr>
          <w:rFonts w:hint="default"/>
          <w:lang w:val="en-US" w:eastAsia="zh-CN"/>
        </w:rPr>
        <w:t>日 成功组织了专项实战演练。本次演练严格遵循预定的演练计划，模拟了“APP核心服务异常”场景，完整执行了应急响应的全流程。演练过程紧张有序，各小组反应迅速、诊断精准、协作顺畅，达到了检验流程、锻炼队伍、优化体系的预期目标。</w:t>
      </w:r>
    </w:p>
    <w:p w14:paraId="5C7C52FF">
      <w:pPr>
        <w:pStyle w:val="55"/>
        <w:bidi w:val="0"/>
        <w:rPr>
          <w:rFonts w:hint="default"/>
          <w:lang w:val="en-US" w:eastAsia="zh-CN"/>
        </w:rPr>
      </w:pPr>
      <w:r>
        <w:rPr>
          <w:rFonts w:hint="default"/>
          <w:lang w:val="en-US" w:eastAsia="zh-CN"/>
        </w:rPr>
        <w:t>演练准备与启动</w:t>
      </w:r>
    </w:p>
    <w:p w14:paraId="11B1DF5F">
      <w:pPr>
        <w:pStyle w:val="56"/>
        <w:rPr>
          <w:rFonts w:hint="default"/>
          <w:lang w:val="en-US" w:eastAsia="zh-CN"/>
        </w:rPr>
      </w:pPr>
      <w:r>
        <w:rPr>
          <w:rFonts w:hint="default"/>
          <w:lang w:val="en-US" w:eastAsia="zh-CN"/>
        </w:rPr>
        <w:t>演练前3个工作日，演练计划已下发至所有参演人员。</w:t>
      </w:r>
      <w:r>
        <w:rPr>
          <w:rFonts w:hint="eastAsia"/>
          <w:lang w:val="en-US" w:eastAsia="zh-CN"/>
        </w:rPr>
        <w:t>8</w:t>
      </w:r>
      <w:r>
        <w:rPr>
          <w:rFonts w:hint="default"/>
          <w:lang w:val="en-US" w:eastAsia="zh-CN"/>
        </w:rPr>
        <w:t>月</w:t>
      </w:r>
      <w:r>
        <w:rPr>
          <w:rFonts w:hint="eastAsia"/>
          <w:lang w:val="en-US" w:eastAsia="zh-CN"/>
        </w:rPr>
        <w:t>30</w:t>
      </w:r>
      <w:r>
        <w:rPr>
          <w:rFonts w:hint="default"/>
          <w:lang w:val="en-US" w:eastAsia="zh-CN"/>
        </w:rPr>
        <w:t>日14:00，全体参演人员在应急指挥群内完成线上集结，演练总指挥（数智运营经理）宣布演练启动，并再次明确了演练纪律与目标。</w:t>
      </w:r>
    </w:p>
    <w:p w14:paraId="52C7B50F">
      <w:pPr>
        <w:pStyle w:val="56"/>
        <w:rPr>
          <w:rFonts w:hint="default"/>
          <w:lang w:val="en-US" w:eastAsia="zh-CN"/>
        </w:rPr>
      </w:pPr>
      <w:r>
        <w:rPr>
          <w:rFonts w:hint="default"/>
          <w:lang w:val="en-US" w:eastAsia="zh-CN"/>
        </w:rPr>
        <w:t>14:05，模拟事件被正式注入：“监控警报：‘晋来办’APP首页及核心接口大量返回500状态码，请立即处置！”</w:t>
      </w:r>
    </w:p>
    <w:p w14:paraId="25DE7C41">
      <w:pPr>
        <w:pStyle w:val="56"/>
        <w:rPr>
          <w:rFonts w:hint="default"/>
          <w:lang w:val="en-US" w:eastAsia="zh-CN"/>
        </w:rPr>
      </w:pPr>
      <w:r>
        <w:rPr>
          <w:rFonts w:hint="default"/>
          <w:lang w:val="en-US" w:eastAsia="zh-CN"/>
        </w:rPr>
        <w:t>14:07，技术支撑组组长阴俊杰率先响应，并在2分钟内根据现象判断需启动应急预案。</w:t>
      </w:r>
    </w:p>
    <w:p w14:paraId="4CB6A1A5">
      <w:pPr>
        <w:pStyle w:val="56"/>
        <w:rPr>
          <w:rFonts w:hint="default"/>
          <w:lang w:val="en-US" w:eastAsia="zh-CN"/>
        </w:rPr>
      </w:pPr>
      <w:r>
        <w:rPr>
          <w:rFonts w:hint="default"/>
          <w:lang w:val="en-US" w:eastAsia="zh-CN"/>
        </w:rPr>
        <w:t>14:08，指挥组组长景建波批准并正式宣布启动《“晋来办”平台应急预案》。</w:t>
      </w:r>
    </w:p>
    <w:p w14:paraId="21AE5B5B">
      <w:pPr>
        <w:pStyle w:val="55"/>
        <w:bidi w:val="0"/>
        <w:rPr>
          <w:rFonts w:hint="default"/>
          <w:lang w:val="en-US" w:eastAsia="zh-CN"/>
        </w:rPr>
      </w:pPr>
      <w:r>
        <w:rPr>
          <w:rFonts w:hint="default"/>
          <w:lang w:val="en-US" w:eastAsia="zh-CN"/>
        </w:rPr>
        <w:t>应急响应与处置过程</w:t>
      </w:r>
    </w:p>
    <w:p w14:paraId="09D0047A">
      <w:pPr>
        <w:pStyle w:val="56"/>
        <w:rPr>
          <w:rFonts w:hint="default"/>
          <w:lang w:val="en-US" w:eastAsia="zh-CN"/>
        </w:rPr>
      </w:pPr>
      <w:r>
        <w:rPr>
          <w:rFonts w:hint="default"/>
          <w:lang w:val="en-US" w:eastAsia="zh-CN"/>
        </w:rPr>
        <w:t>预案启动后，各小组立即进入应急状态，严格遵循预案第五章规定的流程展开工作。</w:t>
      </w:r>
    </w:p>
    <w:p w14:paraId="55DC3652">
      <w:pPr>
        <w:pStyle w:val="56"/>
        <w:rPr>
          <w:rFonts w:hint="default"/>
          <w:lang w:val="en-US" w:eastAsia="zh-CN"/>
        </w:rPr>
      </w:pPr>
      <w:r>
        <w:rPr>
          <w:rFonts w:hint="default"/>
          <w:lang w:val="en-US" w:eastAsia="zh-CN"/>
        </w:rPr>
        <w:t>整个处置流程关键时间节点明确，体现了高效的系统性协作：</w:t>
      </w:r>
    </w:p>
    <w:p w14:paraId="096F290C">
      <w:pPr>
        <w:pStyle w:val="56"/>
        <w:rPr>
          <w:rFonts w:hint="default"/>
          <w:lang w:val="en-US" w:eastAsia="zh-CN"/>
        </w:rPr>
      </w:pPr>
      <w:r>
        <w:rPr>
          <w:rFonts w:hint="default"/>
          <w:lang w:val="en-US" w:eastAsia="zh-CN"/>
        </w:rPr>
        <w:t>14:15，网络及云平台保障组率先反馈：“经检查，SLB及后端服务器网络均正常，排除网络故障。”</w:t>
      </w:r>
    </w:p>
    <w:p w14:paraId="53E7BA46">
      <w:pPr>
        <w:pStyle w:val="56"/>
        <w:rPr>
          <w:rFonts w:hint="default"/>
          <w:lang w:val="en-US" w:eastAsia="zh-CN"/>
        </w:rPr>
      </w:pPr>
      <w:r>
        <w:rPr>
          <w:rFonts w:hint="default"/>
          <w:lang w:val="en-US" w:eastAsia="zh-CN"/>
        </w:rPr>
        <w:t>14:18，平台运维组在应用服务器上通过日志分析，迅速定位到根本原因：“TongWeb应用服务器因内存溢出导致服务崩溃。”</w:t>
      </w:r>
    </w:p>
    <w:p w14:paraId="110617EE">
      <w:pPr>
        <w:pStyle w:val="56"/>
        <w:rPr>
          <w:rFonts w:hint="default"/>
          <w:lang w:val="en-US" w:eastAsia="zh-CN"/>
        </w:rPr>
      </w:pPr>
      <w:r>
        <w:rPr>
          <w:rFonts w:hint="default"/>
          <w:lang w:val="en-US" w:eastAsia="zh-CN"/>
        </w:rPr>
        <w:t>14:25，技术支撑组综合各方信息，向指挥组汇报诊断结论与处置方案：“确认为TongWeb软件故障，建议立即重启服务。” 指挥组景建波组长当即授权操作。</w:t>
      </w:r>
    </w:p>
    <w:p w14:paraId="3421AF52">
      <w:pPr>
        <w:pStyle w:val="56"/>
        <w:rPr>
          <w:rFonts w:hint="default"/>
          <w:lang w:val="en-US" w:eastAsia="zh-CN"/>
        </w:rPr>
      </w:pPr>
      <w:r>
        <w:rPr>
          <w:rFonts w:hint="default"/>
          <w:lang w:val="en-US" w:eastAsia="zh-CN"/>
        </w:rPr>
        <w:t>14:28，平台运维组执行TongWeb服务重启。</w:t>
      </w:r>
    </w:p>
    <w:p w14:paraId="5157689D">
      <w:pPr>
        <w:pStyle w:val="56"/>
        <w:rPr>
          <w:rFonts w:hint="default"/>
          <w:lang w:val="en-US" w:eastAsia="zh-CN"/>
        </w:rPr>
      </w:pPr>
      <w:r>
        <w:rPr>
          <w:rFonts w:hint="default"/>
          <w:lang w:val="en-US" w:eastAsia="zh-CN"/>
        </w:rPr>
        <w:t>14:31，服务重启完毕。技术支撑组通过多轮模拟请求验证，确认APP各项功能恢复正常。</w:t>
      </w:r>
    </w:p>
    <w:p w14:paraId="1A739C69">
      <w:pPr>
        <w:pStyle w:val="56"/>
        <w:rPr>
          <w:rFonts w:hint="default"/>
          <w:lang w:val="en-US" w:eastAsia="zh-CN"/>
        </w:rPr>
      </w:pPr>
      <w:r>
        <w:rPr>
          <w:rFonts w:hint="default"/>
          <w:lang w:val="en-US" w:eastAsia="zh-CN"/>
        </w:rPr>
        <w:t>14:33，技术支撑组向指挥组报告：“故障已排除，服务恢复，申请结束应急响应。”</w:t>
      </w:r>
    </w:p>
    <w:p w14:paraId="0CD1FE81">
      <w:pPr>
        <w:pStyle w:val="56"/>
        <w:rPr>
          <w:rFonts w:hint="default"/>
          <w:lang w:val="en-US" w:eastAsia="zh-CN"/>
        </w:rPr>
      </w:pPr>
      <w:r>
        <w:rPr>
          <w:rFonts w:hint="default"/>
          <w:lang w:val="en-US" w:eastAsia="zh-CN"/>
        </w:rPr>
        <w:t>14:35，指挥组宣布应急响应终止，演练进入复盘阶段。</w:t>
      </w:r>
    </w:p>
    <w:p w14:paraId="2225ADB7">
      <w:pPr>
        <w:pStyle w:val="55"/>
        <w:bidi w:val="0"/>
        <w:rPr>
          <w:rFonts w:hint="eastAsia"/>
          <w:lang w:val="en-US" w:eastAsia="zh-CN"/>
        </w:rPr>
      </w:pPr>
      <w:r>
        <w:rPr>
          <w:rFonts w:hint="eastAsia"/>
          <w:lang w:val="en-US" w:eastAsia="zh-CN"/>
        </w:rPr>
        <w:t>演练评估与总结</w:t>
      </w:r>
    </w:p>
    <w:p w14:paraId="7ABF7FC8">
      <w:pPr>
        <w:pStyle w:val="57"/>
        <w:bidi w:val="0"/>
        <w:rPr>
          <w:rFonts w:hint="default"/>
          <w:lang w:val="en-US" w:eastAsia="zh-CN"/>
        </w:rPr>
      </w:pPr>
      <w:r>
        <w:rPr>
          <w:rFonts w:hint="eastAsia"/>
          <w:lang w:val="en-US" w:eastAsia="zh-CN"/>
        </w:rPr>
        <w:t>目标达成情况</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1300"/>
        <w:gridCol w:w="5546"/>
      </w:tblGrid>
      <w:tr w14:paraId="540D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2321172B">
            <w:pPr>
              <w:pStyle w:val="56"/>
              <w:ind w:left="0" w:leftChars="0" w:firstLine="0" w:firstLineChars="0"/>
              <w:rPr>
                <w:rFonts w:hint="default"/>
                <w:vertAlign w:val="baseline"/>
                <w:lang w:val="en-US" w:eastAsia="zh-CN"/>
              </w:rPr>
            </w:pPr>
            <w:r>
              <w:rPr>
                <w:rFonts w:hint="eastAsia"/>
                <w:vertAlign w:val="baseline"/>
                <w:lang w:val="en-US" w:eastAsia="zh-CN"/>
              </w:rPr>
              <w:t>评估维度</w:t>
            </w:r>
          </w:p>
        </w:tc>
        <w:tc>
          <w:tcPr>
            <w:tcW w:w="1300" w:type="dxa"/>
          </w:tcPr>
          <w:p w14:paraId="25A60513">
            <w:pPr>
              <w:pStyle w:val="56"/>
              <w:ind w:left="0" w:leftChars="0" w:firstLine="0" w:firstLineChars="0"/>
              <w:rPr>
                <w:rFonts w:hint="default"/>
                <w:vertAlign w:val="baseline"/>
                <w:lang w:val="en-US" w:eastAsia="zh-CN"/>
              </w:rPr>
            </w:pPr>
            <w:r>
              <w:rPr>
                <w:rFonts w:hint="eastAsia"/>
                <w:vertAlign w:val="baseline"/>
                <w:lang w:val="en-US" w:eastAsia="zh-CN"/>
              </w:rPr>
              <w:t>评估结果</w:t>
            </w:r>
          </w:p>
        </w:tc>
        <w:tc>
          <w:tcPr>
            <w:tcW w:w="5546" w:type="dxa"/>
          </w:tcPr>
          <w:p w14:paraId="4F79F4CB">
            <w:pPr>
              <w:pStyle w:val="56"/>
              <w:ind w:left="0" w:leftChars="0" w:firstLine="0" w:firstLineChars="0"/>
              <w:rPr>
                <w:rFonts w:hint="default"/>
                <w:vertAlign w:val="baseline"/>
                <w:lang w:val="en-US" w:eastAsia="zh-CN"/>
              </w:rPr>
            </w:pPr>
            <w:r>
              <w:rPr>
                <w:rFonts w:hint="eastAsia"/>
                <w:vertAlign w:val="baseline"/>
                <w:lang w:val="en-US" w:eastAsia="zh-CN"/>
              </w:rPr>
              <w:t>说明与证据</w:t>
            </w:r>
          </w:p>
        </w:tc>
      </w:tr>
      <w:tr w14:paraId="78588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5FA03859">
            <w:pPr>
              <w:pStyle w:val="56"/>
              <w:ind w:left="0" w:leftChars="0" w:firstLine="0" w:firstLineChars="0"/>
              <w:rPr>
                <w:rFonts w:hint="default"/>
                <w:vertAlign w:val="baseline"/>
                <w:lang w:val="en-US" w:eastAsia="zh-CN"/>
              </w:rPr>
            </w:pPr>
            <w:r>
              <w:rPr>
                <w:rFonts w:hint="eastAsia"/>
                <w:vertAlign w:val="baseline"/>
                <w:lang w:val="en-US" w:eastAsia="zh-CN"/>
              </w:rPr>
              <w:t>响应有效性</w:t>
            </w:r>
          </w:p>
        </w:tc>
        <w:tc>
          <w:tcPr>
            <w:tcW w:w="1300" w:type="dxa"/>
          </w:tcPr>
          <w:p w14:paraId="737B36DB">
            <w:pPr>
              <w:ind w:left="0" w:leftChars="0" w:firstLine="0" w:firstLineChars="0"/>
              <w:rPr>
                <w:rFonts w:hint="default"/>
                <w:vertAlign w:val="baseline"/>
                <w:lang w:val="en-US" w:eastAsia="zh-CN"/>
              </w:rPr>
            </w:pPr>
            <w:r>
              <w:rPr>
                <w:rFonts w:hint="eastAsia"/>
                <w:vertAlign w:val="baseline"/>
                <w:lang w:val="en-US" w:eastAsia="zh-CN"/>
              </w:rPr>
              <w:t>优秀</w:t>
            </w:r>
          </w:p>
        </w:tc>
        <w:tc>
          <w:tcPr>
            <w:tcW w:w="5546" w:type="dxa"/>
          </w:tcPr>
          <w:p w14:paraId="5E6CD01E">
            <w:pPr>
              <w:pStyle w:val="56"/>
              <w:ind w:left="0" w:leftChars="0" w:firstLine="0" w:firstLineChars="0"/>
              <w:rPr>
                <w:rFonts w:hint="default"/>
                <w:vertAlign w:val="baseline"/>
                <w:lang w:val="en-US" w:eastAsia="zh-CN"/>
              </w:rPr>
            </w:pPr>
            <w:r>
              <w:rPr>
                <w:rFonts w:hint="eastAsia"/>
                <w:vertAlign w:val="baseline"/>
                <w:lang w:val="en-US" w:eastAsia="zh-CN"/>
              </w:rPr>
              <w:t>2分钟内启动预案，28分钟完成从故障发生到恢复的全过程，远超SLA要求。</w:t>
            </w:r>
          </w:p>
        </w:tc>
      </w:tr>
      <w:tr w14:paraId="7198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5DA2642F">
            <w:pPr>
              <w:pStyle w:val="56"/>
              <w:ind w:left="0" w:leftChars="0" w:firstLine="0" w:firstLineChars="0"/>
              <w:rPr>
                <w:rFonts w:hint="default"/>
                <w:vertAlign w:val="baseline"/>
                <w:lang w:val="en-US" w:eastAsia="zh-CN"/>
              </w:rPr>
            </w:pPr>
            <w:r>
              <w:rPr>
                <w:rFonts w:hint="eastAsia"/>
                <w:vertAlign w:val="baseline"/>
                <w:lang w:val="en-US" w:eastAsia="zh-CN"/>
              </w:rPr>
              <w:t>流程符合性</w:t>
            </w:r>
          </w:p>
        </w:tc>
        <w:tc>
          <w:tcPr>
            <w:tcW w:w="1300" w:type="dxa"/>
          </w:tcPr>
          <w:p w14:paraId="71633100">
            <w:pPr>
              <w:ind w:left="0" w:leftChars="0" w:firstLine="0" w:firstLineChars="0"/>
              <w:rPr>
                <w:rFonts w:hint="default"/>
                <w:vertAlign w:val="baseline"/>
                <w:lang w:val="en-US" w:eastAsia="zh-CN"/>
              </w:rPr>
            </w:pPr>
            <w:r>
              <w:rPr>
                <w:rFonts w:hint="eastAsia"/>
                <w:vertAlign w:val="baseline"/>
                <w:lang w:val="en-US" w:eastAsia="zh-CN"/>
              </w:rPr>
              <w:t>优秀</w:t>
            </w:r>
          </w:p>
        </w:tc>
        <w:tc>
          <w:tcPr>
            <w:tcW w:w="5546" w:type="dxa"/>
          </w:tcPr>
          <w:p w14:paraId="556B711B">
            <w:pPr>
              <w:pStyle w:val="56"/>
              <w:ind w:left="0" w:leftChars="0" w:firstLine="0" w:firstLineChars="0"/>
              <w:rPr>
                <w:rFonts w:hint="default"/>
                <w:vertAlign w:val="baseline"/>
                <w:lang w:val="en-US" w:eastAsia="zh-CN"/>
              </w:rPr>
            </w:pPr>
            <w:r>
              <w:rPr>
                <w:rFonts w:hint="eastAsia"/>
                <w:vertAlign w:val="baseline"/>
                <w:lang w:val="en-US" w:eastAsia="zh-CN"/>
              </w:rPr>
              <w:t>各组严格按预案SOP执行，从网络到应用的排查路径科学、无遗漏。</w:t>
            </w:r>
          </w:p>
        </w:tc>
      </w:tr>
      <w:tr w14:paraId="7139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268BA3E6">
            <w:pPr>
              <w:pStyle w:val="56"/>
              <w:ind w:left="0" w:leftChars="0" w:firstLine="0" w:firstLineChars="0"/>
              <w:rPr>
                <w:rFonts w:hint="default"/>
                <w:vertAlign w:val="baseline"/>
                <w:lang w:val="en-US" w:eastAsia="zh-CN"/>
              </w:rPr>
            </w:pPr>
            <w:r>
              <w:rPr>
                <w:rFonts w:hint="eastAsia"/>
                <w:vertAlign w:val="baseline"/>
                <w:lang w:val="en-US" w:eastAsia="zh-CN"/>
              </w:rPr>
              <w:t>协同效率</w:t>
            </w:r>
          </w:p>
        </w:tc>
        <w:tc>
          <w:tcPr>
            <w:tcW w:w="1300" w:type="dxa"/>
          </w:tcPr>
          <w:p w14:paraId="4C28E6BB">
            <w:pPr>
              <w:ind w:left="0" w:leftChars="0" w:firstLine="0" w:firstLineChars="0"/>
              <w:rPr>
                <w:rFonts w:hint="default"/>
                <w:vertAlign w:val="baseline"/>
                <w:lang w:val="en-US" w:eastAsia="zh-CN"/>
              </w:rPr>
            </w:pPr>
            <w:r>
              <w:rPr>
                <w:rFonts w:hint="eastAsia"/>
                <w:vertAlign w:val="baseline"/>
                <w:lang w:val="en-US" w:eastAsia="zh-CN"/>
              </w:rPr>
              <w:t>优秀</w:t>
            </w:r>
          </w:p>
        </w:tc>
        <w:tc>
          <w:tcPr>
            <w:tcW w:w="5546" w:type="dxa"/>
          </w:tcPr>
          <w:p w14:paraId="20778CA2">
            <w:pPr>
              <w:pStyle w:val="56"/>
              <w:ind w:left="0" w:leftChars="0" w:firstLine="0" w:firstLineChars="0"/>
              <w:rPr>
                <w:rFonts w:hint="default"/>
                <w:vertAlign w:val="baseline"/>
                <w:lang w:val="en-US" w:eastAsia="zh-CN"/>
              </w:rPr>
            </w:pPr>
            <w:r>
              <w:rPr>
                <w:rFonts w:hint="eastAsia"/>
                <w:vertAlign w:val="baseline"/>
                <w:lang w:val="en-US" w:eastAsia="zh-CN"/>
              </w:rPr>
              <w:t>通过指挥群沟通，信息透明，决策链短，协作无缝</w:t>
            </w:r>
          </w:p>
        </w:tc>
      </w:tr>
      <w:tr w14:paraId="67A6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3EF5098B">
            <w:pPr>
              <w:pStyle w:val="56"/>
              <w:ind w:left="0" w:leftChars="0" w:firstLine="0" w:firstLineChars="0"/>
              <w:rPr>
                <w:rFonts w:hint="default"/>
                <w:vertAlign w:val="baseline"/>
                <w:lang w:val="en-US" w:eastAsia="zh-CN"/>
              </w:rPr>
            </w:pPr>
            <w:r>
              <w:rPr>
                <w:rFonts w:hint="eastAsia"/>
                <w:vertAlign w:val="baseline"/>
                <w:lang w:val="en-US" w:eastAsia="zh-CN"/>
              </w:rPr>
              <w:t>技术能力</w:t>
            </w:r>
          </w:p>
        </w:tc>
        <w:tc>
          <w:tcPr>
            <w:tcW w:w="1300" w:type="dxa"/>
          </w:tcPr>
          <w:p w14:paraId="152CC5B7">
            <w:pPr>
              <w:pStyle w:val="56"/>
              <w:ind w:left="0" w:leftChars="0" w:firstLine="0" w:firstLineChars="0"/>
              <w:rPr>
                <w:rFonts w:hint="default"/>
                <w:vertAlign w:val="baseline"/>
                <w:lang w:val="en-US" w:eastAsia="zh-CN"/>
              </w:rPr>
            </w:pPr>
            <w:r>
              <w:rPr>
                <w:rFonts w:hint="eastAsia"/>
                <w:vertAlign w:val="baseline"/>
                <w:lang w:val="en-US" w:eastAsia="zh-CN"/>
              </w:rPr>
              <w:t>优秀</w:t>
            </w:r>
          </w:p>
        </w:tc>
        <w:tc>
          <w:tcPr>
            <w:tcW w:w="5546" w:type="dxa"/>
          </w:tcPr>
          <w:p w14:paraId="30FB819B">
            <w:pPr>
              <w:pStyle w:val="56"/>
              <w:ind w:left="0" w:leftChars="0" w:firstLine="0" w:firstLineChars="0"/>
              <w:rPr>
                <w:rFonts w:hint="default"/>
                <w:vertAlign w:val="baseline"/>
                <w:lang w:val="en-US" w:eastAsia="zh-CN"/>
              </w:rPr>
            </w:pPr>
            <w:r>
              <w:rPr>
                <w:rFonts w:hint="eastAsia"/>
                <w:vertAlign w:val="baseline"/>
                <w:lang w:val="en-US" w:eastAsia="zh-CN"/>
              </w:rPr>
              <w:t>能快速通过日志精准定位“内存溢出”根本原因，技术功底扎实</w:t>
            </w:r>
          </w:p>
        </w:tc>
      </w:tr>
    </w:tbl>
    <w:p w14:paraId="1FAFB7E0">
      <w:pPr>
        <w:pStyle w:val="57"/>
        <w:bidi w:val="0"/>
        <w:rPr>
          <w:rFonts w:hint="default"/>
          <w:lang w:val="en-US" w:eastAsia="zh-CN"/>
        </w:rPr>
      </w:pPr>
      <w:r>
        <w:rPr>
          <w:rFonts w:hint="default"/>
          <w:lang w:val="en-US" w:eastAsia="zh-CN"/>
        </w:rPr>
        <w:t>演练亮点</w:t>
      </w:r>
    </w:p>
    <w:p w14:paraId="7B80F83F">
      <w:pPr>
        <w:pStyle w:val="56"/>
        <w:rPr>
          <w:rFonts w:hint="default"/>
          <w:lang w:val="en-US" w:eastAsia="zh-CN"/>
        </w:rPr>
      </w:pPr>
      <w:r>
        <w:rPr>
          <w:rFonts w:hint="default"/>
          <w:lang w:val="en-US" w:eastAsia="zh-CN"/>
        </w:rPr>
        <w:t>指挥高效：指挥组决策果断，授权清晰，为快速恢复奠定了基础。</w:t>
      </w:r>
    </w:p>
    <w:p w14:paraId="7A0E1EB1">
      <w:pPr>
        <w:pStyle w:val="56"/>
        <w:rPr>
          <w:rFonts w:hint="default"/>
          <w:lang w:val="en-US" w:eastAsia="zh-CN"/>
        </w:rPr>
      </w:pPr>
      <w:r>
        <w:rPr>
          <w:rFonts w:hint="default"/>
          <w:lang w:val="en-US" w:eastAsia="zh-CN"/>
        </w:rPr>
        <w:t>定位精准：平台运维组在12分钟内即从应用日志中锁定“TongWeb内存溢出”这一根本原因，展现了深厚的专业技术能力。</w:t>
      </w:r>
    </w:p>
    <w:p w14:paraId="22E4133F">
      <w:pPr>
        <w:pStyle w:val="56"/>
        <w:rPr>
          <w:rFonts w:hint="default"/>
          <w:lang w:val="en-US" w:eastAsia="zh-CN"/>
        </w:rPr>
      </w:pPr>
      <w:r>
        <w:rPr>
          <w:rFonts w:hint="default"/>
          <w:lang w:val="en-US" w:eastAsia="zh-CN"/>
        </w:rPr>
        <w:t>协同顺畅：各组之间职责清晰、接口明确，形成了高效的联动机制。</w:t>
      </w:r>
    </w:p>
    <w:p w14:paraId="73883407">
      <w:pPr>
        <w:pStyle w:val="57"/>
        <w:bidi w:val="0"/>
        <w:rPr>
          <w:rFonts w:hint="default"/>
          <w:lang w:val="en-US" w:eastAsia="zh-CN"/>
        </w:rPr>
      </w:pPr>
      <w:r>
        <w:rPr>
          <w:rFonts w:hint="default"/>
          <w:lang w:val="en-US" w:eastAsia="zh-CN"/>
        </w:rPr>
        <w:t>存在的问题与改进点</w:t>
      </w:r>
    </w:p>
    <w:p w14:paraId="73D536A5">
      <w:pPr>
        <w:pStyle w:val="56"/>
        <w:rPr>
          <w:rFonts w:hint="default"/>
          <w:lang w:val="en-US" w:eastAsia="zh-CN"/>
        </w:rPr>
      </w:pPr>
      <w:r>
        <w:rPr>
          <w:rFonts w:hint="default"/>
          <w:lang w:val="en-US" w:eastAsia="zh-CN"/>
        </w:rPr>
        <w:t>问题1：应急沟通中虽及时，但信息格式不统一，不利于快速抓取关键信息（如：影响范围、预计恢复时间）。</w:t>
      </w:r>
    </w:p>
    <w:p w14:paraId="6F7BD6AA">
      <w:pPr>
        <w:pStyle w:val="56"/>
        <w:rPr>
          <w:rFonts w:hint="default"/>
          <w:lang w:val="en-US" w:eastAsia="zh-CN"/>
        </w:rPr>
      </w:pPr>
      <w:r>
        <w:rPr>
          <w:rFonts w:hint="default"/>
          <w:lang w:val="en-US" w:eastAsia="zh-CN"/>
        </w:rPr>
        <w:t>问题2：预案中要求输出《故障解决情况报告》，但无标准化模板，不利于知识的沉淀和归档。</w:t>
      </w:r>
    </w:p>
    <w:p w14:paraId="0E966BC9">
      <w:pPr>
        <w:pStyle w:val="55"/>
        <w:bidi w:val="0"/>
        <w:rPr>
          <w:rFonts w:hint="eastAsia"/>
          <w:lang w:val="en-US" w:eastAsia="zh-CN"/>
        </w:rPr>
      </w:pPr>
      <w:r>
        <w:rPr>
          <w:rFonts w:hint="eastAsia"/>
          <w:lang w:val="en-US" w:eastAsia="zh-CN"/>
        </w:rPr>
        <w:t>改进措施与行动计划</w:t>
      </w:r>
    </w:p>
    <w:p w14:paraId="3FAEE109">
      <w:pPr>
        <w:pStyle w:val="56"/>
        <w:bidi w:val="0"/>
      </w:pPr>
      <w:r>
        <w:t>针对本次演练暴露出的待改进项，制定以下行动计划</w:t>
      </w:r>
    </w:p>
    <w:tbl>
      <w:tblPr>
        <w:tblStyle w:val="27"/>
        <w:tblW w:w="8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3622"/>
        <w:gridCol w:w="1210"/>
        <w:gridCol w:w="1890"/>
      </w:tblGrid>
      <w:tr w14:paraId="0095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8A46A88">
            <w:pPr>
              <w:pStyle w:val="66"/>
              <w:bidi w:val="0"/>
              <w:rPr>
                <w:rFonts w:hint="default"/>
                <w:lang w:val="en-US" w:eastAsia="zh-CN"/>
              </w:rPr>
            </w:pPr>
            <w:r>
              <w:rPr>
                <w:rFonts w:hint="eastAsia"/>
                <w:lang w:val="en-US" w:eastAsia="zh-CN"/>
              </w:rPr>
              <w:t>改进项</w:t>
            </w:r>
          </w:p>
        </w:tc>
        <w:tc>
          <w:tcPr>
            <w:tcW w:w="3622" w:type="dxa"/>
          </w:tcPr>
          <w:p w14:paraId="4AE7FBD1">
            <w:pPr>
              <w:pStyle w:val="66"/>
              <w:bidi w:val="0"/>
              <w:rPr>
                <w:rFonts w:hint="default"/>
                <w:lang w:val="en-US" w:eastAsia="zh-CN"/>
              </w:rPr>
            </w:pPr>
            <w:r>
              <w:rPr>
                <w:rFonts w:hint="eastAsia"/>
                <w:lang w:val="en-US" w:eastAsia="zh-CN"/>
              </w:rPr>
              <w:t>改进措施</w:t>
            </w:r>
          </w:p>
        </w:tc>
        <w:tc>
          <w:tcPr>
            <w:tcW w:w="1210" w:type="dxa"/>
          </w:tcPr>
          <w:p w14:paraId="66A7570C">
            <w:pPr>
              <w:pStyle w:val="66"/>
              <w:bidi w:val="0"/>
              <w:rPr>
                <w:rFonts w:hint="default"/>
                <w:lang w:val="en-US" w:eastAsia="zh-CN"/>
              </w:rPr>
            </w:pPr>
            <w:r>
              <w:rPr>
                <w:rFonts w:hint="eastAsia"/>
                <w:lang w:val="en-US" w:eastAsia="zh-CN"/>
              </w:rPr>
              <w:t>责任部门</w:t>
            </w:r>
          </w:p>
        </w:tc>
        <w:tc>
          <w:tcPr>
            <w:tcW w:w="1890" w:type="dxa"/>
          </w:tcPr>
          <w:p w14:paraId="3997508B">
            <w:pPr>
              <w:pStyle w:val="66"/>
              <w:bidi w:val="0"/>
              <w:rPr>
                <w:rFonts w:hint="default"/>
                <w:lang w:val="en-US" w:eastAsia="zh-CN"/>
              </w:rPr>
            </w:pPr>
            <w:r>
              <w:rPr>
                <w:rFonts w:hint="eastAsia"/>
                <w:lang w:val="en-US" w:eastAsia="zh-CN"/>
              </w:rPr>
              <w:t>计划完成时间</w:t>
            </w:r>
          </w:p>
        </w:tc>
      </w:tr>
      <w:tr w14:paraId="02BF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E620C74">
            <w:pPr>
              <w:pStyle w:val="66"/>
              <w:bidi w:val="0"/>
              <w:rPr>
                <w:rFonts w:hint="eastAsia"/>
                <w:lang w:val="en-US" w:eastAsia="zh-CN"/>
              </w:rPr>
            </w:pPr>
            <w:r>
              <w:rPr>
                <w:rFonts w:hint="eastAsia"/>
              </w:rPr>
              <w:t>应急沟通信息格式不统一</w:t>
            </w:r>
          </w:p>
        </w:tc>
        <w:tc>
          <w:tcPr>
            <w:tcW w:w="3622" w:type="dxa"/>
          </w:tcPr>
          <w:p w14:paraId="3FBFBA7F">
            <w:pPr>
              <w:pStyle w:val="66"/>
              <w:bidi w:val="0"/>
              <w:rPr>
                <w:rFonts w:hint="eastAsia"/>
                <w:lang w:val="en-US" w:eastAsia="zh-CN"/>
              </w:rPr>
            </w:pPr>
            <w:r>
              <w:rPr>
                <w:rFonts w:hint="eastAsia"/>
              </w:rPr>
              <w:t>设计与推行《应急事件通报模板》，包含“事件现象、影响范围、初步原因、处理进展、预计恢复时间”等关键字段</w:t>
            </w:r>
          </w:p>
        </w:tc>
        <w:tc>
          <w:tcPr>
            <w:tcW w:w="1210" w:type="dxa"/>
          </w:tcPr>
          <w:p w14:paraId="45ABEB68">
            <w:pPr>
              <w:pStyle w:val="66"/>
              <w:bidi w:val="0"/>
              <w:rPr>
                <w:rFonts w:hint="eastAsia"/>
                <w:lang w:val="en-US" w:eastAsia="zh-CN"/>
              </w:rPr>
            </w:pPr>
            <w:r>
              <w:rPr>
                <w:rFonts w:hint="eastAsia"/>
              </w:rPr>
              <w:t>数智运营部</w:t>
            </w:r>
          </w:p>
        </w:tc>
        <w:tc>
          <w:tcPr>
            <w:tcW w:w="1890" w:type="dxa"/>
          </w:tcPr>
          <w:p w14:paraId="66725DC8">
            <w:pPr>
              <w:pStyle w:val="66"/>
              <w:bidi w:val="0"/>
              <w:rPr>
                <w:rFonts w:hint="eastAsia"/>
                <w:lang w:val="en-US" w:eastAsia="zh-CN"/>
              </w:rPr>
            </w:pPr>
            <w:r>
              <w:rPr>
                <w:rFonts w:hint="eastAsia"/>
              </w:rPr>
              <w:t>2025年9月30日</w:t>
            </w:r>
          </w:p>
        </w:tc>
      </w:tr>
      <w:tr w14:paraId="3B2C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15A32AF">
            <w:pPr>
              <w:pStyle w:val="66"/>
              <w:bidi w:val="0"/>
              <w:rPr>
                <w:rFonts w:hint="eastAsia"/>
                <w:lang w:val="en-US" w:eastAsia="zh-CN"/>
              </w:rPr>
            </w:pPr>
            <w:r>
              <w:rPr>
                <w:rFonts w:hint="eastAsia"/>
              </w:rPr>
              <w:t>故障报告未标准化</w:t>
            </w:r>
          </w:p>
        </w:tc>
        <w:tc>
          <w:tcPr>
            <w:tcW w:w="3622" w:type="dxa"/>
          </w:tcPr>
          <w:p w14:paraId="30433323">
            <w:pPr>
              <w:pStyle w:val="66"/>
              <w:bidi w:val="0"/>
              <w:rPr>
                <w:rFonts w:hint="eastAsia"/>
                <w:lang w:val="en-US" w:eastAsia="zh-CN"/>
              </w:rPr>
            </w:pPr>
            <w:r>
              <w:rPr>
                <w:rFonts w:hint="eastAsia"/>
              </w:rPr>
              <w:t>编制《故障解决情况报告》标准模板，并纳入知识库管理流程，强制在每起事件后归档</w:t>
            </w:r>
          </w:p>
        </w:tc>
        <w:tc>
          <w:tcPr>
            <w:tcW w:w="1210" w:type="dxa"/>
          </w:tcPr>
          <w:p w14:paraId="21841FF2">
            <w:pPr>
              <w:pStyle w:val="66"/>
              <w:bidi w:val="0"/>
              <w:rPr>
                <w:rFonts w:hint="eastAsia"/>
                <w:lang w:val="en-US" w:eastAsia="zh-CN"/>
              </w:rPr>
            </w:pPr>
            <w:r>
              <w:rPr>
                <w:rFonts w:hint="eastAsia"/>
              </w:rPr>
              <w:t>数智运营部</w:t>
            </w:r>
          </w:p>
        </w:tc>
        <w:tc>
          <w:tcPr>
            <w:tcW w:w="1890" w:type="dxa"/>
          </w:tcPr>
          <w:p w14:paraId="2B579ECD">
            <w:pPr>
              <w:pStyle w:val="66"/>
              <w:bidi w:val="0"/>
              <w:rPr>
                <w:rFonts w:hint="eastAsia"/>
                <w:lang w:val="en-US" w:eastAsia="zh-CN"/>
              </w:rPr>
            </w:pPr>
            <w:r>
              <w:rPr>
                <w:rFonts w:hint="eastAsia"/>
              </w:rPr>
              <w:t>2025年9月30日</w:t>
            </w:r>
          </w:p>
        </w:tc>
      </w:tr>
    </w:tbl>
    <w:p w14:paraId="1AC7C068">
      <w:pPr>
        <w:pStyle w:val="55"/>
        <w:bidi w:val="0"/>
        <w:rPr>
          <w:rFonts w:hint="default"/>
          <w:lang w:val="en-US" w:eastAsia="zh-CN"/>
        </w:rPr>
      </w:pPr>
      <w:r>
        <w:rPr>
          <w:rFonts w:hint="default"/>
          <w:lang w:val="en-US" w:eastAsia="zh-CN"/>
        </w:rPr>
        <w:t>结论</w:t>
      </w:r>
    </w:p>
    <w:p w14:paraId="64D69613">
      <w:pPr>
        <w:pStyle w:val="56"/>
        <w:bidi w:val="0"/>
        <w:rPr>
          <w:rFonts w:hint="default"/>
          <w:lang w:val="en-US" w:eastAsia="zh-CN"/>
        </w:rPr>
      </w:pPr>
      <w:r>
        <w:rPr>
          <w:rFonts w:hint="default"/>
          <w:lang w:val="en-US" w:eastAsia="zh-CN"/>
        </w:rPr>
        <w:t>本次“晋来办”平台应急演练取得了圆满成功。结果证明，现行的应急预案流程设计科学、合理，应急组织架构职责清晰、运转高效，各小组人员具备快速响应和解决突发故障的强大能力。演练有效验证了平台运维体系在应对突发性软件故障时的业务连续性与韧性。本次演练的全套文档，可作为我部ITSS认证中“事件管理”与“连续性管理”过程域的关键符合性证据。</w:t>
      </w:r>
    </w:p>
    <w:sectPr>
      <w:headerReference r:id="rId8" w:type="first"/>
      <w:footerReference r:id="rId10" w:type="first"/>
      <w:headerReference r:id="rId7" w:type="default"/>
      <w:footerReference r:id="rId9" w:type="default"/>
      <w:pgSz w:w="11906" w:h="16838"/>
      <w:pgMar w:top="1440" w:right="1800" w:bottom="1440" w:left="1800" w:header="851" w:footer="992" w:gutter="0"/>
      <w:pgNumType w:start="1"/>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G Times">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3488E">
    <w:pPr>
      <w:pStyle w:val="18"/>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8E8D0">
    <w:pPr>
      <w:pStyle w:val="18"/>
      <w:ind w:right="360"/>
      <w:jc w:val="center"/>
    </w:pPr>
    <w: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aspectratio="f"/>
          <v:textbox inset="0mm,0mm,0mm,0mm" style="mso-fit-shape-to-text:t;">
            <w:txbxContent>
              <w:p w14:paraId="27254605">
                <w:pPr>
                  <w:pStyle w:val="18"/>
                </w:pPr>
                <w:r>
                  <w:t xml:space="preserve">— </w:t>
                </w:r>
                <w:r>
                  <w:fldChar w:fldCharType="begin"/>
                </w:r>
                <w:r>
                  <w:instrText xml:space="preserve"> PAGE  \* MERGEFORMAT </w:instrText>
                </w:r>
                <w:r>
                  <w:fldChar w:fldCharType="separate"/>
                </w:r>
                <w:r>
                  <w:t>12</w:t>
                </w:r>
                <w:r>
                  <w:fldChar w:fldCharType="end"/>
                </w:r>
                <w:r>
                  <w:t xml:space="preserve"> —</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4EE6A">
    <w:pPr>
      <w:pStyle w:val="18"/>
      <w:jc w:val="center"/>
    </w:pPr>
    <w:r>
      <w:pict>
        <v:shape id="_x0000_s2050" o:spid="_x0000_s205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aspectratio="f"/>
          <v:textbox inset="0mm,0mm,0mm,0mm" style="mso-fit-shape-to-text:t;">
            <w:txbxContent>
              <w:p w14:paraId="7EBED0FD">
                <w:pPr>
                  <w:pStyle w:val="18"/>
                </w:pPr>
                <w:r>
                  <w:t xml:space="preserve">— </w:t>
                </w:r>
                <w:r>
                  <w:fldChar w:fldCharType="begin"/>
                </w:r>
                <w:r>
                  <w:instrText xml:space="preserve"> PAGE  \* MERGEFORMAT </w:instrText>
                </w:r>
                <w:r>
                  <w:fldChar w:fldCharType="separate"/>
                </w:r>
                <w:r>
                  <w:t>1</w:t>
                </w:r>
                <w:r>
                  <w:fldChar w:fldCharType="end"/>
                </w:r>
                <w: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5A48B">
    <w:pPr>
      <w:pStyle w:val="18"/>
      <w:ind w:right="84"/>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4F936">
    <w:pPr>
      <w:pStyle w:val="19"/>
      <w:jc w:val="right"/>
      <w:rPr>
        <w:rFonts w:hint="eastAsia" w:eastAsia="宋体"/>
        <w:lang w:val="en-US" w:eastAsia="zh-CN"/>
      </w:rPr>
    </w:pPr>
    <w:r>
      <w:rPr>
        <w:rFonts w:hint="eastAsia"/>
      </w:rPr>
      <w:t>“晋来办”应急</w:t>
    </w:r>
    <w:r>
      <w:rPr>
        <w:rFonts w:hint="eastAsia"/>
        <w:lang w:val="en-US" w:eastAsia="zh-CN"/>
      </w:rPr>
      <w:t>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775A7">
    <w:pPr>
      <w:pStyle w:val="19"/>
      <w:jc w:val="right"/>
    </w:pPr>
    <w:r>
      <w:rPr>
        <w:rFonts w:hint="eastAsia"/>
      </w:rPr>
      <w:t xml:space="preserve">“晋来办”应急预案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VerticalSpacing w:val="156"/>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0ZGIwMWEzNmQ0NGU5ZWVlYTNjZTRlODg1NTJiMmUifQ=="/>
  </w:docVars>
  <w:rsids>
    <w:rsidRoot w:val="00000000"/>
    <w:rsid w:val="2AA001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nhideWhenUsed="0" w:uiPriority="0" w:name="Default Paragraph Font"/>
    <w:lsdException w:qFormat="1" w:unhideWhenUsed="0"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99"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33"/>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8">
    <w:name w:val="Default Paragraph Font"/>
    <w:semiHidden/>
    <w:qFormat/>
    <w:uiPriority w:val="0"/>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38"/>
    <w:qFormat/>
    <w:uiPriority w:val="0"/>
    <w:pPr>
      <w:shd w:val="clear" w:color="auto" w:fill="000080"/>
    </w:pPr>
  </w:style>
  <w:style w:type="paragraph" w:styleId="12">
    <w:name w:val="annotation text"/>
    <w:basedOn w:val="1"/>
    <w:link w:val="47"/>
    <w:qFormat/>
    <w:uiPriority w:val="0"/>
    <w:pPr>
      <w:jc w:val="left"/>
    </w:pPr>
  </w:style>
  <w:style w:type="paragraph" w:styleId="13">
    <w:name w:val="Body Text"/>
    <w:basedOn w:val="1"/>
    <w:link w:val="42"/>
    <w:semiHidden/>
    <w:qFormat/>
    <w:uiPriority w:val="0"/>
    <w:rPr>
      <w:rFonts w:ascii="Arial" w:hAnsi="Arial" w:eastAsia="Arial" w:cs="Arial"/>
      <w:sz w:val="21"/>
      <w:szCs w:val="21"/>
      <w:lang w:val="en-US" w:eastAsia="en-US" w:bidi="ar-SA"/>
    </w:rPr>
  </w:style>
  <w:style w:type="paragraph" w:styleId="14">
    <w:name w:val="Body Text Indent"/>
    <w:basedOn w:val="1"/>
    <w:link w:val="40"/>
    <w:qFormat/>
    <w:uiPriority w:val="0"/>
    <w:pPr>
      <w:spacing w:after="120" w:afterLines="0" w:afterAutospacing="0"/>
      <w:ind w:left="420" w:leftChars="200"/>
    </w:pPr>
  </w:style>
  <w:style w:type="paragraph" w:styleId="15">
    <w:name w:val="toc 3"/>
    <w:basedOn w:val="1"/>
    <w:next w:val="1"/>
    <w:qFormat/>
    <w:uiPriority w:val="0"/>
    <w:pPr>
      <w:ind w:left="840" w:leftChars="400"/>
    </w:pPr>
  </w:style>
  <w:style w:type="paragraph" w:styleId="16">
    <w:name w:val="Plain Text"/>
    <w:basedOn w:val="1"/>
    <w:qFormat/>
    <w:uiPriority w:val="0"/>
    <w:rPr>
      <w:rFonts w:ascii="宋体" w:hAnsi="Courier New"/>
    </w:rPr>
  </w:style>
  <w:style w:type="paragraph" w:styleId="17">
    <w:name w:val="Balloon Text"/>
    <w:basedOn w:val="1"/>
    <w:link w:val="46"/>
    <w:qFormat/>
    <w:uiPriority w:val="0"/>
    <w:rPr>
      <w:sz w:val="18"/>
    </w:rPr>
  </w:style>
  <w:style w:type="paragraph" w:styleId="18">
    <w:name w:val="footer"/>
    <w:basedOn w:val="1"/>
    <w:qFormat/>
    <w:uiPriority w:val="0"/>
    <w:pPr>
      <w:tabs>
        <w:tab w:val="center" w:pos="4153"/>
        <w:tab w:val="right" w:pos="8306"/>
      </w:tabs>
      <w:snapToGrid w:val="0"/>
      <w:jc w:val="left"/>
    </w:pPr>
    <w:rPr>
      <w:sz w:val="18"/>
    </w:rPr>
  </w:style>
  <w:style w:type="paragraph" w:styleId="19">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20">
    <w:name w:val="toc 1"/>
    <w:basedOn w:val="1"/>
    <w:next w:val="1"/>
    <w:qFormat/>
    <w:uiPriority w:val="0"/>
    <w:rPr>
      <w:rFonts w:ascii="Arial" w:hAnsi="Arial" w:eastAsia="Microsoft JhengHei"/>
      <w:sz w:val="24"/>
    </w:rPr>
  </w:style>
  <w:style w:type="paragraph" w:styleId="21">
    <w:name w:val="Body Text Indent 3"/>
    <w:basedOn w:val="1"/>
    <w:qFormat/>
    <w:uiPriority w:val="0"/>
    <w:pPr>
      <w:spacing w:after="120" w:afterLines="0" w:afterAutospacing="0"/>
      <w:ind w:left="420" w:leftChars="200"/>
    </w:pPr>
    <w:rPr>
      <w:sz w:val="16"/>
    </w:rPr>
  </w:style>
  <w:style w:type="paragraph" w:styleId="22">
    <w:name w:val="toc 2"/>
    <w:basedOn w:val="1"/>
    <w:next w:val="1"/>
    <w:qFormat/>
    <w:uiPriority w:val="0"/>
    <w:pPr>
      <w:ind w:left="420" w:leftChars="200"/>
    </w:pPr>
  </w:style>
  <w:style w:type="paragraph" w:styleId="23">
    <w:name w:val="Normal (Web)"/>
    <w:basedOn w:val="1"/>
    <w:qFormat/>
    <w:uiPriority w:val="0"/>
    <w:rPr>
      <w:sz w:val="24"/>
    </w:rPr>
  </w:style>
  <w:style w:type="paragraph" w:styleId="24">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5">
    <w:name w:val="annotation subject"/>
    <w:basedOn w:val="12"/>
    <w:next w:val="12"/>
    <w:link w:val="48"/>
    <w:qFormat/>
    <w:uiPriority w:val="0"/>
    <w:rPr>
      <w:b/>
    </w:rPr>
  </w:style>
  <w:style w:type="table" w:styleId="27">
    <w:name w:val="Table Grid"/>
    <w:basedOn w:val="2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page number"/>
    <w:basedOn w:val="28"/>
    <w:qFormat/>
    <w:uiPriority w:val="0"/>
  </w:style>
  <w:style w:type="character" w:styleId="31">
    <w:name w:val="Hyperlink"/>
    <w:basedOn w:val="28"/>
    <w:qFormat/>
    <w:uiPriority w:val="0"/>
    <w:rPr>
      <w:color w:val="0000FF"/>
      <w:u w:val="single"/>
    </w:rPr>
  </w:style>
  <w:style w:type="character" w:styleId="32">
    <w:name w:val="annotation reference"/>
    <w:basedOn w:val="28"/>
    <w:qFormat/>
    <w:uiPriority w:val="0"/>
    <w:rPr>
      <w:sz w:val="21"/>
    </w:rPr>
  </w:style>
  <w:style w:type="character" w:customStyle="1" w:styleId="33">
    <w:name w:val="标题 2 字符"/>
    <w:link w:val="3"/>
    <w:qFormat/>
    <w:uiPriority w:val="0"/>
    <w:rPr>
      <w:rFonts w:ascii="Arial" w:hAnsi="Arial" w:eastAsia="黑体"/>
      <w:b/>
      <w:sz w:val="32"/>
    </w:rPr>
  </w:style>
  <w:style w:type="character" w:customStyle="1" w:styleId="34">
    <w:name w:val="标书正文:  0.74 厘米 Char"/>
    <w:link w:val="35"/>
    <w:qFormat/>
    <w:uiPriority w:val="0"/>
    <w:rPr>
      <w:rFonts w:eastAsia="宋体" w:cs="宋体"/>
      <w:kern w:val="2"/>
      <w:sz w:val="24"/>
      <w:lang w:val="en-US" w:eastAsia="zh-CN" w:bidi="ar-SA"/>
    </w:rPr>
  </w:style>
  <w:style w:type="paragraph" w:customStyle="1" w:styleId="35">
    <w:name w:val="标书正文:  0.74 厘米"/>
    <w:basedOn w:val="1"/>
    <w:link w:val="34"/>
    <w:qFormat/>
    <w:uiPriority w:val="0"/>
    <w:pPr>
      <w:snapToGrid w:val="0"/>
      <w:spacing w:line="360" w:lineRule="auto"/>
      <w:ind w:firstLine="420"/>
    </w:pPr>
    <w:rPr>
      <w:rFonts w:ascii="Times New Roman" w:hAnsi="Times New Roman" w:cs="宋体"/>
      <w:sz w:val="24"/>
      <w:szCs w:val="20"/>
    </w:rPr>
  </w:style>
  <w:style w:type="character" w:customStyle="1" w:styleId="36">
    <w:name w:val="正文（首行缩进2字符） Char"/>
    <w:link w:val="37"/>
    <w:qFormat/>
    <w:uiPriority w:val="0"/>
    <w:rPr>
      <w:rFonts w:eastAsia="宋体"/>
      <w:kern w:val="2"/>
      <w:sz w:val="24"/>
      <w:szCs w:val="24"/>
      <w:lang w:val="en-US" w:eastAsia="zh-CN" w:bidi="ar-SA"/>
    </w:rPr>
  </w:style>
  <w:style w:type="paragraph" w:customStyle="1" w:styleId="37">
    <w:name w:val="正文（首行缩进2字符）"/>
    <w:basedOn w:val="1"/>
    <w:link w:val="36"/>
    <w:qFormat/>
    <w:uiPriority w:val="0"/>
    <w:pPr>
      <w:spacing w:line="360" w:lineRule="auto"/>
      <w:ind w:firstLine="480" w:firstLineChars="200"/>
    </w:pPr>
    <w:rPr>
      <w:rFonts w:ascii="Times New Roman" w:hAnsi="Times New Roman"/>
      <w:sz w:val="24"/>
      <w:szCs w:val="24"/>
    </w:rPr>
  </w:style>
  <w:style w:type="character" w:customStyle="1" w:styleId="38">
    <w:name w:val="文档结构图 字符"/>
    <w:link w:val="11"/>
    <w:qFormat/>
    <w:uiPriority w:val="0"/>
  </w:style>
  <w:style w:type="paragraph" w:customStyle="1" w:styleId="39">
    <w:name w:val="列表段落1"/>
    <w:basedOn w:val="1"/>
    <w:qFormat/>
    <w:uiPriority w:val="1"/>
    <w:pPr>
      <w:ind w:firstLine="420" w:firstLineChars="200"/>
    </w:pPr>
  </w:style>
  <w:style w:type="character" w:customStyle="1" w:styleId="40">
    <w:name w:val="正文文本缩进 字符"/>
    <w:link w:val="14"/>
    <w:qFormat/>
    <w:uiPriority w:val="0"/>
  </w:style>
  <w:style w:type="paragraph" w:customStyle="1" w:styleId="41">
    <w:name w:val="样式1"/>
    <w:basedOn w:val="1"/>
    <w:qFormat/>
    <w:uiPriority w:val="0"/>
    <w:pPr>
      <w:adjustRightInd w:val="0"/>
      <w:snapToGrid w:val="0"/>
      <w:spacing w:line="400" w:lineRule="atLeast"/>
      <w:ind w:left="1134"/>
      <w:jc w:val="left"/>
    </w:pPr>
    <w:rPr>
      <w:rFonts w:ascii="宋体" w:hAnsi="CG Times"/>
      <w:color w:val="000000"/>
      <w:sz w:val="24"/>
      <w:szCs w:val="20"/>
    </w:rPr>
  </w:style>
  <w:style w:type="character" w:customStyle="1" w:styleId="42">
    <w:name w:val="正文文本 字符"/>
    <w:link w:val="13"/>
    <w:qFormat/>
    <w:uiPriority w:val="0"/>
    <w:rPr>
      <w:rFonts w:ascii="Arial" w:hAnsi="Arial" w:eastAsia="Arial" w:cs="Arial"/>
      <w:sz w:val="21"/>
      <w:szCs w:val="21"/>
      <w:lang w:val="en-US" w:eastAsia="en-US" w:bidi="ar-SA"/>
    </w:rPr>
  </w:style>
  <w:style w:type="table" w:customStyle="1" w:styleId="43">
    <w:name w:val="Table Normal_0"/>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44">
    <w:name w:val="Table Paragraph"/>
    <w:basedOn w:val="1"/>
    <w:qFormat/>
    <w:uiPriority w:val="1"/>
    <w:pPr>
      <w:autoSpaceDE w:val="0"/>
      <w:autoSpaceDN w:val="0"/>
      <w:jc w:val="left"/>
    </w:pPr>
    <w:rPr>
      <w:rFonts w:ascii="宋体" w:hAnsi="宋体" w:cs="宋体"/>
      <w:kern w:val="0"/>
      <w:sz w:val="22"/>
      <w:lang w:val="zh-CN" w:bidi="zh-CN"/>
    </w:rPr>
  </w:style>
  <w:style w:type="paragraph" w:customStyle="1" w:styleId="45">
    <w:name w:val="Char"/>
    <w:basedOn w:val="1"/>
    <w:qFormat/>
    <w:uiPriority w:val="0"/>
    <w:pPr>
      <w:widowControl/>
      <w:spacing w:before="100" w:beforeAutospacing="1" w:after="100" w:afterAutospacing="1" w:line="360" w:lineRule="auto"/>
      <w:jc w:val="left"/>
    </w:pPr>
    <w:rPr>
      <w:rFonts w:ascii="Verdana" w:hAnsi="Verdana"/>
      <w:kern w:val="0"/>
      <w:sz w:val="20"/>
      <w:szCs w:val="21"/>
      <w:lang w:eastAsia="en-US"/>
    </w:rPr>
  </w:style>
  <w:style w:type="character" w:customStyle="1" w:styleId="46">
    <w:name w:val="批注框文本 字符"/>
    <w:link w:val="17"/>
    <w:semiHidden/>
    <w:qFormat/>
    <w:uiPriority w:val="0"/>
    <w:rPr>
      <w:sz w:val="18"/>
    </w:rPr>
  </w:style>
  <w:style w:type="character" w:customStyle="1" w:styleId="47">
    <w:name w:val="批注文字 字符"/>
    <w:link w:val="12"/>
    <w:qFormat/>
    <w:uiPriority w:val="0"/>
  </w:style>
  <w:style w:type="character" w:customStyle="1" w:styleId="48">
    <w:name w:val="批注主题 字符"/>
    <w:link w:val="25"/>
    <w:qFormat/>
    <w:uiPriority w:val="0"/>
    <w:rPr>
      <w:b/>
    </w:rPr>
  </w:style>
  <w:style w:type="paragraph" w:customStyle="1" w:styleId="49">
    <w:name w:val="列出段落1"/>
    <w:basedOn w:val="1"/>
    <w:qFormat/>
    <w:uiPriority w:val="99"/>
    <w:pPr>
      <w:ind w:firstLine="420" w:firstLineChars="200"/>
    </w:pPr>
  </w:style>
  <w:style w:type="paragraph" w:customStyle="1" w:styleId="50">
    <w:name w:val="列出段落2"/>
    <w:basedOn w:val="1"/>
    <w:qFormat/>
    <w:uiPriority w:val="99"/>
    <w:pPr>
      <w:ind w:firstLine="420" w:firstLineChars="200"/>
    </w:pPr>
  </w:style>
  <w:style w:type="paragraph" w:customStyle="1" w:styleId="51">
    <w:name w:val="柴_公司名"/>
    <w:basedOn w:val="24"/>
    <w:qFormat/>
    <w:uiPriority w:val="0"/>
    <w:pPr>
      <w:spacing w:after="600" w:afterLines="600"/>
    </w:pPr>
    <w:rPr>
      <w:rFonts w:hint="eastAsia" w:ascii="宋体" w:hAnsi="宋体" w:eastAsia="宋体" w:cs="宋体"/>
      <w:bCs/>
      <w:spacing w:val="-6"/>
      <w:sz w:val="52"/>
      <w:szCs w:val="52"/>
    </w:rPr>
  </w:style>
  <w:style w:type="paragraph" w:customStyle="1" w:styleId="52">
    <w:name w:val="柴_文档名"/>
    <w:basedOn w:val="24"/>
    <w:qFormat/>
    <w:uiPriority w:val="0"/>
    <w:pPr>
      <w:spacing w:after="900" w:afterLines="900"/>
    </w:pPr>
    <w:rPr>
      <w:rFonts w:ascii="黑体" w:hAnsi="黑体" w:eastAsia="黑体" w:cs="黑体"/>
      <w:bCs/>
      <w:spacing w:val="-7"/>
      <w:sz w:val="52"/>
      <w:szCs w:val="52"/>
    </w:rPr>
  </w:style>
  <w:style w:type="table" w:customStyle="1" w:styleId="53">
    <w:name w:val="Table Normal_1"/>
    <w:semiHidden/>
    <w:unhideWhenUsed/>
    <w:qFormat/>
    <w:uiPriority w:val="0"/>
    <w:tblPr>
      <w:tblCellMar>
        <w:top w:w="0" w:type="dxa"/>
        <w:left w:w="0" w:type="dxa"/>
        <w:bottom w:w="0" w:type="dxa"/>
        <w:right w:w="0" w:type="dxa"/>
      </w:tblCellMar>
    </w:tblPr>
  </w:style>
  <w:style w:type="paragraph" w:customStyle="1" w:styleId="54">
    <w:name w:val="Table Text"/>
    <w:basedOn w:val="1"/>
    <w:semiHidden/>
    <w:qFormat/>
    <w:uiPriority w:val="0"/>
    <w:rPr>
      <w:rFonts w:ascii="宋体" w:hAnsi="宋体" w:eastAsia="宋体" w:cs="宋体"/>
      <w:sz w:val="21"/>
      <w:szCs w:val="21"/>
      <w:lang w:val="en-US" w:eastAsia="en-US" w:bidi="ar-SA"/>
    </w:rPr>
  </w:style>
  <w:style w:type="paragraph" w:customStyle="1" w:styleId="55">
    <w:name w:val="柴_标题1"/>
    <w:basedOn w:val="2"/>
    <w:next w:val="56"/>
    <w:link w:val="65"/>
    <w:qFormat/>
    <w:uiPriority w:val="0"/>
    <w:pPr>
      <w:spacing w:before="100" w:after="90" w:line="360" w:lineRule="auto"/>
    </w:pPr>
    <w:rPr>
      <w:rFonts w:ascii="Arial" w:hAnsi="Arial" w:eastAsia="宋体"/>
      <w:sz w:val="32"/>
    </w:rPr>
  </w:style>
  <w:style w:type="paragraph" w:customStyle="1" w:styleId="56">
    <w:name w:val="柴_正文"/>
    <w:basedOn w:val="13"/>
    <w:link w:val="68"/>
    <w:qFormat/>
    <w:uiPriority w:val="0"/>
    <w:pPr>
      <w:spacing w:line="360" w:lineRule="auto"/>
      <w:ind w:firstLine="470" w:firstLineChars="200"/>
    </w:pPr>
    <w:rPr>
      <w:rFonts w:ascii="Arial" w:hAnsi="Arial" w:eastAsia="宋体"/>
      <w:sz w:val="24"/>
      <w:lang w:eastAsia="zh-CN"/>
    </w:rPr>
  </w:style>
  <w:style w:type="paragraph" w:customStyle="1" w:styleId="57">
    <w:name w:val="柴_标题2"/>
    <w:basedOn w:val="3"/>
    <w:next w:val="56"/>
    <w:qFormat/>
    <w:uiPriority w:val="0"/>
    <w:pPr>
      <w:spacing w:line="360" w:lineRule="auto"/>
    </w:pPr>
    <w:rPr>
      <w:rFonts w:ascii="Arial" w:hAnsi="Arial" w:eastAsia="宋体"/>
      <w:sz w:val="28"/>
    </w:rPr>
  </w:style>
  <w:style w:type="paragraph" w:customStyle="1" w:styleId="58">
    <w:name w:val="柴_标题3"/>
    <w:basedOn w:val="4"/>
    <w:next w:val="56"/>
    <w:qFormat/>
    <w:uiPriority w:val="0"/>
    <w:pPr>
      <w:spacing w:line="360" w:lineRule="auto"/>
      <w:ind w:left="0" w:firstLine="472" w:firstLineChars="200"/>
    </w:pPr>
    <w:rPr>
      <w:rFonts w:ascii="宋体" w:hAnsi="宋体" w:eastAsia="宋体" w:cs="宋体"/>
      <w:spacing w:val="-2"/>
      <w:sz w:val="24"/>
      <w:szCs w:val="24"/>
    </w:rPr>
  </w:style>
  <w:style w:type="paragraph" w:customStyle="1" w:styleId="59">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60">
    <w:name w:val="WPSOffice手动目录 1"/>
    <w:qFormat/>
    <w:uiPriority w:val="0"/>
    <w:pPr>
      <w:ind w:leftChars="0"/>
    </w:pPr>
    <w:rPr>
      <w:rFonts w:ascii="Times New Roman" w:hAnsi="Times New Roman" w:eastAsia="宋体" w:cs="Times New Roman"/>
      <w:sz w:val="20"/>
      <w:szCs w:val="20"/>
    </w:rPr>
  </w:style>
  <w:style w:type="paragraph" w:customStyle="1" w:styleId="61">
    <w:name w:val="WPSOffice手动目录 2"/>
    <w:qFormat/>
    <w:uiPriority w:val="0"/>
    <w:pPr>
      <w:ind w:leftChars="200"/>
    </w:pPr>
    <w:rPr>
      <w:rFonts w:ascii="Times New Roman" w:hAnsi="Times New Roman" w:eastAsia="宋体" w:cs="Times New Roman"/>
      <w:sz w:val="20"/>
      <w:szCs w:val="20"/>
    </w:rPr>
  </w:style>
  <w:style w:type="paragraph" w:customStyle="1" w:styleId="62">
    <w:name w:val="WPSOffice手动目录 3"/>
    <w:qFormat/>
    <w:uiPriority w:val="0"/>
    <w:pPr>
      <w:ind w:leftChars="400"/>
    </w:pPr>
    <w:rPr>
      <w:rFonts w:ascii="Times New Roman" w:hAnsi="Times New Roman" w:eastAsia="宋体" w:cs="Times New Roman"/>
      <w:sz w:val="20"/>
      <w:szCs w:val="20"/>
    </w:rPr>
  </w:style>
  <w:style w:type="paragraph" w:customStyle="1" w:styleId="63">
    <w:name w:val="Compact"/>
    <w:basedOn w:val="13"/>
    <w:qFormat/>
    <w:uiPriority w:val="0"/>
    <w:pPr>
      <w:spacing w:before="36" w:after="36"/>
    </w:pPr>
  </w:style>
  <w:style w:type="table" w:customStyle="1" w:styleId="6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65">
    <w:name w:val="柴_标题1 Char"/>
    <w:link w:val="55"/>
    <w:qFormat/>
    <w:uiPriority w:val="0"/>
    <w:rPr>
      <w:rFonts w:ascii="Arial" w:hAnsi="Arial" w:eastAsia="宋体"/>
      <w:sz w:val="32"/>
    </w:rPr>
  </w:style>
  <w:style w:type="paragraph" w:customStyle="1" w:styleId="66">
    <w:name w:val="柴_正文_无缩进"/>
    <w:basedOn w:val="1"/>
    <w:qFormat/>
    <w:uiPriority w:val="0"/>
    <w:pPr>
      <w:ind w:firstLine="0" w:firstLineChars="0"/>
    </w:pPr>
    <w:rPr>
      <w:rFonts w:ascii="Arial" w:hAnsi="Arial"/>
      <w:sz w:val="24"/>
      <w:lang w:eastAsia="zh-CN"/>
    </w:rPr>
  </w:style>
  <w:style w:type="paragraph" w:customStyle="1" w:styleId="6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68">
    <w:name w:val="柴_正文 Char"/>
    <w:link w:val="56"/>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5</Pages>
  <Words>1512</Words>
  <Characters>1628</Characters>
  <Lines>25</Lines>
  <Paragraphs>7</Paragraphs>
  <TotalTime>0</TotalTime>
  <ScaleCrop>false</ScaleCrop>
  <LinksUpToDate>false</LinksUpToDate>
  <CharactersWithSpaces>1658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2022-11-25T10:23:00Z</dcterms:created>
  <dc:creator>User</dc:creator>
  <cp:lastModifiedBy>郝宇</cp:lastModifiedBy>
  <dcterms:modified xsi:type="dcterms:W3CDTF">2026-01-20T07:35:08Z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2AA3DD2D70134711A38CA64C130C8CF8_13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