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C7E85">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9880"/>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3E93CCE7">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8766"/>
      <w:r>
        <w:rPr>
          <w:rFonts w:hint="eastAsia"/>
          <w:lang w:val="en-US" w:eastAsia="zh-CN"/>
        </w:rPr>
        <w:t>运维服务质量管理制度</w:t>
      </w:r>
      <w:bookmarkEnd w:id="1"/>
    </w:p>
    <w:p w14:paraId="4018C01D">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63513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540011B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质量管理部</w:t>
            </w:r>
          </w:p>
        </w:tc>
        <w:tc>
          <w:tcPr>
            <w:tcW w:w="2708" w:type="dxa"/>
          </w:tcPr>
          <w:p w14:paraId="3614E73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1734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1822A21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2CEDB1E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2FB1C0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281AAA8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30767A8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235A241A">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4A69563F">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3A0DE4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24B4952">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C53D39B">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42635A4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0BCE33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D2ED21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4613B56">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E305B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B2F7974">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72" w:type="dxa"/>
          </w:tcPr>
          <w:p w14:paraId="44C0E9D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7E5B251B">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817433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张翔</w:t>
            </w:r>
          </w:p>
        </w:tc>
        <w:tc>
          <w:tcPr>
            <w:tcW w:w="1606" w:type="dxa"/>
          </w:tcPr>
          <w:p w14:paraId="57AC4376">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524DA1F7">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371269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EB22CD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4AC730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1EF4F2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8B1B2E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312961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A21871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E694D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48D896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5AD96C2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A69323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461D79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02846F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82D0DD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0D13F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CBBD1E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B9EA02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0F9114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C94E1E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342AE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A9570E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4DC95F1E">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hint="eastAsia" w:ascii="宋体" w:hAnsi="宋体" w:eastAsia="宋体" w:cs="宋体"/>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06DB4AE">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336" w:lineRule="auto"/>
            <w:ind w:left="0" w:leftChars="0" w:right="0" w:rightChars="0" w:firstLine="0" w:firstLineChars="0"/>
            <w:jc w:val="center"/>
            <w:textAlignment w:val="baseline"/>
            <w:rPr>
              <w:rFonts w:hint="eastAsia" w:ascii="宋体" w:hAnsi="宋体" w:eastAsia="宋体" w:cs="宋体"/>
              <w:sz w:val="21"/>
              <w:szCs w:val="21"/>
            </w:rPr>
          </w:pPr>
          <w:r>
            <w:rPr>
              <w:rFonts w:hint="eastAsia" w:ascii="宋体" w:hAnsi="宋体" w:eastAsia="宋体" w:cs="宋体"/>
              <w:sz w:val="21"/>
              <w:szCs w:val="21"/>
            </w:rPr>
            <w:t>目录</w:t>
          </w:r>
        </w:p>
        <w:p w14:paraId="1E3B26F3">
          <w:pPr>
            <w:pStyle w:val="16"/>
            <w:tabs>
              <w:tab w:val="right" w:leader="dot" w:pos="8306"/>
            </w:tabs>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TOC \o "1-3" \h \u </w:instrText>
          </w:r>
          <w:r>
            <w:rPr>
              <w:rFonts w:hint="eastAsia" w:ascii="宋体" w:hAnsi="宋体" w:eastAsia="宋体" w:cs="宋体"/>
              <w:sz w:val="21"/>
              <w:szCs w:val="21"/>
            </w:rPr>
            <w:fldChar w:fldCharType="separate"/>
          </w:r>
          <w:r>
            <w:rPr>
              <w:rFonts w:hint="eastAsia" w:ascii="宋体" w:hAnsi="宋体" w:eastAsia="宋体" w:cs="宋体"/>
              <w:szCs w:val="21"/>
            </w:rPr>
            <w:fldChar w:fldCharType="begin"/>
          </w:r>
          <w:r>
            <w:rPr>
              <w:rFonts w:hint="eastAsia" w:ascii="宋体" w:hAnsi="宋体" w:eastAsia="宋体" w:cs="宋体"/>
              <w:szCs w:val="21"/>
            </w:rPr>
            <w:instrText xml:space="preserve"> HYPERLINK \l _Toc29880 </w:instrText>
          </w:r>
          <w:r>
            <w:rPr>
              <w:rFonts w:hint="eastAsia" w:ascii="宋体" w:hAnsi="宋体" w:eastAsia="宋体" w:cs="宋体"/>
              <w:szCs w:val="21"/>
            </w:rPr>
            <w:fldChar w:fldCharType="separate"/>
          </w:r>
          <w:r>
            <w:rPr>
              <w:rFonts w:hint="eastAsia"/>
              <w:lang w:val="en-US" w:eastAsia="zh-CN"/>
            </w:rPr>
            <w:t>江西通信产业服务有限公司</w:t>
          </w:r>
          <w:r>
            <w:tab/>
          </w:r>
          <w:r>
            <w:fldChar w:fldCharType="begin"/>
          </w:r>
          <w:r>
            <w:instrText xml:space="preserve"> PAGEREF _Toc29880 \h </w:instrText>
          </w:r>
          <w:r>
            <w:fldChar w:fldCharType="separate"/>
          </w:r>
          <w:r>
            <w:t>1</w:t>
          </w:r>
          <w:r>
            <w:fldChar w:fldCharType="end"/>
          </w:r>
          <w:r>
            <w:rPr>
              <w:rFonts w:hint="eastAsia" w:ascii="宋体" w:hAnsi="宋体" w:eastAsia="宋体" w:cs="宋体"/>
              <w:szCs w:val="21"/>
            </w:rPr>
            <w:fldChar w:fldCharType="end"/>
          </w:r>
        </w:p>
        <w:p w14:paraId="3973E9C0">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_Toc8766 </w:instrText>
          </w:r>
          <w:r>
            <w:rPr>
              <w:rFonts w:hint="eastAsia" w:ascii="宋体" w:hAnsi="宋体" w:eastAsia="宋体" w:cs="宋体"/>
              <w:szCs w:val="21"/>
            </w:rPr>
            <w:fldChar w:fldCharType="separate"/>
          </w:r>
          <w:r>
            <w:rPr>
              <w:rFonts w:hint="eastAsia"/>
              <w:lang w:val="en-US" w:eastAsia="zh-CN"/>
            </w:rPr>
            <w:t>运维服务质量管理制度</w:t>
          </w:r>
          <w:r>
            <w:tab/>
          </w:r>
          <w:r>
            <w:fldChar w:fldCharType="begin"/>
          </w:r>
          <w:r>
            <w:instrText xml:space="preserve"> PAGEREF _Toc8766 \h </w:instrText>
          </w:r>
          <w:r>
            <w:fldChar w:fldCharType="separate"/>
          </w:r>
          <w:r>
            <w:t>1</w:t>
          </w:r>
          <w:r>
            <w:fldChar w:fldCharType="end"/>
          </w:r>
          <w:r>
            <w:rPr>
              <w:rFonts w:hint="eastAsia" w:ascii="宋体" w:hAnsi="宋体" w:eastAsia="宋体" w:cs="宋体"/>
              <w:szCs w:val="21"/>
            </w:rPr>
            <w:fldChar w:fldCharType="end"/>
          </w:r>
        </w:p>
        <w:p w14:paraId="7D4CCED0">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_Toc11480 </w:instrText>
          </w:r>
          <w:r>
            <w:rPr>
              <w:rFonts w:hint="eastAsia" w:ascii="宋体" w:hAnsi="宋体" w:eastAsia="宋体" w:cs="宋体"/>
              <w:szCs w:val="21"/>
            </w:rPr>
            <w:fldChar w:fldCharType="separate"/>
          </w:r>
          <w:r>
            <w:rPr>
              <w:rFonts w:hint="default"/>
              <w:lang w:val="en-US" w:eastAsia="zh-CN"/>
            </w:rPr>
            <w:t xml:space="preserve">1. </w:t>
          </w:r>
          <w:r>
            <w:rPr>
              <w:rFonts w:hint="eastAsia"/>
              <w:lang w:val="en-US" w:eastAsia="zh-CN"/>
            </w:rPr>
            <w:t>1. 总则</w:t>
          </w:r>
          <w:r>
            <w:tab/>
          </w:r>
          <w:r>
            <w:fldChar w:fldCharType="begin"/>
          </w:r>
          <w:r>
            <w:instrText xml:space="preserve"> PAGEREF _Toc11480 \h </w:instrText>
          </w:r>
          <w:r>
            <w:fldChar w:fldCharType="separate"/>
          </w:r>
          <w:r>
            <w:t>5</w:t>
          </w:r>
          <w:r>
            <w:fldChar w:fldCharType="end"/>
          </w:r>
          <w:r>
            <w:rPr>
              <w:rFonts w:hint="eastAsia" w:ascii="宋体" w:hAnsi="宋体" w:eastAsia="宋体" w:cs="宋体"/>
              <w:szCs w:val="21"/>
            </w:rPr>
            <w:fldChar w:fldCharType="end"/>
          </w:r>
        </w:p>
        <w:p w14:paraId="1D38A610">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_Toc26298 </w:instrText>
          </w:r>
          <w:r>
            <w:rPr>
              <w:rFonts w:hint="eastAsia" w:ascii="宋体" w:hAnsi="宋体" w:eastAsia="宋体" w:cs="宋体"/>
              <w:szCs w:val="21"/>
            </w:rPr>
            <w:fldChar w:fldCharType="separate"/>
          </w:r>
          <w:r>
            <w:rPr>
              <w:rFonts w:hint="default"/>
              <w:lang w:val="en-US" w:eastAsia="zh-CN"/>
            </w:rPr>
            <w:t xml:space="preserve">1.1. </w:t>
          </w:r>
          <w:r>
            <w:rPr>
              <w:rFonts w:hint="eastAsia"/>
              <w:lang w:val="en-US" w:eastAsia="zh-CN"/>
            </w:rPr>
            <w:t>制度简介</w:t>
          </w:r>
          <w:r>
            <w:tab/>
          </w:r>
          <w:r>
            <w:fldChar w:fldCharType="begin"/>
          </w:r>
          <w:r>
            <w:instrText xml:space="preserve"> PAGEREF _Toc26298 \h </w:instrText>
          </w:r>
          <w:r>
            <w:fldChar w:fldCharType="separate"/>
          </w:r>
          <w:r>
            <w:t>5</w:t>
          </w:r>
          <w:r>
            <w:fldChar w:fldCharType="end"/>
          </w:r>
          <w:r>
            <w:rPr>
              <w:rFonts w:hint="eastAsia" w:ascii="宋体" w:hAnsi="宋体" w:eastAsia="宋体" w:cs="宋体"/>
              <w:szCs w:val="21"/>
            </w:rPr>
            <w:fldChar w:fldCharType="end"/>
          </w:r>
        </w:p>
        <w:p w14:paraId="6D41FA7B">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_Toc12919 </w:instrText>
          </w:r>
          <w:r>
            <w:rPr>
              <w:rFonts w:hint="eastAsia" w:ascii="宋体" w:hAnsi="宋体" w:eastAsia="宋体" w:cs="宋体"/>
              <w:szCs w:val="21"/>
            </w:rPr>
            <w:fldChar w:fldCharType="separate"/>
          </w:r>
          <w:r>
            <w:rPr>
              <w:rFonts w:hint="default"/>
              <w:lang w:val="en-US" w:eastAsia="zh-CN"/>
            </w:rPr>
            <w:t xml:space="preserve">1.2. </w:t>
          </w:r>
          <w:r>
            <w:rPr>
              <w:rFonts w:hint="eastAsia"/>
              <w:lang w:val="en-US" w:eastAsia="zh-CN"/>
            </w:rPr>
            <w:t>制度目标</w:t>
          </w:r>
          <w:r>
            <w:tab/>
          </w:r>
          <w:r>
            <w:fldChar w:fldCharType="begin"/>
          </w:r>
          <w:r>
            <w:instrText xml:space="preserve"> PAGEREF _Toc12919 \h </w:instrText>
          </w:r>
          <w:r>
            <w:fldChar w:fldCharType="separate"/>
          </w:r>
          <w:r>
            <w:t>5</w:t>
          </w:r>
          <w:r>
            <w:fldChar w:fldCharType="end"/>
          </w:r>
          <w:r>
            <w:rPr>
              <w:rFonts w:hint="eastAsia" w:ascii="宋体" w:hAnsi="宋体" w:eastAsia="宋体" w:cs="宋体"/>
              <w:szCs w:val="21"/>
            </w:rPr>
            <w:fldChar w:fldCharType="end"/>
          </w:r>
        </w:p>
        <w:p w14:paraId="3F96183E">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_Toc4039 </w:instrText>
          </w:r>
          <w:r>
            <w:rPr>
              <w:rFonts w:hint="eastAsia" w:ascii="宋体" w:hAnsi="宋体" w:eastAsia="宋体" w:cs="宋体"/>
              <w:szCs w:val="21"/>
            </w:rPr>
            <w:fldChar w:fldCharType="separate"/>
          </w:r>
          <w:r>
            <w:rPr>
              <w:rFonts w:hint="default"/>
              <w:lang w:val="en-US" w:eastAsia="zh-CN"/>
            </w:rPr>
            <w:t xml:space="preserve">1.3. </w:t>
          </w:r>
          <w:r>
            <w:rPr>
              <w:rFonts w:hint="eastAsia"/>
              <w:lang w:val="en-US" w:eastAsia="zh-CN"/>
            </w:rPr>
            <w:t>管理概述</w:t>
          </w:r>
          <w:r>
            <w:tab/>
          </w:r>
          <w:r>
            <w:fldChar w:fldCharType="begin"/>
          </w:r>
          <w:r>
            <w:instrText xml:space="preserve"> PAGEREF _Toc4039 \h </w:instrText>
          </w:r>
          <w:r>
            <w:fldChar w:fldCharType="separate"/>
          </w:r>
          <w:r>
            <w:t>5</w:t>
          </w:r>
          <w:r>
            <w:fldChar w:fldCharType="end"/>
          </w:r>
          <w:r>
            <w:rPr>
              <w:rFonts w:hint="eastAsia" w:ascii="宋体" w:hAnsi="宋体" w:eastAsia="宋体" w:cs="宋体"/>
              <w:szCs w:val="21"/>
            </w:rPr>
            <w:fldChar w:fldCharType="end"/>
          </w:r>
        </w:p>
        <w:p w14:paraId="328502DD">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_Toc28725 </w:instrText>
          </w:r>
          <w:r>
            <w:rPr>
              <w:rFonts w:hint="eastAsia" w:ascii="宋体" w:hAnsi="宋体" w:eastAsia="宋体" w:cs="宋体"/>
              <w:szCs w:val="21"/>
            </w:rPr>
            <w:fldChar w:fldCharType="separate"/>
          </w:r>
          <w:r>
            <w:rPr>
              <w:rFonts w:hint="default"/>
              <w:lang w:val="en-US" w:eastAsia="zh-CN"/>
            </w:rPr>
            <w:t xml:space="preserve">1.4. </w:t>
          </w:r>
          <w:r>
            <w:rPr>
              <w:rFonts w:hint="eastAsia"/>
              <w:lang w:val="en-US" w:eastAsia="zh-CN"/>
            </w:rPr>
            <w:t>适用范围</w:t>
          </w:r>
          <w:r>
            <w:tab/>
          </w:r>
          <w:r>
            <w:fldChar w:fldCharType="begin"/>
          </w:r>
          <w:r>
            <w:instrText xml:space="preserve"> PAGEREF _Toc28725 \h </w:instrText>
          </w:r>
          <w:r>
            <w:fldChar w:fldCharType="separate"/>
          </w:r>
          <w:r>
            <w:t>5</w:t>
          </w:r>
          <w:r>
            <w:fldChar w:fldCharType="end"/>
          </w:r>
          <w:r>
            <w:rPr>
              <w:rFonts w:hint="eastAsia" w:ascii="宋体" w:hAnsi="宋体" w:eastAsia="宋体" w:cs="宋体"/>
              <w:szCs w:val="21"/>
            </w:rPr>
            <w:fldChar w:fldCharType="end"/>
          </w:r>
        </w:p>
        <w:p w14:paraId="7C3843C3">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_Toc30717 </w:instrText>
          </w:r>
          <w:r>
            <w:rPr>
              <w:rFonts w:hint="eastAsia" w:ascii="宋体" w:hAnsi="宋体" w:eastAsia="宋体" w:cs="宋体"/>
              <w:szCs w:val="21"/>
            </w:rPr>
            <w:fldChar w:fldCharType="separate"/>
          </w:r>
          <w:r>
            <w:rPr>
              <w:rFonts w:hint="default"/>
              <w:lang w:val="en-US" w:eastAsia="zh-CN"/>
            </w:rPr>
            <w:t xml:space="preserve">2. </w:t>
          </w:r>
          <w:r>
            <w:rPr>
              <w:rFonts w:hint="eastAsia"/>
              <w:lang w:val="en-US" w:eastAsia="zh-CN"/>
            </w:rPr>
            <w:t>管理目标与原则</w:t>
          </w:r>
          <w:r>
            <w:tab/>
          </w:r>
          <w:r>
            <w:fldChar w:fldCharType="begin"/>
          </w:r>
          <w:r>
            <w:instrText xml:space="preserve"> PAGEREF _Toc30717 \h </w:instrText>
          </w:r>
          <w:r>
            <w:fldChar w:fldCharType="separate"/>
          </w:r>
          <w:r>
            <w:t>5</w:t>
          </w:r>
          <w:r>
            <w:fldChar w:fldCharType="end"/>
          </w:r>
          <w:r>
            <w:rPr>
              <w:rFonts w:hint="eastAsia" w:ascii="宋体" w:hAnsi="宋体" w:eastAsia="宋体" w:cs="宋体"/>
              <w:szCs w:val="21"/>
            </w:rPr>
            <w:fldChar w:fldCharType="end"/>
          </w:r>
        </w:p>
        <w:p w14:paraId="3F6FFC87">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_Toc28379 </w:instrText>
          </w:r>
          <w:r>
            <w:rPr>
              <w:rFonts w:hint="eastAsia" w:ascii="宋体" w:hAnsi="宋体" w:eastAsia="宋体" w:cs="宋体"/>
              <w:szCs w:val="21"/>
            </w:rPr>
            <w:fldChar w:fldCharType="separate"/>
          </w:r>
          <w:r>
            <w:rPr>
              <w:rFonts w:hint="default"/>
              <w:lang w:val="en-US" w:eastAsia="zh-CN"/>
            </w:rPr>
            <w:t xml:space="preserve">3. </w:t>
          </w:r>
          <w:r>
            <w:rPr>
              <w:rFonts w:hint="eastAsia"/>
              <w:lang w:val="en-US" w:eastAsia="zh-CN"/>
            </w:rPr>
            <w:t>组织与职责</w:t>
          </w:r>
          <w:r>
            <w:tab/>
          </w:r>
          <w:r>
            <w:fldChar w:fldCharType="begin"/>
          </w:r>
          <w:r>
            <w:instrText xml:space="preserve"> PAGEREF _Toc28379 \h </w:instrText>
          </w:r>
          <w:r>
            <w:fldChar w:fldCharType="separate"/>
          </w:r>
          <w:r>
            <w:t>6</w:t>
          </w:r>
          <w:r>
            <w:fldChar w:fldCharType="end"/>
          </w:r>
          <w:r>
            <w:rPr>
              <w:rFonts w:hint="eastAsia" w:ascii="宋体" w:hAnsi="宋体" w:eastAsia="宋体" w:cs="宋体"/>
              <w:szCs w:val="21"/>
            </w:rPr>
            <w:fldChar w:fldCharType="end"/>
          </w:r>
        </w:p>
        <w:p w14:paraId="3F5F654E">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_Toc850 </w:instrText>
          </w:r>
          <w:r>
            <w:rPr>
              <w:rFonts w:hint="eastAsia" w:ascii="宋体" w:hAnsi="宋体" w:eastAsia="宋体" w:cs="宋体"/>
              <w:szCs w:val="21"/>
            </w:rPr>
            <w:fldChar w:fldCharType="separate"/>
          </w:r>
          <w:r>
            <w:rPr>
              <w:rFonts w:hint="default"/>
              <w:lang w:val="en-US" w:eastAsia="zh-CN"/>
            </w:rPr>
            <w:t xml:space="preserve">3.1. </w:t>
          </w:r>
          <w:r>
            <w:rPr>
              <w:rFonts w:hint="eastAsia"/>
              <w:lang w:val="en-US" w:eastAsia="zh-CN"/>
            </w:rPr>
            <w:t>质量管理部</w:t>
          </w:r>
          <w:r>
            <w:tab/>
          </w:r>
          <w:r>
            <w:fldChar w:fldCharType="begin"/>
          </w:r>
          <w:r>
            <w:instrText xml:space="preserve"> PAGEREF _Toc850 \h </w:instrText>
          </w:r>
          <w:r>
            <w:fldChar w:fldCharType="separate"/>
          </w:r>
          <w:r>
            <w:t>6</w:t>
          </w:r>
          <w:r>
            <w:fldChar w:fldCharType="end"/>
          </w:r>
          <w:r>
            <w:rPr>
              <w:rFonts w:hint="eastAsia" w:ascii="宋体" w:hAnsi="宋体" w:eastAsia="宋体" w:cs="宋体"/>
              <w:szCs w:val="21"/>
            </w:rPr>
            <w:fldChar w:fldCharType="end"/>
          </w:r>
        </w:p>
        <w:p w14:paraId="3EE31B81">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_Toc12202 </w:instrText>
          </w:r>
          <w:r>
            <w:rPr>
              <w:rFonts w:hint="eastAsia" w:ascii="宋体" w:hAnsi="宋体" w:eastAsia="宋体" w:cs="宋体"/>
              <w:szCs w:val="21"/>
            </w:rPr>
            <w:fldChar w:fldCharType="separate"/>
          </w:r>
          <w:r>
            <w:rPr>
              <w:rFonts w:hint="default"/>
              <w:lang w:val="en-US" w:eastAsia="zh-CN"/>
            </w:rPr>
            <w:t xml:space="preserve">3.2. </w:t>
          </w:r>
          <w:r>
            <w:rPr>
              <w:rFonts w:hint="eastAsia"/>
              <w:lang w:val="en-US" w:eastAsia="zh-CN"/>
            </w:rPr>
            <w:t>质量管理部经理</w:t>
          </w:r>
          <w:r>
            <w:tab/>
          </w:r>
          <w:r>
            <w:fldChar w:fldCharType="begin"/>
          </w:r>
          <w:r>
            <w:instrText xml:space="preserve"> PAGEREF _Toc12202 \h </w:instrText>
          </w:r>
          <w:r>
            <w:fldChar w:fldCharType="separate"/>
          </w:r>
          <w:r>
            <w:t>6</w:t>
          </w:r>
          <w:r>
            <w:fldChar w:fldCharType="end"/>
          </w:r>
          <w:r>
            <w:rPr>
              <w:rFonts w:hint="eastAsia" w:ascii="宋体" w:hAnsi="宋体" w:eastAsia="宋体" w:cs="宋体"/>
              <w:szCs w:val="21"/>
            </w:rPr>
            <w:fldChar w:fldCharType="end"/>
          </w:r>
        </w:p>
        <w:p w14:paraId="6ACA644C">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_Toc11926 </w:instrText>
          </w:r>
          <w:r>
            <w:rPr>
              <w:rFonts w:hint="eastAsia" w:ascii="宋体" w:hAnsi="宋体" w:eastAsia="宋体" w:cs="宋体"/>
              <w:szCs w:val="21"/>
            </w:rPr>
            <w:fldChar w:fldCharType="separate"/>
          </w:r>
          <w:r>
            <w:rPr>
              <w:rFonts w:hint="default"/>
              <w:lang w:val="en-US" w:eastAsia="zh-CN"/>
            </w:rPr>
            <w:t xml:space="preserve">3.3. </w:t>
          </w:r>
          <w:r>
            <w:rPr>
              <w:rFonts w:hint="eastAsia"/>
              <w:lang w:val="en-US" w:eastAsia="zh-CN"/>
            </w:rPr>
            <w:t>质量管理专员</w:t>
          </w:r>
          <w:r>
            <w:tab/>
          </w:r>
          <w:r>
            <w:fldChar w:fldCharType="begin"/>
          </w:r>
          <w:r>
            <w:instrText xml:space="preserve"> PAGEREF _Toc11926 \h </w:instrText>
          </w:r>
          <w:r>
            <w:fldChar w:fldCharType="separate"/>
          </w:r>
          <w:r>
            <w:t>6</w:t>
          </w:r>
          <w:r>
            <w:fldChar w:fldCharType="end"/>
          </w:r>
          <w:r>
            <w:rPr>
              <w:rFonts w:hint="eastAsia" w:ascii="宋体" w:hAnsi="宋体" w:eastAsia="宋体" w:cs="宋体"/>
              <w:szCs w:val="21"/>
            </w:rPr>
            <w:fldChar w:fldCharType="end"/>
          </w:r>
        </w:p>
        <w:p w14:paraId="157DD9A8">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_Toc8807 </w:instrText>
          </w:r>
          <w:r>
            <w:rPr>
              <w:rFonts w:hint="eastAsia" w:ascii="宋体" w:hAnsi="宋体" w:eastAsia="宋体" w:cs="宋体"/>
              <w:szCs w:val="21"/>
            </w:rPr>
            <w:fldChar w:fldCharType="separate"/>
          </w:r>
          <w:r>
            <w:rPr>
              <w:rFonts w:hint="default"/>
              <w:lang w:val="en-US" w:eastAsia="zh-CN"/>
            </w:rPr>
            <w:t xml:space="preserve">4. </w:t>
          </w:r>
          <w:r>
            <w:rPr>
              <w:rFonts w:hint="eastAsia"/>
              <w:lang w:val="en-US" w:eastAsia="zh-CN"/>
            </w:rPr>
            <w:t>、客户满意度管理</w:t>
          </w:r>
          <w:r>
            <w:tab/>
          </w:r>
          <w:r>
            <w:fldChar w:fldCharType="begin"/>
          </w:r>
          <w:r>
            <w:instrText xml:space="preserve"> PAGEREF _Toc8807 \h </w:instrText>
          </w:r>
          <w:r>
            <w:fldChar w:fldCharType="separate"/>
          </w:r>
          <w:r>
            <w:t>7</w:t>
          </w:r>
          <w:r>
            <w:fldChar w:fldCharType="end"/>
          </w:r>
          <w:r>
            <w:rPr>
              <w:rFonts w:hint="eastAsia" w:ascii="宋体" w:hAnsi="宋体" w:eastAsia="宋体" w:cs="宋体"/>
              <w:szCs w:val="21"/>
            </w:rPr>
            <w:fldChar w:fldCharType="end"/>
          </w:r>
        </w:p>
        <w:p w14:paraId="266A3343">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_Toc16363 </w:instrText>
          </w:r>
          <w:r>
            <w:rPr>
              <w:rFonts w:hint="eastAsia" w:ascii="宋体" w:hAnsi="宋体" w:eastAsia="宋体" w:cs="宋体"/>
              <w:szCs w:val="21"/>
            </w:rPr>
            <w:fldChar w:fldCharType="separate"/>
          </w:r>
          <w:r>
            <w:rPr>
              <w:rFonts w:hint="default"/>
              <w:lang w:val="en-US" w:eastAsia="zh-CN"/>
            </w:rPr>
            <w:t xml:space="preserve">4.1. </w:t>
          </w:r>
          <w:r>
            <w:rPr>
              <w:rFonts w:hint="eastAsia"/>
              <w:lang w:val="en-US" w:eastAsia="zh-CN"/>
            </w:rPr>
            <w:t>、管理职责</w:t>
          </w:r>
          <w:r>
            <w:tab/>
          </w:r>
          <w:r>
            <w:fldChar w:fldCharType="begin"/>
          </w:r>
          <w:r>
            <w:instrText xml:space="preserve"> PAGEREF _Toc16363 \h </w:instrText>
          </w:r>
          <w:r>
            <w:fldChar w:fldCharType="separate"/>
          </w:r>
          <w:r>
            <w:t>7</w:t>
          </w:r>
          <w:r>
            <w:fldChar w:fldCharType="end"/>
          </w:r>
          <w:r>
            <w:rPr>
              <w:rFonts w:hint="eastAsia" w:ascii="宋体" w:hAnsi="宋体" w:eastAsia="宋体" w:cs="宋体"/>
              <w:szCs w:val="21"/>
            </w:rPr>
            <w:fldChar w:fldCharType="end"/>
          </w:r>
        </w:p>
        <w:p w14:paraId="7CB38361">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_Toc23656 </w:instrText>
          </w:r>
          <w:r>
            <w:rPr>
              <w:rFonts w:hint="eastAsia" w:ascii="宋体" w:hAnsi="宋体" w:eastAsia="宋体" w:cs="宋体"/>
              <w:szCs w:val="21"/>
            </w:rPr>
            <w:fldChar w:fldCharType="separate"/>
          </w:r>
          <w:r>
            <w:rPr>
              <w:rFonts w:hint="default"/>
              <w:lang w:val="en-US" w:eastAsia="zh-CN"/>
            </w:rPr>
            <w:t xml:space="preserve">4.2. </w:t>
          </w:r>
          <w:r>
            <w:rPr>
              <w:rFonts w:hint="eastAsia"/>
              <w:lang w:val="en-US" w:eastAsia="zh-CN"/>
            </w:rPr>
            <w:t>调查实施</w:t>
          </w:r>
          <w:r>
            <w:tab/>
          </w:r>
          <w:r>
            <w:fldChar w:fldCharType="begin"/>
          </w:r>
          <w:r>
            <w:instrText xml:space="preserve"> PAGEREF _Toc23656 \h </w:instrText>
          </w:r>
          <w:r>
            <w:fldChar w:fldCharType="separate"/>
          </w:r>
          <w:r>
            <w:t>7</w:t>
          </w:r>
          <w:r>
            <w:fldChar w:fldCharType="end"/>
          </w:r>
          <w:r>
            <w:rPr>
              <w:rFonts w:hint="eastAsia" w:ascii="宋体" w:hAnsi="宋体" w:eastAsia="宋体" w:cs="宋体"/>
              <w:szCs w:val="21"/>
            </w:rPr>
            <w:fldChar w:fldCharType="end"/>
          </w:r>
        </w:p>
        <w:p w14:paraId="1DBA05ED">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_Toc18433 </w:instrText>
          </w:r>
          <w:r>
            <w:rPr>
              <w:rFonts w:hint="eastAsia" w:ascii="宋体" w:hAnsi="宋体" w:eastAsia="宋体" w:cs="宋体"/>
              <w:szCs w:val="21"/>
            </w:rPr>
            <w:fldChar w:fldCharType="separate"/>
          </w:r>
          <w:r>
            <w:rPr>
              <w:rFonts w:hint="default"/>
              <w:lang w:val="en-US" w:eastAsia="zh-CN"/>
            </w:rPr>
            <w:t xml:space="preserve">4.3. </w:t>
          </w:r>
          <w:r>
            <w:rPr>
              <w:rFonts w:hint="eastAsia"/>
              <w:lang w:val="en-US" w:eastAsia="zh-CN"/>
            </w:rPr>
            <w:t>、结果分析与应用</w:t>
          </w:r>
          <w:r>
            <w:tab/>
          </w:r>
          <w:r>
            <w:fldChar w:fldCharType="begin"/>
          </w:r>
          <w:r>
            <w:instrText xml:space="preserve"> PAGEREF _Toc18433 \h </w:instrText>
          </w:r>
          <w:r>
            <w:fldChar w:fldCharType="separate"/>
          </w:r>
          <w:r>
            <w:t>7</w:t>
          </w:r>
          <w:r>
            <w:fldChar w:fldCharType="end"/>
          </w:r>
          <w:r>
            <w:rPr>
              <w:rFonts w:hint="eastAsia" w:ascii="宋体" w:hAnsi="宋体" w:eastAsia="宋体" w:cs="宋体"/>
              <w:szCs w:val="21"/>
            </w:rPr>
            <w:fldChar w:fldCharType="end"/>
          </w:r>
        </w:p>
        <w:p w14:paraId="4C01812F">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_Toc8564 </w:instrText>
          </w:r>
          <w:r>
            <w:rPr>
              <w:rFonts w:hint="eastAsia" w:ascii="宋体" w:hAnsi="宋体" w:eastAsia="宋体" w:cs="宋体"/>
              <w:szCs w:val="21"/>
            </w:rPr>
            <w:fldChar w:fldCharType="separate"/>
          </w:r>
          <w:r>
            <w:rPr>
              <w:rFonts w:hint="default"/>
              <w:lang w:val="en-US" w:eastAsia="zh-CN"/>
            </w:rPr>
            <w:t xml:space="preserve">5. </w:t>
          </w:r>
          <w:r>
            <w:rPr>
              <w:rFonts w:hint="eastAsia"/>
              <w:lang w:val="en-US" w:eastAsia="zh-CN"/>
            </w:rPr>
            <w:t>内部审核管理</w:t>
          </w:r>
          <w:r>
            <w:tab/>
          </w:r>
          <w:r>
            <w:fldChar w:fldCharType="begin"/>
          </w:r>
          <w:r>
            <w:instrText xml:space="preserve"> PAGEREF _Toc8564 \h </w:instrText>
          </w:r>
          <w:r>
            <w:fldChar w:fldCharType="separate"/>
          </w:r>
          <w:r>
            <w:t>7</w:t>
          </w:r>
          <w:r>
            <w:fldChar w:fldCharType="end"/>
          </w:r>
          <w:r>
            <w:rPr>
              <w:rFonts w:hint="eastAsia" w:ascii="宋体" w:hAnsi="宋体" w:eastAsia="宋体" w:cs="宋体"/>
              <w:szCs w:val="21"/>
            </w:rPr>
            <w:fldChar w:fldCharType="end"/>
          </w:r>
        </w:p>
        <w:p w14:paraId="44E91B99">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_Toc25110 </w:instrText>
          </w:r>
          <w:r>
            <w:rPr>
              <w:rFonts w:hint="eastAsia" w:ascii="宋体" w:hAnsi="宋体" w:eastAsia="宋体" w:cs="宋体"/>
              <w:szCs w:val="21"/>
            </w:rPr>
            <w:fldChar w:fldCharType="separate"/>
          </w:r>
          <w:r>
            <w:rPr>
              <w:rFonts w:hint="default"/>
              <w:lang w:val="en-US" w:eastAsia="zh-CN"/>
            </w:rPr>
            <w:t xml:space="preserve">5.1. </w:t>
          </w:r>
          <w:r>
            <w:rPr>
              <w:rFonts w:hint="eastAsia"/>
              <w:lang w:val="en-US" w:eastAsia="zh-CN"/>
            </w:rPr>
            <w:t>审核策划</w:t>
          </w:r>
          <w:r>
            <w:tab/>
          </w:r>
          <w:r>
            <w:fldChar w:fldCharType="begin"/>
          </w:r>
          <w:r>
            <w:instrText xml:space="preserve"> PAGEREF _Toc25110 \h </w:instrText>
          </w:r>
          <w:r>
            <w:fldChar w:fldCharType="separate"/>
          </w:r>
          <w:r>
            <w:t>8</w:t>
          </w:r>
          <w:r>
            <w:fldChar w:fldCharType="end"/>
          </w:r>
          <w:r>
            <w:rPr>
              <w:rFonts w:hint="eastAsia" w:ascii="宋体" w:hAnsi="宋体" w:eastAsia="宋体" w:cs="宋体"/>
              <w:szCs w:val="21"/>
            </w:rPr>
            <w:fldChar w:fldCharType="end"/>
          </w:r>
        </w:p>
        <w:p w14:paraId="413046B9">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_Toc5170 </w:instrText>
          </w:r>
          <w:r>
            <w:rPr>
              <w:rFonts w:hint="eastAsia" w:ascii="宋体" w:hAnsi="宋体" w:eastAsia="宋体" w:cs="宋体"/>
              <w:szCs w:val="21"/>
            </w:rPr>
            <w:fldChar w:fldCharType="separate"/>
          </w:r>
          <w:r>
            <w:rPr>
              <w:rFonts w:hint="default"/>
              <w:lang w:val="en-US" w:eastAsia="zh-CN"/>
            </w:rPr>
            <w:t xml:space="preserve">5.2. </w:t>
          </w:r>
          <w:r>
            <w:rPr>
              <w:rFonts w:hint="eastAsia"/>
              <w:lang w:val="en-US" w:eastAsia="zh-CN"/>
            </w:rPr>
            <w:t>审核实施</w:t>
          </w:r>
          <w:r>
            <w:tab/>
          </w:r>
          <w:r>
            <w:fldChar w:fldCharType="begin"/>
          </w:r>
          <w:r>
            <w:instrText xml:space="preserve"> PAGEREF _Toc5170 \h </w:instrText>
          </w:r>
          <w:r>
            <w:fldChar w:fldCharType="separate"/>
          </w:r>
          <w:r>
            <w:t>8</w:t>
          </w:r>
          <w:r>
            <w:fldChar w:fldCharType="end"/>
          </w:r>
          <w:r>
            <w:rPr>
              <w:rFonts w:hint="eastAsia" w:ascii="宋体" w:hAnsi="宋体" w:eastAsia="宋体" w:cs="宋体"/>
              <w:szCs w:val="21"/>
            </w:rPr>
            <w:fldChar w:fldCharType="end"/>
          </w:r>
        </w:p>
        <w:p w14:paraId="1E132DE7">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_Toc20744 </w:instrText>
          </w:r>
          <w:r>
            <w:rPr>
              <w:rFonts w:hint="eastAsia" w:ascii="宋体" w:hAnsi="宋体" w:eastAsia="宋体" w:cs="宋体"/>
              <w:szCs w:val="21"/>
            </w:rPr>
            <w:fldChar w:fldCharType="separate"/>
          </w:r>
          <w:r>
            <w:rPr>
              <w:rFonts w:hint="default"/>
              <w:lang w:val="en-US" w:eastAsia="zh-CN"/>
            </w:rPr>
            <w:t xml:space="preserve">5.3. </w:t>
          </w:r>
          <w:r>
            <w:rPr>
              <w:rFonts w:hint="eastAsia"/>
              <w:lang w:val="en-US" w:eastAsia="zh-CN"/>
            </w:rPr>
            <w:t>审核报告与改进</w:t>
          </w:r>
          <w:r>
            <w:tab/>
          </w:r>
          <w:r>
            <w:fldChar w:fldCharType="begin"/>
          </w:r>
          <w:r>
            <w:instrText xml:space="preserve"> PAGEREF _Toc20744 \h </w:instrText>
          </w:r>
          <w:r>
            <w:fldChar w:fldCharType="separate"/>
          </w:r>
          <w:r>
            <w:t>8</w:t>
          </w:r>
          <w:r>
            <w:fldChar w:fldCharType="end"/>
          </w:r>
          <w:r>
            <w:rPr>
              <w:rFonts w:hint="eastAsia" w:ascii="宋体" w:hAnsi="宋体" w:eastAsia="宋体" w:cs="宋体"/>
              <w:szCs w:val="21"/>
            </w:rPr>
            <w:fldChar w:fldCharType="end"/>
          </w:r>
        </w:p>
        <w:p w14:paraId="0A9952CD">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_Toc21366 </w:instrText>
          </w:r>
          <w:r>
            <w:rPr>
              <w:rFonts w:hint="eastAsia" w:ascii="宋体" w:hAnsi="宋体" w:eastAsia="宋体" w:cs="宋体"/>
              <w:szCs w:val="21"/>
            </w:rPr>
            <w:fldChar w:fldCharType="separate"/>
          </w:r>
          <w:r>
            <w:rPr>
              <w:rFonts w:hint="default"/>
              <w:lang w:val="en-US" w:eastAsia="zh-CN"/>
            </w:rPr>
            <w:t xml:space="preserve">6. </w:t>
          </w:r>
          <w:r>
            <w:rPr>
              <w:rFonts w:hint="eastAsia"/>
              <w:lang w:val="en-US" w:eastAsia="zh-CN"/>
            </w:rPr>
            <w:t>管理评审</w:t>
          </w:r>
          <w:r>
            <w:tab/>
          </w:r>
          <w:r>
            <w:fldChar w:fldCharType="begin"/>
          </w:r>
          <w:r>
            <w:instrText xml:space="preserve"> PAGEREF _Toc21366 \h </w:instrText>
          </w:r>
          <w:r>
            <w:fldChar w:fldCharType="separate"/>
          </w:r>
          <w:r>
            <w:t>8</w:t>
          </w:r>
          <w:r>
            <w:fldChar w:fldCharType="end"/>
          </w:r>
          <w:r>
            <w:rPr>
              <w:rFonts w:hint="eastAsia" w:ascii="宋体" w:hAnsi="宋体" w:eastAsia="宋体" w:cs="宋体"/>
              <w:szCs w:val="21"/>
            </w:rPr>
            <w:fldChar w:fldCharType="end"/>
          </w:r>
        </w:p>
        <w:p w14:paraId="525F7C70">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_Toc18950 </w:instrText>
          </w:r>
          <w:r>
            <w:rPr>
              <w:rFonts w:hint="eastAsia" w:ascii="宋体" w:hAnsi="宋体" w:eastAsia="宋体" w:cs="宋体"/>
              <w:szCs w:val="21"/>
            </w:rPr>
            <w:fldChar w:fldCharType="separate"/>
          </w:r>
          <w:r>
            <w:rPr>
              <w:rFonts w:hint="default"/>
              <w:lang w:val="en-US" w:eastAsia="zh-CN"/>
            </w:rPr>
            <w:t xml:space="preserve">6.1. </w:t>
          </w:r>
          <w:r>
            <w:rPr>
              <w:rFonts w:hint="eastAsia"/>
              <w:lang w:val="en-US" w:eastAsia="zh-CN"/>
            </w:rPr>
            <w:t>评审组织与策划</w:t>
          </w:r>
          <w:r>
            <w:tab/>
          </w:r>
          <w:r>
            <w:fldChar w:fldCharType="begin"/>
          </w:r>
          <w:r>
            <w:instrText xml:space="preserve"> PAGEREF _Toc18950 \h </w:instrText>
          </w:r>
          <w:r>
            <w:fldChar w:fldCharType="separate"/>
          </w:r>
          <w:r>
            <w:t>8</w:t>
          </w:r>
          <w:r>
            <w:fldChar w:fldCharType="end"/>
          </w:r>
          <w:r>
            <w:rPr>
              <w:rFonts w:hint="eastAsia" w:ascii="宋体" w:hAnsi="宋体" w:eastAsia="宋体" w:cs="宋体"/>
              <w:szCs w:val="21"/>
            </w:rPr>
            <w:fldChar w:fldCharType="end"/>
          </w:r>
        </w:p>
        <w:p w14:paraId="3B408F97">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_Toc12989 </w:instrText>
          </w:r>
          <w:r>
            <w:rPr>
              <w:rFonts w:hint="eastAsia" w:ascii="宋体" w:hAnsi="宋体" w:eastAsia="宋体" w:cs="宋体"/>
              <w:szCs w:val="21"/>
            </w:rPr>
            <w:fldChar w:fldCharType="separate"/>
          </w:r>
          <w:r>
            <w:rPr>
              <w:rFonts w:hint="default"/>
              <w:lang w:val="en-US" w:eastAsia="zh-CN"/>
            </w:rPr>
            <w:t xml:space="preserve">6.2. </w:t>
          </w:r>
          <w:r>
            <w:rPr>
              <w:rFonts w:hint="eastAsia"/>
              <w:lang w:val="en-US" w:eastAsia="zh-CN"/>
            </w:rPr>
            <w:t>评审输入与准备</w:t>
          </w:r>
          <w:r>
            <w:tab/>
          </w:r>
          <w:r>
            <w:fldChar w:fldCharType="begin"/>
          </w:r>
          <w:r>
            <w:instrText xml:space="preserve"> PAGEREF _Toc12989 \h </w:instrText>
          </w:r>
          <w:r>
            <w:fldChar w:fldCharType="separate"/>
          </w:r>
          <w:r>
            <w:t>9</w:t>
          </w:r>
          <w:r>
            <w:fldChar w:fldCharType="end"/>
          </w:r>
          <w:r>
            <w:rPr>
              <w:rFonts w:hint="eastAsia" w:ascii="宋体" w:hAnsi="宋体" w:eastAsia="宋体" w:cs="宋体"/>
              <w:szCs w:val="21"/>
            </w:rPr>
            <w:fldChar w:fldCharType="end"/>
          </w:r>
        </w:p>
        <w:p w14:paraId="668B339D">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_Toc405 </w:instrText>
          </w:r>
          <w:r>
            <w:rPr>
              <w:rFonts w:hint="eastAsia" w:ascii="宋体" w:hAnsi="宋体" w:eastAsia="宋体" w:cs="宋体"/>
              <w:szCs w:val="21"/>
            </w:rPr>
            <w:fldChar w:fldCharType="separate"/>
          </w:r>
          <w:r>
            <w:rPr>
              <w:rFonts w:hint="default"/>
              <w:lang w:val="en-US" w:eastAsia="zh-CN"/>
            </w:rPr>
            <w:t xml:space="preserve">6.3. </w:t>
          </w:r>
          <w:r>
            <w:rPr>
              <w:rFonts w:hint="eastAsia"/>
              <w:lang w:val="en-US" w:eastAsia="zh-CN"/>
            </w:rPr>
            <w:t>评审会议与输出</w:t>
          </w:r>
          <w:r>
            <w:tab/>
          </w:r>
          <w:r>
            <w:fldChar w:fldCharType="begin"/>
          </w:r>
          <w:r>
            <w:instrText xml:space="preserve"> PAGEREF _Toc405 \h </w:instrText>
          </w:r>
          <w:r>
            <w:fldChar w:fldCharType="separate"/>
          </w:r>
          <w:r>
            <w:t>9</w:t>
          </w:r>
          <w:r>
            <w:fldChar w:fldCharType="end"/>
          </w:r>
          <w:r>
            <w:rPr>
              <w:rFonts w:hint="eastAsia" w:ascii="宋体" w:hAnsi="宋体" w:eastAsia="宋体" w:cs="宋体"/>
              <w:szCs w:val="21"/>
            </w:rPr>
            <w:fldChar w:fldCharType="end"/>
          </w:r>
        </w:p>
        <w:p w14:paraId="76EC5C36">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_Toc28546 </w:instrText>
          </w:r>
          <w:r>
            <w:rPr>
              <w:rFonts w:hint="eastAsia" w:ascii="宋体" w:hAnsi="宋体" w:eastAsia="宋体" w:cs="宋体"/>
              <w:szCs w:val="21"/>
            </w:rPr>
            <w:fldChar w:fldCharType="separate"/>
          </w:r>
          <w:r>
            <w:rPr>
              <w:rFonts w:hint="default"/>
              <w:lang w:val="en-US" w:eastAsia="zh-CN"/>
            </w:rPr>
            <w:t xml:space="preserve">6.4. </w:t>
          </w:r>
          <w:r>
            <w:rPr>
              <w:rFonts w:hint="eastAsia"/>
              <w:lang w:val="en-US" w:eastAsia="zh-CN"/>
            </w:rPr>
            <w:t>决议跟踪与验证</w:t>
          </w:r>
          <w:r>
            <w:tab/>
          </w:r>
          <w:r>
            <w:fldChar w:fldCharType="begin"/>
          </w:r>
          <w:r>
            <w:instrText xml:space="preserve"> PAGEREF _Toc28546 \h </w:instrText>
          </w:r>
          <w:r>
            <w:fldChar w:fldCharType="separate"/>
          </w:r>
          <w:r>
            <w:t>9</w:t>
          </w:r>
          <w:r>
            <w:fldChar w:fldCharType="end"/>
          </w:r>
          <w:r>
            <w:rPr>
              <w:rFonts w:hint="eastAsia" w:ascii="宋体" w:hAnsi="宋体" w:eastAsia="宋体" w:cs="宋体"/>
              <w:szCs w:val="21"/>
            </w:rPr>
            <w:fldChar w:fldCharType="end"/>
          </w:r>
        </w:p>
        <w:p w14:paraId="7768D28D">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_Toc30223 </w:instrText>
          </w:r>
          <w:r>
            <w:rPr>
              <w:rFonts w:hint="eastAsia" w:ascii="宋体" w:hAnsi="宋体" w:eastAsia="宋体" w:cs="宋体"/>
              <w:szCs w:val="21"/>
            </w:rPr>
            <w:fldChar w:fldCharType="separate"/>
          </w:r>
          <w:r>
            <w:rPr>
              <w:rFonts w:hint="default"/>
              <w:lang w:val="en-US" w:eastAsia="zh-CN"/>
            </w:rPr>
            <w:t xml:space="preserve">7. </w:t>
          </w:r>
          <w:r>
            <w:rPr>
              <w:rFonts w:hint="eastAsia"/>
              <w:lang w:val="en-US" w:eastAsia="zh-CN"/>
            </w:rPr>
            <w:t>质量管理活动流程</w:t>
          </w:r>
          <w:r>
            <w:tab/>
          </w:r>
          <w:r>
            <w:fldChar w:fldCharType="begin"/>
          </w:r>
          <w:r>
            <w:instrText xml:space="preserve"> PAGEREF _Toc30223 \h </w:instrText>
          </w:r>
          <w:r>
            <w:fldChar w:fldCharType="separate"/>
          </w:r>
          <w:r>
            <w:t>10</w:t>
          </w:r>
          <w:r>
            <w:fldChar w:fldCharType="end"/>
          </w:r>
          <w:r>
            <w:rPr>
              <w:rFonts w:hint="eastAsia" w:ascii="宋体" w:hAnsi="宋体" w:eastAsia="宋体" w:cs="宋体"/>
              <w:szCs w:val="21"/>
            </w:rPr>
            <w:fldChar w:fldCharType="end"/>
          </w:r>
        </w:p>
        <w:p w14:paraId="46841D6C">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_Toc4700 </w:instrText>
          </w:r>
          <w:r>
            <w:rPr>
              <w:rFonts w:hint="eastAsia" w:ascii="宋体" w:hAnsi="宋体" w:eastAsia="宋体" w:cs="宋体"/>
              <w:szCs w:val="21"/>
            </w:rPr>
            <w:fldChar w:fldCharType="separate"/>
          </w:r>
          <w:r>
            <w:rPr>
              <w:rFonts w:hint="default"/>
              <w:lang w:val="en-US" w:eastAsia="zh-CN"/>
            </w:rPr>
            <w:t xml:space="preserve">7.1. </w:t>
          </w:r>
          <w:r>
            <w:rPr>
              <w:rFonts w:hint="eastAsia"/>
              <w:lang w:val="en-US" w:eastAsia="zh-CN"/>
            </w:rPr>
            <w:t>流程总述</w:t>
          </w:r>
          <w:r>
            <w:tab/>
          </w:r>
          <w:r>
            <w:fldChar w:fldCharType="begin"/>
          </w:r>
          <w:r>
            <w:instrText xml:space="preserve"> PAGEREF _Toc4700 \h </w:instrText>
          </w:r>
          <w:r>
            <w:fldChar w:fldCharType="separate"/>
          </w:r>
          <w:r>
            <w:t>10</w:t>
          </w:r>
          <w:r>
            <w:fldChar w:fldCharType="end"/>
          </w:r>
          <w:r>
            <w:rPr>
              <w:rFonts w:hint="eastAsia" w:ascii="宋体" w:hAnsi="宋体" w:eastAsia="宋体" w:cs="宋体"/>
              <w:szCs w:val="21"/>
            </w:rPr>
            <w:fldChar w:fldCharType="end"/>
          </w:r>
        </w:p>
        <w:p w14:paraId="6CAE2052">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_Toc2757 </w:instrText>
          </w:r>
          <w:r>
            <w:rPr>
              <w:rFonts w:hint="eastAsia" w:ascii="宋体" w:hAnsi="宋体" w:eastAsia="宋体" w:cs="宋体"/>
              <w:szCs w:val="21"/>
            </w:rPr>
            <w:fldChar w:fldCharType="separate"/>
          </w:r>
          <w:r>
            <w:rPr>
              <w:rFonts w:hint="default"/>
              <w:lang w:val="en-US" w:eastAsia="zh-CN"/>
            </w:rPr>
            <w:t xml:space="preserve">7.2. </w:t>
          </w:r>
          <w:r>
            <w:rPr>
              <w:rFonts w:hint="eastAsia"/>
              <w:lang w:val="en-US" w:eastAsia="zh-CN"/>
            </w:rPr>
            <w:t>质量策划与目标设定</w:t>
          </w:r>
          <w:r>
            <w:tab/>
          </w:r>
          <w:r>
            <w:fldChar w:fldCharType="begin"/>
          </w:r>
          <w:r>
            <w:instrText xml:space="preserve"> PAGEREF _Toc2757 \h </w:instrText>
          </w:r>
          <w:r>
            <w:fldChar w:fldCharType="separate"/>
          </w:r>
          <w:r>
            <w:t>10</w:t>
          </w:r>
          <w:r>
            <w:fldChar w:fldCharType="end"/>
          </w:r>
          <w:r>
            <w:rPr>
              <w:rFonts w:hint="eastAsia" w:ascii="宋体" w:hAnsi="宋体" w:eastAsia="宋体" w:cs="宋体"/>
              <w:szCs w:val="21"/>
            </w:rPr>
            <w:fldChar w:fldCharType="end"/>
          </w:r>
        </w:p>
        <w:p w14:paraId="5F5616CD">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_Toc25101 </w:instrText>
          </w:r>
          <w:r>
            <w:rPr>
              <w:rFonts w:hint="eastAsia" w:ascii="宋体" w:hAnsi="宋体" w:eastAsia="宋体" w:cs="宋体"/>
              <w:szCs w:val="21"/>
            </w:rPr>
            <w:fldChar w:fldCharType="separate"/>
          </w:r>
          <w:r>
            <w:rPr>
              <w:rFonts w:hint="default"/>
              <w:lang w:val="en-US" w:eastAsia="zh-CN"/>
            </w:rPr>
            <w:t xml:space="preserve">7.3. </w:t>
          </w:r>
          <w:r>
            <w:rPr>
              <w:rFonts w:hint="eastAsia"/>
              <w:lang w:val="en-US" w:eastAsia="zh-CN"/>
            </w:rPr>
            <w:t>质量监控与检查</w:t>
          </w:r>
          <w:r>
            <w:tab/>
          </w:r>
          <w:r>
            <w:fldChar w:fldCharType="begin"/>
          </w:r>
          <w:r>
            <w:instrText xml:space="preserve"> PAGEREF _Toc25101 \h </w:instrText>
          </w:r>
          <w:r>
            <w:fldChar w:fldCharType="separate"/>
          </w:r>
          <w:r>
            <w:t>10</w:t>
          </w:r>
          <w:r>
            <w:fldChar w:fldCharType="end"/>
          </w:r>
          <w:r>
            <w:rPr>
              <w:rFonts w:hint="eastAsia" w:ascii="宋体" w:hAnsi="宋体" w:eastAsia="宋体" w:cs="宋体"/>
              <w:szCs w:val="21"/>
            </w:rPr>
            <w:fldChar w:fldCharType="end"/>
          </w:r>
        </w:p>
        <w:p w14:paraId="5163EF47">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_Toc24926 </w:instrText>
          </w:r>
          <w:r>
            <w:rPr>
              <w:rFonts w:hint="eastAsia" w:ascii="宋体" w:hAnsi="宋体" w:eastAsia="宋体" w:cs="宋体"/>
              <w:szCs w:val="21"/>
            </w:rPr>
            <w:fldChar w:fldCharType="separate"/>
          </w:r>
          <w:r>
            <w:rPr>
              <w:rFonts w:hint="default"/>
              <w:lang w:val="en-US" w:eastAsia="zh-CN"/>
            </w:rPr>
            <w:t xml:space="preserve">7.4. </w:t>
          </w:r>
          <w:r>
            <w:rPr>
              <w:rFonts w:hint="eastAsia"/>
              <w:lang w:val="en-US" w:eastAsia="zh-CN"/>
            </w:rPr>
            <w:t>数据分析与改进识别</w:t>
          </w:r>
          <w:r>
            <w:tab/>
          </w:r>
          <w:r>
            <w:fldChar w:fldCharType="begin"/>
          </w:r>
          <w:r>
            <w:instrText xml:space="preserve"> PAGEREF _Toc24926 \h </w:instrText>
          </w:r>
          <w:r>
            <w:fldChar w:fldCharType="separate"/>
          </w:r>
          <w:r>
            <w:t>10</w:t>
          </w:r>
          <w:r>
            <w:fldChar w:fldCharType="end"/>
          </w:r>
          <w:r>
            <w:rPr>
              <w:rFonts w:hint="eastAsia" w:ascii="宋体" w:hAnsi="宋体" w:eastAsia="宋体" w:cs="宋体"/>
              <w:szCs w:val="21"/>
            </w:rPr>
            <w:fldChar w:fldCharType="end"/>
          </w:r>
        </w:p>
        <w:p w14:paraId="67C3F91C">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_Toc16349 </w:instrText>
          </w:r>
          <w:r>
            <w:rPr>
              <w:rFonts w:hint="eastAsia" w:ascii="宋体" w:hAnsi="宋体" w:eastAsia="宋体" w:cs="宋体"/>
              <w:szCs w:val="21"/>
            </w:rPr>
            <w:fldChar w:fldCharType="separate"/>
          </w:r>
          <w:r>
            <w:rPr>
              <w:rFonts w:hint="default"/>
              <w:lang w:val="en-US" w:eastAsia="zh-CN"/>
            </w:rPr>
            <w:t xml:space="preserve">7.5. </w:t>
          </w:r>
          <w:r>
            <w:rPr>
              <w:rFonts w:hint="eastAsia"/>
              <w:lang w:val="en-US" w:eastAsia="zh-CN"/>
            </w:rPr>
            <w:t>改进实施与验证</w:t>
          </w:r>
          <w:r>
            <w:tab/>
          </w:r>
          <w:r>
            <w:fldChar w:fldCharType="begin"/>
          </w:r>
          <w:r>
            <w:instrText xml:space="preserve"> PAGEREF _Toc16349 \h </w:instrText>
          </w:r>
          <w:r>
            <w:fldChar w:fldCharType="separate"/>
          </w:r>
          <w:r>
            <w:t>11</w:t>
          </w:r>
          <w:r>
            <w:fldChar w:fldCharType="end"/>
          </w:r>
          <w:r>
            <w:rPr>
              <w:rFonts w:hint="eastAsia" w:ascii="宋体" w:hAnsi="宋体" w:eastAsia="宋体" w:cs="宋体"/>
              <w:szCs w:val="21"/>
            </w:rPr>
            <w:fldChar w:fldCharType="end"/>
          </w:r>
        </w:p>
        <w:p w14:paraId="2FE1B79D">
          <w:pPr>
            <w:pStyle w:val="17"/>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_Toc2877 </w:instrText>
          </w:r>
          <w:r>
            <w:rPr>
              <w:rFonts w:hint="eastAsia" w:ascii="宋体" w:hAnsi="宋体" w:eastAsia="宋体" w:cs="宋体"/>
              <w:szCs w:val="21"/>
            </w:rPr>
            <w:fldChar w:fldCharType="separate"/>
          </w:r>
          <w:r>
            <w:rPr>
              <w:rFonts w:hint="default"/>
              <w:lang w:val="en-US" w:eastAsia="zh-CN"/>
            </w:rPr>
            <w:t xml:space="preserve">7.6. </w:t>
          </w:r>
          <w:r>
            <w:rPr>
              <w:rFonts w:hint="eastAsia"/>
              <w:lang w:val="en-US" w:eastAsia="zh-CN"/>
            </w:rPr>
            <w:t>知识固化</w:t>
          </w:r>
          <w:r>
            <w:tab/>
          </w:r>
          <w:r>
            <w:fldChar w:fldCharType="begin"/>
          </w:r>
          <w:r>
            <w:instrText xml:space="preserve"> PAGEREF _Toc2877 \h </w:instrText>
          </w:r>
          <w:r>
            <w:fldChar w:fldCharType="separate"/>
          </w:r>
          <w:r>
            <w:t>11</w:t>
          </w:r>
          <w:r>
            <w:fldChar w:fldCharType="end"/>
          </w:r>
          <w:r>
            <w:rPr>
              <w:rFonts w:hint="eastAsia" w:ascii="宋体" w:hAnsi="宋体" w:eastAsia="宋体" w:cs="宋体"/>
              <w:szCs w:val="21"/>
            </w:rPr>
            <w:fldChar w:fldCharType="end"/>
          </w:r>
        </w:p>
        <w:p w14:paraId="7956C15B">
          <w:pPr>
            <w:pStyle w:val="16"/>
            <w:tabs>
              <w:tab w:val="right" w:leader="dot" w:pos="8306"/>
            </w:tabs>
          </w:pPr>
          <w:r>
            <w:rPr>
              <w:rFonts w:hint="eastAsia" w:ascii="宋体" w:hAnsi="宋体" w:eastAsia="宋体" w:cs="宋体"/>
              <w:szCs w:val="21"/>
            </w:rPr>
            <w:fldChar w:fldCharType="begin"/>
          </w:r>
          <w:r>
            <w:rPr>
              <w:rFonts w:hint="eastAsia" w:ascii="宋体" w:hAnsi="宋体" w:eastAsia="宋体" w:cs="宋体"/>
              <w:szCs w:val="21"/>
            </w:rPr>
            <w:instrText xml:space="preserve"> HYPERLINK \l _Toc16375 </w:instrText>
          </w:r>
          <w:r>
            <w:rPr>
              <w:rFonts w:hint="eastAsia" w:ascii="宋体" w:hAnsi="宋体" w:eastAsia="宋体" w:cs="宋体"/>
              <w:szCs w:val="21"/>
            </w:rPr>
            <w:fldChar w:fldCharType="separate"/>
          </w:r>
          <w:r>
            <w:rPr>
              <w:rFonts w:hint="default"/>
              <w:lang w:val="en-US" w:eastAsia="zh-CN"/>
            </w:rPr>
            <w:t xml:space="preserve">8. </w:t>
          </w:r>
          <w:r>
            <w:rPr>
              <w:rFonts w:hint="eastAsia"/>
              <w:lang w:val="en-US" w:eastAsia="zh-CN"/>
            </w:rPr>
            <w:t>附则</w:t>
          </w:r>
          <w:r>
            <w:tab/>
          </w:r>
          <w:r>
            <w:fldChar w:fldCharType="begin"/>
          </w:r>
          <w:r>
            <w:instrText xml:space="preserve"> PAGEREF _Toc16375 \h </w:instrText>
          </w:r>
          <w:r>
            <w:fldChar w:fldCharType="separate"/>
          </w:r>
          <w:r>
            <w:t>11</w:t>
          </w:r>
          <w:r>
            <w:fldChar w:fldCharType="end"/>
          </w:r>
          <w:r>
            <w:rPr>
              <w:rFonts w:hint="eastAsia" w:ascii="宋体" w:hAnsi="宋体" w:eastAsia="宋体" w:cs="宋体"/>
              <w:szCs w:val="21"/>
            </w:rPr>
            <w:fldChar w:fldCharType="end"/>
          </w:r>
        </w:p>
        <w:p w14:paraId="55190A24">
          <w:pPr>
            <w:keepNext w:val="0"/>
            <w:keepLines w:val="0"/>
            <w:pageBreakBefore w:val="0"/>
            <w:widowControl w:val="0"/>
            <w:kinsoku w:val="0"/>
            <w:wordWrap/>
            <w:overflowPunct/>
            <w:topLinePunct w:val="0"/>
            <w:autoSpaceDE w:val="0"/>
            <w:autoSpaceDN w:val="0"/>
            <w:bidi w:val="0"/>
            <w:adjustRightInd w:val="0"/>
            <w:snapToGrid w:val="0"/>
            <w:spacing w:line="336" w:lineRule="auto"/>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1"/>
            </w:rPr>
            <w:fldChar w:fldCharType="end"/>
          </w:r>
        </w:p>
      </w:sdtContent>
    </w:sdt>
    <w:p w14:paraId="11056377">
      <w:pPr>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br w:type="page"/>
      </w:r>
    </w:p>
    <w:p w14:paraId="578063D4">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 w:name="_Toc11480"/>
      <w:r>
        <w:rPr>
          <w:rFonts w:hint="eastAsia"/>
          <w:lang w:val="en-US" w:eastAsia="zh-CN"/>
        </w:rPr>
        <w:t>1. 总则</w:t>
      </w:r>
      <w:bookmarkEnd w:id="2"/>
    </w:p>
    <w:p w14:paraId="1611B96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26298"/>
      <w:r>
        <w:rPr>
          <w:rFonts w:hint="eastAsia"/>
          <w:lang w:val="en-US" w:eastAsia="zh-CN"/>
        </w:rPr>
        <w:t>制度简介</w:t>
      </w:r>
      <w:bookmarkEnd w:id="3"/>
    </w:p>
    <w:p w14:paraId="106256F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旨在系统阐述江西通信产业服务有限公司（以下简称“公司”）运维服务质量管理的方针、职责、活动与要求。核心内容包括质量管理部门与人员职责、质量管理活动的基本流程、质量改进的范围与目标，旨在建立规范化的质量管理体系，确保运维服务质量的持续提升。</w:t>
      </w:r>
    </w:p>
    <w:p w14:paraId="1256F93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12919"/>
      <w:r>
        <w:rPr>
          <w:rFonts w:hint="eastAsia"/>
          <w:lang w:val="en-US" w:eastAsia="zh-CN"/>
        </w:rPr>
        <w:t>制度目标</w:t>
      </w:r>
      <w:bookmarkEnd w:id="4"/>
    </w:p>
    <w:p w14:paraId="3C4831C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本制度作为公司内部公开的管理文件，其目标在于：</w:t>
      </w:r>
    </w:p>
    <w:p w14:paraId="5EF46ECB">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使全体员工清晰理解公司运维服务质量管理的制度与要求。</w:t>
      </w:r>
    </w:p>
    <w:p w14:paraId="635DBE7C">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提升各级服务管理人员对质量管理的重视程度。</w:t>
      </w:r>
    </w:p>
    <w:p w14:paraId="7B0A1955">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明确各部门及人员在质量管理过程中的角色与贡献。</w:t>
      </w:r>
    </w:p>
    <w:p w14:paraId="20F8C7EC">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指导公司系统性、持续性地改进服务管理能力与服务质量。</w:t>
      </w:r>
    </w:p>
    <w:p w14:paraId="68C0CBA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4039"/>
      <w:r>
        <w:rPr>
          <w:rFonts w:hint="eastAsia"/>
          <w:lang w:val="en-US" w:eastAsia="zh-CN"/>
        </w:rPr>
        <w:t>管理概述</w:t>
      </w:r>
      <w:bookmarkEnd w:id="5"/>
    </w:p>
    <w:p w14:paraId="5057832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公司运维服务质量管理体系的建设与运行遵循“策划（P）-实施（D）-检查（C）-改进（A）”（PDCA）的循环方法论。我们秉持“任何服务都存在提升潜力，使其更具效力和效率”的基本理念，鼓励全体员工及相关方共同参与质量活动。本制度是依据ITSS等信息技术服务标准要求，结合公司实际制定的指导性文件。</w:t>
      </w:r>
    </w:p>
    <w:p w14:paraId="49D179D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28725"/>
      <w:r>
        <w:rPr>
          <w:rFonts w:hint="eastAsia"/>
          <w:lang w:val="en-US" w:eastAsia="zh-CN"/>
        </w:rPr>
        <w:t>适用范围</w:t>
      </w:r>
      <w:bookmarkEnd w:id="6"/>
    </w:p>
    <w:p w14:paraId="14D332D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适用于公司范围内所有与软件运维服务相关的质量管理活动。其指导范围涵盖所有服务管理流程、相关文档、人员、技术、资源、过程、交付和应急。涉及部门包括数智运营部、研究总院、人力部、质量管理部及应急管理部。</w:t>
      </w:r>
    </w:p>
    <w:p w14:paraId="58A4A96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30717"/>
      <w:r>
        <w:rPr>
          <w:rFonts w:hint="eastAsia"/>
          <w:lang w:val="en-US" w:eastAsia="zh-CN"/>
        </w:rPr>
        <w:t>管理目标与原则</w:t>
      </w:r>
      <w:bookmarkEnd w:id="7"/>
    </w:p>
    <w:p w14:paraId="0837969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运维服务质量管理的根本目标是持续改进服务提供与服务管理的有效性和效率。具体原则包括：</w:t>
      </w:r>
    </w:p>
    <w:p w14:paraId="30D68F9A">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目标一致性：质量改进目标必须与公司业务目标及客户需求保持一致。</w:t>
      </w:r>
    </w:p>
    <w:p w14:paraId="722A489A">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可测量性：设定的质量目标必须是现实可行且可量化测量的。</w:t>
      </w:r>
    </w:p>
    <w:p w14:paraId="61A1F15E">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合规性：所有质量活动需符合法律法规、合同约定及相关标准要求。</w:t>
      </w:r>
    </w:p>
    <w:p w14:paraId="2675DE06">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系统性：采用系统、一致的方法对服务管理体系进行改进。</w:t>
      </w:r>
    </w:p>
    <w:p w14:paraId="06A430AD">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全员参与：鼓励服务管理相关所有人员识别改进机会并参与改进活动。</w:t>
      </w:r>
    </w:p>
    <w:p w14:paraId="2946DC6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28379"/>
      <w:r>
        <w:rPr>
          <w:rFonts w:hint="eastAsia"/>
          <w:lang w:val="en-US" w:eastAsia="zh-CN"/>
        </w:rPr>
        <w:t>组织与职责</w:t>
      </w:r>
      <w:bookmarkEnd w:id="8"/>
    </w:p>
    <w:p w14:paraId="1E26D52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850"/>
      <w:r>
        <w:rPr>
          <w:rFonts w:hint="eastAsia"/>
          <w:lang w:val="en-US" w:eastAsia="zh-CN"/>
        </w:rPr>
        <w:t>质量管理部</w:t>
      </w:r>
      <w:bookmarkEnd w:id="9"/>
    </w:p>
    <w:p w14:paraId="4147635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作为运维服务质量管理的归口与主导部门，负责本制度的维护、解释与推动实施。牵头组织全公司的质量策划、监控、评审与改进活动。</w:t>
      </w:r>
    </w:p>
    <w:p w14:paraId="4794725F">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12202"/>
      <w:r>
        <w:rPr>
          <w:rFonts w:hint="eastAsia"/>
          <w:lang w:val="en-US" w:eastAsia="zh-CN"/>
        </w:rPr>
        <w:t>质量管理部经理</w:t>
      </w:r>
      <w:bookmarkEnd w:id="10"/>
    </w:p>
    <w:p w14:paraId="0366AB8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参与制定运维服务能力指标体系、质量管理程序文件及记录表单，并负责其发放与更新。</w:t>
      </w:r>
    </w:p>
    <w:p w14:paraId="4A48236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负责制定年度/季度/月度质量目标，组织收集与分析实际执行数据。</w:t>
      </w:r>
    </w:p>
    <w:p w14:paraId="7697D23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根据质量目标达成情况，策划下一阶段具有提升性的质量目标。</w:t>
      </w:r>
    </w:p>
    <w:p w14:paraId="617BAE9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负责制定具体的服务改进方案，并组织、控制改进项目的实施，对改进结果负责。</w:t>
      </w:r>
    </w:p>
    <w:p w14:paraId="00BD96F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定期组织质量回顾会议，巩固改进成果。</w:t>
      </w:r>
    </w:p>
    <w:p w14:paraId="359AEEE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牵头组织客户满意度调查与分析，并推动制定针对性的改进措施。</w:t>
      </w:r>
    </w:p>
    <w:p w14:paraId="57FDAD7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11926"/>
      <w:r>
        <w:rPr>
          <w:rFonts w:hint="eastAsia"/>
          <w:lang w:val="en-US" w:eastAsia="zh-CN"/>
        </w:rPr>
        <w:t>质量管理专员</w:t>
      </w:r>
      <w:bookmarkEnd w:id="11"/>
    </w:p>
    <w:p w14:paraId="310550F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负责各服务环节质量信息的收集、统计与分析。</w:t>
      </w:r>
    </w:p>
    <w:p w14:paraId="7D1E008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根据统计分析结果，协助推进服务能力改进活动，经验证有效后更新相关质量文件。</w:t>
      </w:r>
    </w:p>
    <w:p w14:paraId="2A58D27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负责在服务改进项目完成后，组织进行知识转移与经验分享。</w:t>
      </w:r>
    </w:p>
    <w:p w14:paraId="103FEEB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协助质量管理部经理完成日常质量监督、检查及文档管理工作。</w:t>
      </w:r>
    </w:p>
    <w:p w14:paraId="5D822F2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 w:name="_Toc8807"/>
      <w:r>
        <w:rPr>
          <w:rFonts w:hint="eastAsia"/>
          <w:lang w:val="en-US" w:eastAsia="zh-CN"/>
        </w:rPr>
        <w:t>、客户满意度管理</w:t>
      </w:r>
      <w:bookmarkEnd w:id="12"/>
    </w:p>
    <w:p w14:paraId="6A4FF2A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16363"/>
      <w:r>
        <w:rPr>
          <w:rFonts w:hint="eastAsia"/>
          <w:lang w:val="en-US" w:eastAsia="zh-CN"/>
        </w:rPr>
        <w:t>、管理职责</w:t>
      </w:r>
      <w:bookmarkEnd w:id="13"/>
    </w:p>
    <w:p w14:paraId="7F33D92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是客户满意度管理的归口部门，负责策划、组织、实施公司级及重点项目的客户满意度调查工作。数智运营部及各运维项目经理负责日常客户关系的维护与即时反馈的收集，并配合落实满意度调查后的改进工作。</w:t>
      </w:r>
    </w:p>
    <w:p w14:paraId="09BA42B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 w:name="_Toc23656"/>
      <w:r>
        <w:rPr>
          <w:rFonts w:hint="eastAsia"/>
          <w:lang w:val="en-US" w:eastAsia="zh-CN"/>
        </w:rPr>
        <w:t>调查实施</w:t>
      </w:r>
      <w:bookmarkEnd w:id="14"/>
    </w:p>
    <w:p w14:paraId="0541871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策划：质量管理部每年至少策划并组织一次全面的年度客户满意度调查。对于重大项目，可在项目关键里程碑或结项时进行专项满意度调查。</w:t>
      </w:r>
    </w:p>
    <w:p w14:paraId="74E37E6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内容：调查内容应覆盖服务质量、服务态度、问题解决效率、沟通协作、合同履行情况等多个维度，并设置开放式意见栏。</w:t>
      </w:r>
    </w:p>
    <w:p w14:paraId="4FADC39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方式：采用问卷调查（线上/纸质）、电话访谈、现场座谈等多种形式相结合的方式进行，确保调查的广泛性与深入性。</w:t>
      </w:r>
    </w:p>
    <w:p w14:paraId="0971B2D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过程：质量管理专员负责调查工具的准备、发放、催收与回收，确保调查过程的合规性与信息的保密性。</w:t>
      </w:r>
    </w:p>
    <w:p w14:paraId="7FA075A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5" w:name="_Toc18433"/>
      <w:r>
        <w:rPr>
          <w:rFonts w:hint="eastAsia"/>
          <w:lang w:val="en-US" w:eastAsia="zh-CN"/>
        </w:rPr>
        <w:t>、结果分析与应用</w:t>
      </w:r>
      <w:bookmarkEnd w:id="15"/>
    </w:p>
    <w:p w14:paraId="079EF83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分析：质量管理部对回收的调查数据进行统计分析，计算整体满意度得分及各分项得分，识别优势项与待改进项，编写《客户满意度调查报告》。</w:t>
      </w:r>
    </w:p>
    <w:p w14:paraId="07E5B6D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沟通：调查报告应提交公司管理层审阅，并向相关服务交付部门（数智运营部）进行通报与沟通。</w:t>
      </w:r>
    </w:p>
    <w:p w14:paraId="50D41B8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改进：针对调查中反映的问题和建议，质量管理部应会同数智运营部等相关部门进行根本原因分析，制定具体的改进措施与计划，纳入改进管理流程进行跟踪落实。</w:t>
      </w:r>
    </w:p>
    <w:p w14:paraId="5BC75BB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闭环：重大问题的改进措施或结果，应通过适当方式向客户进行反馈，形成管理闭环。</w:t>
      </w:r>
    </w:p>
    <w:p w14:paraId="626D2EFF">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6" w:name="_Toc8564"/>
      <w:r>
        <w:rPr>
          <w:rFonts w:hint="eastAsia"/>
          <w:lang w:val="en-US" w:eastAsia="zh-CN"/>
        </w:rPr>
        <w:t>内部审核管理</w:t>
      </w:r>
      <w:bookmarkEnd w:id="16"/>
    </w:p>
    <w:p w14:paraId="3AD52EE0">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25110"/>
      <w:r>
        <w:rPr>
          <w:rFonts w:hint="eastAsia"/>
          <w:lang w:val="en-US" w:eastAsia="zh-CN"/>
        </w:rPr>
        <w:t>审核策划</w:t>
      </w:r>
      <w:bookmarkEnd w:id="17"/>
    </w:p>
    <w:p w14:paraId="2239062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方案：质量管理部经理负责制定《年度内部审核方案》，明确审核目的、范围、依据、频次（每年至少一次全面内审）、方法及审核组组成。</w:t>
      </w:r>
    </w:p>
    <w:p w14:paraId="20892E7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准备：成立内部审核组，审核员应经过培训且独立于被审核部门。审核前应编制检查表，并提前向受审核部门发出审核通知。</w:t>
      </w:r>
    </w:p>
    <w:p w14:paraId="7F5C66A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5170"/>
      <w:r>
        <w:rPr>
          <w:rFonts w:hint="eastAsia"/>
          <w:lang w:val="en-US" w:eastAsia="zh-CN"/>
        </w:rPr>
        <w:t>审核实施</w:t>
      </w:r>
      <w:bookmarkEnd w:id="18"/>
    </w:p>
    <w:p w14:paraId="1AA0EC2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首次会议：召开审核首次会议，明确审核计划与安排。</w:t>
      </w:r>
    </w:p>
    <w:p w14:paraId="3503644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现场审核：审核员通过访谈、查阅文件、记录及现场观察等方式，收集客观证据，评估质量管理体系运行的符合性与有效性。</w:t>
      </w:r>
    </w:p>
    <w:p w14:paraId="4BED935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记录：审核员详细记录审核发现，包括符合项与不符合项。</w:t>
      </w:r>
    </w:p>
    <w:p w14:paraId="28DB9B35">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9" w:name="_Toc20744"/>
      <w:r>
        <w:rPr>
          <w:rFonts w:hint="eastAsia"/>
          <w:lang w:val="en-US" w:eastAsia="zh-CN"/>
        </w:rPr>
        <w:t>审核报告与改进</w:t>
      </w:r>
      <w:bookmarkEnd w:id="19"/>
    </w:p>
    <w:p w14:paraId="0EF6C4D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末次会议：召开审核末次会议，通报审核发现。</w:t>
      </w:r>
    </w:p>
    <w:p w14:paraId="6A0DE46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报告：审核结束后，审核组编写《内部审核报告》，全面总结审核情况，列出不符合项及观察项。</w:t>
      </w:r>
    </w:p>
    <w:p w14:paraId="1D02A84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不符合项整改：受审核部门对不符合项进行原因分析，制定并实施纠正与预防措施。质量管理部（通常由质量管理专员负责）对纠正措施的实施情况进行跟踪验证，直至关闭。</w:t>
      </w:r>
    </w:p>
    <w:p w14:paraId="357944D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管理输入：内部审核结果作为管理评审的重要输入之一，用于评估体系整体绩效和寻求改进机会。</w:t>
      </w:r>
    </w:p>
    <w:p w14:paraId="2DC7B9DF">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0" w:name="_Toc21366"/>
      <w:r>
        <w:rPr>
          <w:rFonts w:hint="eastAsia"/>
          <w:lang w:val="en-US" w:eastAsia="zh-CN"/>
        </w:rPr>
        <w:t>管理评审</w:t>
      </w:r>
      <w:bookmarkEnd w:id="20"/>
    </w:p>
    <w:p w14:paraId="1B3F6E7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1" w:name="_Toc18950"/>
      <w:r>
        <w:rPr>
          <w:rFonts w:hint="eastAsia"/>
          <w:lang w:val="en-US" w:eastAsia="zh-CN"/>
        </w:rPr>
        <w:t>评审组织与策划</w:t>
      </w:r>
      <w:bookmarkEnd w:id="21"/>
    </w:p>
    <w:p w14:paraId="2AE12FE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频次：公司管理层每年至少组织一次管理评审，通常安排在年底或年初，以评估过去一年的体系绩效并规划未来。当公司战略、组织结构、市场环境发生重大变化时，可增加临时评审。</w:t>
      </w:r>
    </w:p>
    <w:p w14:paraId="3137DD0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组织：质量管理部经理负责管理评审的具体策划与组织工作，包括拟定评审计划、准备输入材料、发送会议通知等。</w:t>
      </w:r>
    </w:p>
    <w:p w14:paraId="5B19F62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参与人员：评审会议由公司最高管理者或指定副总主持，各运维相关部门（数智运营部、研究总院、人力部、质量管理部、应急管理部）经理及相关人员参加。</w:t>
      </w:r>
    </w:p>
    <w:p w14:paraId="5F00CD5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12989"/>
      <w:r>
        <w:rPr>
          <w:rFonts w:hint="eastAsia"/>
          <w:lang w:val="en-US" w:eastAsia="zh-CN"/>
        </w:rPr>
        <w:t>评审输入与准备</w:t>
      </w:r>
      <w:bookmarkEnd w:id="22"/>
    </w:p>
    <w:p w14:paraId="727BE37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评审输入信息应充分、准确，通常包括（但不限于）：</w:t>
      </w:r>
    </w:p>
    <w:p w14:paraId="2505333B">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内部审核和外部审核的结果。</w:t>
      </w:r>
    </w:p>
    <w:p w14:paraId="783CEC22">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客户满意度调查结果及客户反馈分析。</w:t>
      </w:r>
    </w:p>
    <w:p w14:paraId="1DF1E0C3">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运维服务过程绩效和服务目标的达成情况（SLA/KPI）。</w:t>
      </w:r>
    </w:p>
    <w:p w14:paraId="3E2B1C70">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以往管理评审决议的跟踪及实施情况。</w:t>
      </w:r>
    </w:p>
    <w:p w14:paraId="4E26A85F">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可能影响质量管理体系的内外部变化（如战略调整、法规更新、技术变革等）</w:t>
      </w:r>
    </w:p>
    <w:p w14:paraId="314FBE36">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纠正和预防措施的状况。</w:t>
      </w:r>
    </w:p>
    <w:p w14:paraId="23055B4E">
      <w:pPr>
        <w:pStyle w:val="29"/>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改进建议。</w:t>
      </w:r>
    </w:p>
    <w:p w14:paraId="4C72C68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各部门应在会前按要求准备并提交相关输入材料。</w:t>
      </w:r>
    </w:p>
    <w:p w14:paraId="31F55FD3">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3" w:name="_Toc405"/>
      <w:r>
        <w:rPr>
          <w:rFonts w:hint="eastAsia"/>
          <w:lang w:val="en-US" w:eastAsia="zh-CN"/>
        </w:rPr>
        <w:t>评审会议与输出</w:t>
      </w:r>
      <w:bookmarkEnd w:id="23"/>
    </w:p>
    <w:p w14:paraId="48FF8DD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会议议程：评审会议应对所有输入信息进行系统评价，评估质量管理体系的适宜性、充分性和有效性。</w:t>
      </w:r>
    </w:p>
    <w:p w14:paraId="0A0830E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评审输出：会议应形成明确的评审结论和决议，包括：</w:t>
      </w:r>
    </w:p>
    <w:p w14:paraId="57F01D66">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对质量管理体系及其过程有效性的改进决定。</w:t>
      </w:r>
    </w:p>
    <w:p w14:paraId="2E0CB4BB">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与客户要求相关的服务改进决定。</w:t>
      </w:r>
    </w:p>
    <w:p w14:paraId="0AF03B6A">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资源需求的决定。</w:t>
      </w:r>
    </w:p>
    <w:p w14:paraId="5096E2FD">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下一年度质量目标和关键绩效指标的调整或设定。</w:t>
      </w:r>
    </w:p>
    <w:p w14:paraId="6839260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报告：质量管理部根据会议记录和决议，编制正式的《管理评审报告》，经最高管理者批准后分发至相关部门。</w:t>
      </w:r>
    </w:p>
    <w:p w14:paraId="27177584">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4" w:name="_Toc28546"/>
      <w:r>
        <w:rPr>
          <w:rFonts w:hint="eastAsia"/>
          <w:lang w:val="en-US" w:eastAsia="zh-CN"/>
        </w:rPr>
        <w:t>决议跟踪与验证</w:t>
      </w:r>
      <w:bookmarkEnd w:id="24"/>
    </w:p>
    <w:p w14:paraId="5C8B210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任务分解：《管理评审报告》中明确的改进决议和行动项，由质量管理部负责分解到各责任部门。</w:t>
      </w:r>
    </w:p>
    <w:p w14:paraId="77D8483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跟踪落实：各责任部门制定具体的实施计划。质量管理专员负责跟踪各项决议和行动项的执行进度。</w:t>
      </w:r>
    </w:p>
    <w:p w14:paraId="78E382C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验证闭环：改进措施完成后，由质量管理部会同责任部门验证效果，确保管理评审输出得到有效落实，并作为下一次管理评审的输入。</w:t>
      </w:r>
    </w:p>
    <w:p w14:paraId="45AB25BE">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5" w:name="_Toc30223"/>
      <w:r>
        <w:rPr>
          <w:rFonts w:hint="eastAsia"/>
          <w:lang w:val="en-US" w:eastAsia="zh-CN"/>
        </w:rPr>
        <w:t>质量管理活动流程</w:t>
      </w:r>
      <w:bookmarkEnd w:id="25"/>
    </w:p>
    <w:p w14:paraId="793B446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6" w:name="_Toc4700"/>
      <w:r>
        <w:rPr>
          <w:rFonts w:hint="eastAsia"/>
          <w:lang w:val="en-US" w:eastAsia="zh-CN"/>
        </w:rPr>
        <w:t>流程总述</w:t>
      </w:r>
      <w:bookmarkEnd w:id="26"/>
    </w:p>
    <w:p w14:paraId="6B7DECF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运维服务质量管理是一个持续循环的过程，主要包括：质量目标策划、过程监控检查、数据分析、改进识别与实施、效果验证、满意度调查、内部审核及管理评审。</w:t>
      </w:r>
    </w:p>
    <w:p w14:paraId="609F43C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7" w:name="_Toc2757"/>
      <w:r>
        <w:rPr>
          <w:rFonts w:hint="eastAsia"/>
          <w:lang w:val="en-US" w:eastAsia="zh-CN"/>
        </w:rPr>
        <w:t>质量策划与目标设定</w:t>
      </w:r>
      <w:bookmarkEnd w:id="27"/>
    </w:p>
    <w:p w14:paraId="6BBD9F3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每年初，由质量管理部牵头，协同各相关部门，基于公司战略、客户要求及历史绩效，制定可量化的年度运维服务质量目标与关键指标（KPI），形成《年度质量目标计划》，报公司管理层批准后发布执行。</w:t>
      </w:r>
    </w:p>
    <w:p w14:paraId="764F4C3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8" w:name="_Toc25101"/>
      <w:r>
        <w:rPr>
          <w:rFonts w:hint="eastAsia"/>
          <w:lang w:val="en-US" w:eastAsia="zh-CN"/>
        </w:rPr>
        <w:t>质量监控与检查</w:t>
      </w:r>
      <w:bookmarkEnd w:id="28"/>
    </w:p>
    <w:p w14:paraId="3D18298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各服务执行部门（主要是数智运营部）按照既定流程和标准提供服务，并记录过程数据。</w:t>
      </w:r>
    </w:p>
    <w:p w14:paraId="2AC34062">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质量管理部通过定期（如月度、季度）检查、抽查、审核等方式，监控服务质量指标（KPI/SLA）的达成情况和服务过程的合规性。</w:t>
      </w:r>
    </w:p>
    <w:p w14:paraId="0CF5D1B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质量监控的数据来源包括：服务台记录、事件报告、变更记录、客户反馈、内部审核报告等。</w:t>
      </w:r>
    </w:p>
    <w:p w14:paraId="08926AC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9" w:name="_Toc24926"/>
      <w:r>
        <w:rPr>
          <w:rFonts w:hint="eastAsia"/>
          <w:lang w:val="en-US" w:eastAsia="zh-CN"/>
        </w:rPr>
        <w:t>数据分析与改进识别</w:t>
      </w:r>
      <w:bookmarkEnd w:id="29"/>
    </w:p>
    <w:p w14:paraId="1E2D25C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质量管理部定期（如每季度）对收集到的质量数据进行分析，识别趋势、异常和未达标项。</w:t>
      </w:r>
    </w:p>
    <w:p w14:paraId="7E97E5B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结合定期的服务评审会议、内部审核结果、管理评审输出以及客户满意度调查反馈，系统性地识别服务、流程、技术或人员能力方面的改进机会。</w:t>
      </w:r>
    </w:p>
    <w:p w14:paraId="1E03DCF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所有识别出的改进机会均应被记录和评估。</w:t>
      </w:r>
    </w:p>
    <w:p w14:paraId="3DEBFC9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0" w:name="_Toc16349"/>
      <w:r>
        <w:rPr>
          <w:rFonts w:hint="eastAsia"/>
          <w:lang w:val="en-US" w:eastAsia="zh-CN"/>
        </w:rPr>
        <w:t>改进实施与验证</w:t>
      </w:r>
      <w:bookmarkEnd w:id="30"/>
    </w:p>
    <w:p w14:paraId="58AEED5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对确认采纳的改进机会，由质量管理部或指定的责任部门制定详细的《改进实施计划》。</w:t>
      </w:r>
    </w:p>
    <w:p w14:paraId="4886C4A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改进措施的实施可按照《运维服务能力改进管理制度》执行，分为单个流程改进和跨部门综合改进。</w:t>
      </w:r>
    </w:p>
    <w:p w14:paraId="2109769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改进措施完成后，必须进行效果验证，确认是否达到预期目标。验证结果需记录归档。</w:t>
      </w:r>
    </w:p>
    <w:p w14:paraId="62941E4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1" w:name="_Toc2877"/>
      <w:r>
        <w:rPr>
          <w:rFonts w:hint="eastAsia"/>
          <w:lang w:val="en-US" w:eastAsia="zh-CN"/>
        </w:rPr>
        <w:t>知识固化</w:t>
      </w:r>
      <w:bookmarkEnd w:id="31"/>
    </w:p>
    <w:p w14:paraId="29E354F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所有成功的改进实践、经验教训以及更新的最佳实践，应由责任部门整理成知识文档（如SOP、案例库、培训材料），经审核后纳入公司服务知识库，实现知识的固化、分享与传承。</w:t>
      </w:r>
    </w:p>
    <w:p w14:paraId="5F000F46">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2" w:name="_Toc16375"/>
      <w:r>
        <w:rPr>
          <w:rFonts w:hint="eastAsia"/>
          <w:lang w:val="en-US" w:eastAsia="zh-CN"/>
        </w:rPr>
        <w:t>考核指标</w:t>
      </w:r>
    </w:p>
    <w:tbl>
      <w:tblPr>
        <w:tblW w:w="767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663"/>
        <w:gridCol w:w="1152"/>
        <w:gridCol w:w="3552"/>
        <w:gridCol w:w="1308"/>
      </w:tblGrid>
      <w:tr w14:paraId="16475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93" w:hRule="atLeast"/>
        </w:trPr>
        <w:tc>
          <w:tcPr>
            <w:tcW w:w="1663"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7ED74F25">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bdr w:val="none" w:color="auto" w:sz="0" w:space="0"/>
                <w:lang w:val="en-US" w:eastAsia="zh-CN" w:bidi="ar"/>
              </w:rPr>
              <w:t>KPI</w:t>
            </w:r>
          </w:p>
        </w:tc>
        <w:tc>
          <w:tcPr>
            <w:tcW w:w="1152"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51432508">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bdr w:val="none" w:color="auto" w:sz="0" w:space="0"/>
                <w:lang w:val="en-US" w:eastAsia="zh-CN" w:bidi="ar"/>
              </w:rPr>
              <w:t>目标值</w:t>
            </w:r>
          </w:p>
        </w:tc>
        <w:tc>
          <w:tcPr>
            <w:tcW w:w="3552"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43975C55">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bdr w:val="none" w:color="auto" w:sz="0" w:space="0"/>
                <w:lang w:val="en-US" w:eastAsia="zh-CN" w:bidi="ar"/>
              </w:rPr>
              <w:t>计算公式/方法</w:t>
            </w:r>
          </w:p>
        </w:tc>
        <w:tc>
          <w:tcPr>
            <w:tcW w:w="1308"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4F6E471C">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bdr w:val="none" w:color="auto" w:sz="0" w:space="0"/>
                <w:lang w:val="en-US" w:eastAsia="zh-CN" w:bidi="ar"/>
              </w:rPr>
              <w:t>频度</w:t>
            </w:r>
          </w:p>
        </w:tc>
      </w:tr>
      <w:tr w14:paraId="38874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93" w:hRule="atLeast"/>
        </w:trPr>
        <w:tc>
          <w:tcPr>
            <w:tcW w:w="16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539196">
            <w:pPr>
              <w:keepNext w:val="0"/>
              <w:keepLines w:val="0"/>
              <w:widowControl/>
              <w:suppressLineNumbers w:val="0"/>
              <w:ind w:left="0" w:leftChars="0" w:right="0" w:rightChars="0" w:firstLine="0" w:firstLineChars="0"/>
              <w:jc w:val="center"/>
              <w:textAlignment w:val="center"/>
              <w:rPr>
                <w:rFonts w:hint="default" w:ascii="楷体_GB2312" w:hAnsi="宋体" w:eastAsia="楷体_GB2312" w:cs="楷体_GB2312"/>
                <w:b/>
                <w:bCs/>
                <w:i w:val="0"/>
                <w:iCs w:val="0"/>
                <w:snapToGrid w:val="0"/>
                <w:color w:val="000000"/>
                <w:kern w:val="0"/>
                <w:sz w:val="22"/>
                <w:szCs w:val="22"/>
                <w:u w:val="none"/>
                <w:bdr w:val="none" w:color="auto" w:sz="0" w:space="0"/>
                <w:lang w:val="en-US" w:eastAsia="zh-CN" w:bidi="ar"/>
              </w:rPr>
            </w:pPr>
            <w:r>
              <w:rPr>
                <w:rFonts w:hint="eastAsia" w:ascii="宋体" w:hAnsi="宋体" w:eastAsia="宋体" w:cs="宋体"/>
                <w:i w:val="0"/>
                <w:iCs w:val="0"/>
                <w:snapToGrid w:val="0"/>
                <w:color w:val="000000"/>
                <w:kern w:val="0"/>
                <w:sz w:val="21"/>
                <w:szCs w:val="21"/>
                <w:u w:val="none"/>
                <w:lang w:val="en-US" w:eastAsia="zh-CN" w:bidi="ar"/>
              </w:rPr>
              <w:t>内审次数</w:t>
            </w:r>
          </w:p>
        </w:tc>
        <w:tc>
          <w:tcPr>
            <w:tcW w:w="11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0B85C7">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bdr w:val="none" w:color="auto" w:sz="0" w:space="0"/>
                <w:lang w:val="en-US" w:eastAsia="zh-CN" w:bidi="ar"/>
              </w:rPr>
            </w:pPr>
            <w:r>
              <w:rPr>
                <w:rFonts w:hint="eastAsia" w:ascii="宋体" w:hAnsi="宋体" w:eastAsia="宋体" w:cs="宋体"/>
                <w:i w:val="0"/>
                <w:iCs w:val="0"/>
                <w:snapToGrid w:val="0"/>
                <w:color w:val="000000"/>
                <w:kern w:val="0"/>
                <w:sz w:val="21"/>
                <w:szCs w:val="21"/>
                <w:u w:val="none"/>
                <w:lang w:val="en-US" w:eastAsia="zh-CN" w:bidi="ar"/>
              </w:rPr>
              <w:t>≥1次</w:t>
            </w:r>
          </w:p>
        </w:tc>
        <w:tc>
          <w:tcPr>
            <w:tcW w:w="3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FC6539">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bdr w:val="none" w:color="auto" w:sz="0" w:space="0"/>
                <w:lang w:val="en-US" w:eastAsia="zh-CN" w:bidi="ar"/>
              </w:rPr>
            </w:pPr>
            <w:r>
              <w:rPr>
                <w:rFonts w:hint="eastAsia" w:ascii="宋体" w:hAnsi="宋体" w:eastAsia="宋体" w:cs="宋体"/>
                <w:i w:val="0"/>
                <w:iCs w:val="0"/>
                <w:snapToGrid w:val="0"/>
                <w:color w:val="000000"/>
                <w:kern w:val="0"/>
                <w:sz w:val="21"/>
                <w:szCs w:val="21"/>
                <w:u w:val="none"/>
                <w:lang w:val="en-US" w:eastAsia="zh-CN" w:bidi="ar"/>
              </w:rPr>
              <w:t>数量，内审报告数量</w:t>
            </w:r>
          </w:p>
        </w:tc>
        <w:tc>
          <w:tcPr>
            <w:tcW w:w="13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3E3678">
            <w:pPr>
              <w:keepNext w:val="0"/>
              <w:keepLines w:val="0"/>
              <w:widowControl/>
              <w:suppressLineNumbers w:val="0"/>
              <w:jc w:val="left"/>
              <w:textAlignment w:val="center"/>
              <w:rPr>
                <w:rFonts w:hint="default" w:ascii="楷体_GB2312" w:hAnsi="宋体" w:eastAsia="楷体_GB2312" w:cs="楷体_GB2312"/>
                <w:b/>
                <w:bCs/>
                <w:i w:val="0"/>
                <w:iCs w:val="0"/>
                <w:snapToGrid w:val="0"/>
                <w:color w:val="000000"/>
                <w:kern w:val="0"/>
                <w:sz w:val="22"/>
                <w:szCs w:val="22"/>
                <w:u w:val="none"/>
                <w:bdr w:val="none" w:color="auto" w:sz="0" w:space="0"/>
                <w:lang w:val="en-US" w:eastAsia="zh-CN" w:bidi="ar"/>
              </w:rPr>
            </w:pPr>
            <w:r>
              <w:rPr>
                <w:rFonts w:hint="eastAsia" w:ascii="宋体" w:hAnsi="宋体" w:eastAsia="宋体" w:cs="宋体"/>
                <w:i w:val="0"/>
                <w:iCs w:val="0"/>
                <w:snapToGrid w:val="0"/>
                <w:color w:val="000000"/>
                <w:kern w:val="0"/>
                <w:sz w:val="21"/>
                <w:szCs w:val="21"/>
                <w:u w:val="none"/>
                <w:lang w:val="en-US" w:eastAsia="zh-CN" w:bidi="ar"/>
              </w:rPr>
              <w:t>年度</w:t>
            </w:r>
          </w:p>
        </w:tc>
      </w:tr>
      <w:tr w14:paraId="4AA885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93" w:hRule="atLeast"/>
        </w:trPr>
        <w:tc>
          <w:tcPr>
            <w:tcW w:w="16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97BA85">
            <w:pPr>
              <w:keepNext w:val="0"/>
              <w:keepLines w:val="0"/>
              <w:widowControl/>
              <w:suppressLineNumbers w:val="0"/>
              <w:ind w:left="0" w:leftChars="0" w:right="0" w:rightChars="0" w:firstLine="0" w:firstLineChars="0"/>
              <w:jc w:val="center"/>
              <w:textAlignment w:val="center"/>
              <w:rPr>
                <w:rFonts w:hint="eastAsia" w:ascii="宋体" w:hAnsi="宋体" w:eastAsia="宋体" w:cs="宋体"/>
                <w:i w:val="0"/>
                <w:iCs w:val="0"/>
                <w:snapToGrid w:val="0"/>
                <w:color w:val="000000"/>
                <w:kern w:val="0"/>
                <w:sz w:val="21"/>
                <w:szCs w:val="21"/>
                <w:u w:val="none"/>
                <w:lang w:val="en-US" w:eastAsia="zh-CN" w:bidi="ar"/>
              </w:rPr>
            </w:pPr>
            <w:r>
              <w:rPr>
                <w:rFonts w:hint="eastAsia" w:ascii="宋体" w:hAnsi="宋体" w:eastAsia="宋体" w:cs="宋体"/>
                <w:i w:val="0"/>
                <w:iCs w:val="0"/>
                <w:snapToGrid w:val="0"/>
                <w:color w:val="000000"/>
                <w:kern w:val="0"/>
                <w:sz w:val="21"/>
                <w:szCs w:val="21"/>
                <w:u w:val="none"/>
                <w:lang w:val="en-US" w:eastAsia="zh-CN" w:bidi="ar"/>
              </w:rPr>
              <w:t>管理评审次数</w:t>
            </w:r>
          </w:p>
        </w:tc>
        <w:tc>
          <w:tcPr>
            <w:tcW w:w="11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D850BF">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bidi="ar"/>
              </w:rPr>
            </w:pPr>
            <w:r>
              <w:rPr>
                <w:rFonts w:hint="eastAsia" w:ascii="宋体" w:hAnsi="宋体" w:eastAsia="宋体" w:cs="宋体"/>
                <w:i w:val="0"/>
                <w:iCs w:val="0"/>
                <w:snapToGrid w:val="0"/>
                <w:color w:val="000000"/>
                <w:kern w:val="0"/>
                <w:sz w:val="21"/>
                <w:szCs w:val="21"/>
                <w:u w:val="none"/>
                <w:lang w:val="en-US" w:eastAsia="zh-CN" w:bidi="ar"/>
              </w:rPr>
              <w:t>≥1次</w:t>
            </w:r>
          </w:p>
        </w:tc>
        <w:tc>
          <w:tcPr>
            <w:tcW w:w="3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91A5D0">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bidi="ar"/>
              </w:rPr>
            </w:pPr>
            <w:r>
              <w:rPr>
                <w:rFonts w:hint="eastAsia" w:ascii="宋体" w:hAnsi="宋体" w:eastAsia="宋体" w:cs="宋体"/>
                <w:i w:val="0"/>
                <w:iCs w:val="0"/>
                <w:snapToGrid w:val="0"/>
                <w:color w:val="000000"/>
                <w:kern w:val="0"/>
                <w:sz w:val="21"/>
                <w:szCs w:val="21"/>
                <w:u w:val="none"/>
                <w:bdr w:val="single" w:color="000000" w:sz="4" w:space="0"/>
                <w:shd w:val="clear" w:fill="FFFFFF"/>
                <w:lang w:val="en-US" w:eastAsia="zh-CN" w:bidi="ar"/>
              </w:rPr>
              <w:drawing>
                <wp:anchor distT="0" distB="0" distL="114300" distR="114300" simplePos="0" relativeHeight="251662336" behindDoc="0" locked="0" layoutInCell="1" allowOverlap="1">
                  <wp:simplePos x="0" y="0"/>
                  <wp:positionH relativeFrom="column">
                    <wp:posOffset>8890</wp:posOffset>
                  </wp:positionH>
                  <wp:positionV relativeFrom="paragraph">
                    <wp:posOffset>244475</wp:posOffset>
                  </wp:positionV>
                  <wp:extent cx="1351280" cy="296545"/>
                  <wp:effectExtent l="0" t="0" r="0" b="9525"/>
                  <wp:wrapNone/>
                  <wp:docPr id="6" name="文本框_4"/>
                  <wp:cNvGraphicFramePr/>
                  <a:graphic xmlns:a="http://schemas.openxmlformats.org/drawingml/2006/main">
                    <a:graphicData uri="http://schemas.openxmlformats.org/drawingml/2006/picture">
                      <pic:pic xmlns:pic="http://schemas.openxmlformats.org/drawingml/2006/picture">
                        <pic:nvPicPr>
                          <pic:cNvPr id="6" name="文本框_4"/>
                          <pic:cNvPicPr/>
                        </pic:nvPicPr>
                        <pic:blipFill>
                          <a:blip r:embed="rId10"/>
                          <a:stretch>
                            <a:fillRect/>
                          </a:stretch>
                        </pic:blipFill>
                        <pic:spPr>
                          <a:xfrm>
                            <a:off x="0" y="0"/>
                            <a:ext cx="1351280" cy="296545"/>
                          </a:xfrm>
                          <a:prstGeom prst="rect">
                            <a:avLst/>
                          </a:prstGeom>
                          <a:noFill/>
                          <a:ln>
                            <a:noFill/>
                          </a:ln>
                        </pic:spPr>
                      </pic:pic>
                    </a:graphicData>
                  </a:graphic>
                </wp:anchor>
              </w:drawing>
            </w:r>
            <w:r>
              <w:rPr>
                <w:rFonts w:hint="eastAsia" w:ascii="宋体" w:hAnsi="宋体" w:eastAsia="宋体" w:cs="宋体"/>
                <w:i w:val="0"/>
                <w:iCs w:val="0"/>
                <w:snapToGrid w:val="0"/>
                <w:color w:val="000000"/>
                <w:kern w:val="0"/>
                <w:sz w:val="21"/>
                <w:szCs w:val="21"/>
                <w:u w:val="none"/>
                <w:lang w:val="en-US" w:eastAsia="zh-CN" w:bidi="ar"/>
              </w:rPr>
              <w:t>数量，管理评审报告数量</w:t>
            </w:r>
          </w:p>
        </w:tc>
        <w:tc>
          <w:tcPr>
            <w:tcW w:w="13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D8516A">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bidi="ar"/>
              </w:rPr>
            </w:pPr>
            <w:r>
              <w:rPr>
                <w:rFonts w:hint="eastAsia" w:ascii="宋体" w:hAnsi="宋体" w:eastAsia="宋体" w:cs="宋体"/>
                <w:i w:val="0"/>
                <w:iCs w:val="0"/>
                <w:snapToGrid w:val="0"/>
                <w:color w:val="000000"/>
                <w:kern w:val="0"/>
                <w:sz w:val="21"/>
                <w:szCs w:val="21"/>
                <w:u w:val="none"/>
                <w:lang w:val="en-US" w:eastAsia="zh-CN" w:bidi="ar"/>
              </w:rPr>
              <w:t>年度</w:t>
            </w:r>
          </w:p>
        </w:tc>
      </w:tr>
      <w:tr w14:paraId="51D35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93" w:hRule="atLeast"/>
        </w:trPr>
        <w:tc>
          <w:tcPr>
            <w:tcW w:w="16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7F4E84">
            <w:pPr>
              <w:keepNext w:val="0"/>
              <w:keepLines w:val="0"/>
              <w:widowControl/>
              <w:suppressLineNumbers w:val="0"/>
              <w:ind w:left="0" w:leftChars="0" w:right="0" w:rightChars="0" w:firstLine="0" w:firstLineChars="0"/>
              <w:jc w:val="center"/>
              <w:textAlignment w:val="center"/>
              <w:rPr>
                <w:rFonts w:hint="eastAsia" w:ascii="宋体" w:hAnsi="宋体" w:eastAsia="宋体" w:cs="宋体"/>
                <w:i w:val="0"/>
                <w:iCs w:val="0"/>
                <w:snapToGrid w:val="0"/>
                <w:color w:val="000000"/>
                <w:kern w:val="0"/>
                <w:sz w:val="21"/>
                <w:szCs w:val="21"/>
                <w:u w:val="none"/>
                <w:lang w:val="en-US" w:eastAsia="zh-CN" w:bidi="ar"/>
              </w:rPr>
            </w:pPr>
            <w:r>
              <w:rPr>
                <w:rFonts w:hint="eastAsia" w:ascii="宋体" w:hAnsi="宋体" w:eastAsia="宋体" w:cs="宋体"/>
                <w:i w:val="0"/>
                <w:iCs w:val="0"/>
                <w:snapToGrid w:val="0"/>
                <w:color w:val="000000"/>
                <w:kern w:val="0"/>
                <w:sz w:val="21"/>
                <w:szCs w:val="21"/>
                <w:u w:val="none"/>
                <w:lang w:val="en-US" w:eastAsia="zh-CN" w:bidi="ar"/>
              </w:rPr>
              <w:t>客户满意度</w:t>
            </w:r>
          </w:p>
        </w:tc>
        <w:tc>
          <w:tcPr>
            <w:tcW w:w="11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BCD167">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bidi="ar"/>
              </w:rPr>
            </w:pPr>
            <w:r>
              <w:rPr>
                <w:rFonts w:hint="eastAsia" w:ascii="宋体" w:hAnsi="宋体" w:eastAsia="宋体" w:cs="宋体"/>
                <w:i w:val="0"/>
                <w:iCs w:val="0"/>
                <w:snapToGrid w:val="0"/>
                <w:color w:val="000000"/>
                <w:kern w:val="0"/>
                <w:sz w:val="21"/>
                <w:szCs w:val="21"/>
                <w:u w:val="none"/>
                <w:lang w:val="en-US" w:eastAsia="zh-CN" w:bidi="ar"/>
              </w:rPr>
              <w:t>≥90%</w:t>
            </w:r>
          </w:p>
        </w:tc>
        <w:tc>
          <w:tcPr>
            <w:tcW w:w="3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D40837">
            <w:pPr>
              <w:keepNext w:val="0"/>
              <w:keepLines w:val="0"/>
              <w:widowControl/>
              <w:suppressLineNumbers w:val="0"/>
              <w:jc w:val="right"/>
              <w:textAlignment w:val="center"/>
              <w:rPr>
                <w:rFonts w:hint="eastAsia" w:ascii="宋体" w:hAnsi="宋体" w:eastAsia="宋体" w:cs="宋体"/>
                <w:i w:val="0"/>
                <w:iCs w:val="0"/>
                <w:snapToGrid w:val="0"/>
                <w:color w:val="000000"/>
                <w:kern w:val="0"/>
                <w:sz w:val="21"/>
                <w:szCs w:val="21"/>
                <w:u w:val="none"/>
                <w:lang w:val="en-US" w:eastAsia="zh-CN" w:bidi="ar"/>
              </w:rPr>
            </w:pPr>
          </w:p>
        </w:tc>
        <w:tc>
          <w:tcPr>
            <w:tcW w:w="13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992B9">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bidi="ar"/>
              </w:rPr>
            </w:pPr>
            <w:r>
              <w:rPr>
                <w:rFonts w:hint="eastAsia" w:ascii="宋体" w:hAnsi="宋体" w:eastAsia="宋体" w:cs="宋体"/>
                <w:i w:val="0"/>
                <w:iCs w:val="0"/>
                <w:snapToGrid w:val="0"/>
                <w:color w:val="000000"/>
                <w:kern w:val="0"/>
                <w:sz w:val="21"/>
                <w:szCs w:val="21"/>
                <w:u w:val="none"/>
                <w:lang w:val="en-US" w:eastAsia="zh-CN" w:bidi="ar"/>
              </w:rPr>
              <w:t>半年度</w:t>
            </w:r>
          </w:p>
        </w:tc>
      </w:tr>
      <w:tr w14:paraId="19D625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493" w:hRule="atLeast"/>
        </w:trPr>
        <w:tc>
          <w:tcPr>
            <w:tcW w:w="16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726C71">
            <w:pPr>
              <w:keepNext w:val="0"/>
              <w:keepLines w:val="0"/>
              <w:widowControl/>
              <w:suppressLineNumbers w:val="0"/>
              <w:ind w:left="0" w:leftChars="0" w:right="0" w:rightChars="0" w:firstLine="0" w:firstLineChars="0"/>
              <w:jc w:val="center"/>
              <w:textAlignment w:val="center"/>
              <w:rPr>
                <w:rFonts w:hint="eastAsia" w:ascii="宋体" w:hAnsi="宋体" w:eastAsia="宋体" w:cs="宋体"/>
                <w:i w:val="0"/>
                <w:iCs w:val="0"/>
                <w:snapToGrid w:val="0"/>
                <w:color w:val="000000"/>
                <w:kern w:val="0"/>
                <w:sz w:val="21"/>
                <w:szCs w:val="21"/>
                <w:u w:val="none"/>
                <w:lang w:val="en-US" w:eastAsia="zh-CN" w:bidi="ar"/>
              </w:rPr>
            </w:pPr>
            <w:r>
              <w:rPr>
                <w:rFonts w:hint="eastAsia" w:ascii="宋体" w:hAnsi="宋体" w:eastAsia="宋体" w:cs="宋体"/>
                <w:i w:val="0"/>
                <w:iCs w:val="0"/>
                <w:snapToGrid w:val="0"/>
                <w:color w:val="000000"/>
                <w:kern w:val="0"/>
                <w:sz w:val="21"/>
                <w:szCs w:val="21"/>
                <w:u w:val="none"/>
                <w:lang w:val="en-US" w:eastAsia="zh-CN" w:bidi="ar"/>
              </w:rPr>
              <w:t>客户投诉次数</w:t>
            </w:r>
          </w:p>
        </w:tc>
        <w:tc>
          <w:tcPr>
            <w:tcW w:w="11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8E5531">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bidi="ar"/>
              </w:rPr>
            </w:pPr>
            <w:r>
              <w:rPr>
                <w:rFonts w:hint="eastAsia" w:ascii="宋体" w:hAnsi="宋体" w:eastAsia="宋体" w:cs="宋体"/>
                <w:i w:val="0"/>
                <w:iCs w:val="0"/>
                <w:snapToGrid w:val="0"/>
                <w:color w:val="000000"/>
                <w:kern w:val="0"/>
                <w:sz w:val="21"/>
                <w:szCs w:val="21"/>
                <w:u w:val="none"/>
                <w:lang w:val="en-US" w:eastAsia="zh-CN" w:bidi="ar"/>
              </w:rPr>
              <w:t>≤2次</w:t>
            </w:r>
          </w:p>
        </w:tc>
        <w:tc>
          <w:tcPr>
            <w:tcW w:w="355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20FA49">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bidi="ar"/>
              </w:rPr>
            </w:pPr>
            <w:r>
              <w:rPr>
                <w:rFonts w:hint="eastAsia" w:ascii="宋体" w:hAnsi="宋体" w:eastAsia="宋体" w:cs="宋体"/>
                <w:i w:val="0"/>
                <w:iCs w:val="0"/>
                <w:snapToGrid w:val="0"/>
                <w:color w:val="000000"/>
                <w:kern w:val="0"/>
                <w:sz w:val="21"/>
                <w:szCs w:val="21"/>
                <w:u w:val="none"/>
                <w:lang w:val="en-US" w:eastAsia="zh-CN" w:bidi="ar"/>
              </w:rPr>
              <w:t>每年客户投诉数量</w:t>
            </w:r>
          </w:p>
        </w:tc>
        <w:tc>
          <w:tcPr>
            <w:tcW w:w="13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FEA3C3">
            <w:pPr>
              <w:keepNext w:val="0"/>
              <w:keepLines w:val="0"/>
              <w:widowControl/>
              <w:suppressLineNumbers w:val="0"/>
              <w:jc w:val="left"/>
              <w:textAlignment w:val="center"/>
              <w:rPr>
                <w:rFonts w:hint="eastAsia" w:ascii="宋体" w:hAnsi="宋体" w:eastAsia="宋体" w:cs="宋体"/>
                <w:i w:val="0"/>
                <w:iCs w:val="0"/>
                <w:snapToGrid w:val="0"/>
                <w:color w:val="000000"/>
                <w:kern w:val="0"/>
                <w:sz w:val="21"/>
                <w:szCs w:val="21"/>
                <w:u w:val="none"/>
                <w:lang w:val="en-US" w:eastAsia="zh-CN" w:bidi="ar"/>
              </w:rPr>
            </w:pPr>
            <w:r>
              <w:rPr>
                <w:rFonts w:hint="eastAsia" w:ascii="宋体" w:hAnsi="宋体" w:eastAsia="宋体" w:cs="宋体"/>
                <w:i w:val="0"/>
                <w:iCs w:val="0"/>
                <w:snapToGrid w:val="0"/>
                <w:color w:val="000000"/>
                <w:kern w:val="0"/>
                <w:sz w:val="21"/>
                <w:szCs w:val="21"/>
                <w:u w:val="none"/>
                <w:lang w:val="en-US" w:eastAsia="zh-CN" w:bidi="ar"/>
              </w:rPr>
              <w:t>年度</w:t>
            </w:r>
          </w:p>
        </w:tc>
      </w:tr>
    </w:tbl>
    <w:p w14:paraId="67B28063">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附则</w:t>
      </w:r>
      <w:bookmarkEnd w:id="32"/>
      <w:bookmarkStart w:id="33" w:name="_GoBack"/>
      <w:bookmarkEnd w:id="33"/>
    </w:p>
    <w:p w14:paraId="306CB21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本制度由质量管理部负责解释与修订。</w:t>
      </w:r>
    </w:p>
    <w:p w14:paraId="5398E0A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本制度自发布之日起正式实施，原相关管理规定与本制度不一致的，以本制度为准。</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7600EA">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F15EAC7"/>
    <w:multiLevelType w:val="singleLevel"/>
    <w:tmpl w:val="AF15EAC7"/>
    <w:lvl w:ilvl="0" w:tentative="0">
      <w:start w:val="1"/>
      <w:numFmt w:val="decimal"/>
      <w:lvlText w:val="%1."/>
      <w:lvlJc w:val="left"/>
      <w:pPr>
        <w:ind w:left="425" w:hanging="425"/>
      </w:pPr>
      <w:rPr>
        <w:rFonts w:hint="default"/>
      </w:rPr>
    </w:lvl>
  </w:abstractNum>
  <w:abstractNum w:abstractNumId="2">
    <w:nsid w:val="B2F45703"/>
    <w:multiLevelType w:val="singleLevel"/>
    <w:tmpl w:val="B2F45703"/>
    <w:lvl w:ilvl="0" w:tentative="0">
      <w:start w:val="1"/>
      <w:numFmt w:val="decimal"/>
      <w:lvlText w:val="%1."/>
      <w:lvlJc w:val="left"/>
      <w:pPr>
        <w:ind w:left="425" w:hanging="425"/>
      </w:pPr>
      <w:rPr>
        <w:rFonts w:hint="default"/>
      </w:rPr>
    </w:lvl>
  </w:abstractNum>
  <w:abstractNum w:abstractNumId="3">
    <w:nsid w:val="D46F6FA1"/>
    <w:multiLevelType w:val="singleLevel"/>
    <w:tmpl w:val="D46F6FA1"/>
    <w:lvl w:ilvl="0" w:tentative="0">
      <w:start w:val="1"/>
      <w:numFmt w:val="decimal"/>
      <w:lvlText w:val="%1."/>
      <w:lvlJc w:val="left"/>
      <w:pPr>
        <w:ind w:left="425" w:hanging="425"/>
      </w:pPr>
      <w:rPr>
        <w:rFonts w:hint="default"/>
      </w:rPr>
    </w:lvl>
  </w:abstractNum>
  <w:abstractNum w:abstractNumId="4">
    <w:nsid w:val="0871B627"/>
    <w:multiLevelType w:val="singleLevel"/>
    <w:tmpl w:val="0871B627"/>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B37461"/>
    <w:rsid w:val="01722330"/>
    <w:rsid w:val="019E71F3"/>
    <w:rsid w:val="06782196"/>
    <w:rsid w:val="074B5B93"/>
    <w:rsid w:val="07691ADF"/>
    <w:rsid w:val="082536E7"/>
    <w:rsid w:val="097F383C"/>
    <w:rsid w:val="0C0A1AE2"/>
    <w:rsid w:val="12E3308D"/>
    <w:rsid w:val="131D26E3"/>
    <w:rsid w:val="16442095"/>
    <w:rsid w:val="18C354F3"/>
    <w:rsid w:val="190D676E"/>
    <w:rsid w:val="1AB377E9"/>
    <w:rsid w:val="1CDD0B4D"/>
    <w:rsid w:val="21EA5DD8"/>
    <w:rsid w:val="22433200"/>
    <w:rsid w:val="23AD6BA5"/>
    <w:rsid w:val="266D2F42"/>
    <w:rsid w:val="26D134D1"/>
    <w:rsid w:val="2BC4506F"/>
    <w:rsid w:val="2D9B65E7"/>
    <w:rsid w:val="2F4F7689"/>
    <w:rsid w:val="30FF6E8C"/>
    <w:rsid w:val="311B0D72"/>
    <w:rsid w:val="359619A4"/>
    <w:rsid w:val="35B00755"/>
    <w:rsid w:val="36405F7D"/>
    <w:rsid w:val="391D25A6"/>
    <w:rsid w:val="39202096"/>
    <w:rsid w:val="3BF34742"/>
    <w:rsid w:val="410A78B3"/>
    <w:rsid w:val="41436921"/>
    <w:rsid w:val="45EF0027"/>
    <w:rsid w:val="47653A95"/>
    <w:rsid w:val="49520049"/>
    <w:rsid w:val="4BDE3E16"/>
    <w:rsid w:val="4C9E7102"/>
    <w:rsid w:val="504B4BA7"/>
    <w:rsid w:val="51A258E6"/>
    <w:rsid w:val="54601C62"/>
    <w:rsid w:val="573C7C43"/>
    <w:rsid w:val="57521BC7"/>
    <w:rsid w:val="5980650D"/>
    <w:rsid w:val="5AA47FD9"/>
    <w:rsid w:val="5C966047"/>
    <w:rsid w:val="5FFC4413"/>
    <w:rsid w:val="60F86848"/>
    <w:rsid w:val="63DB04DC"/>
    <w:rsid w:val="64C22AF0"/>
    <w:rsid w:val="669E4476"/>
    <w:rsid w:val="6727621A"/>
    <w:rsid w:val="6A1F5F23"/>
    <w:rsid w:val="6B016D82"/>
    <w:rsid w:val="6B7E4876"/>
    <w:rsid w:val="6D855A48"/>
    <w:rsid w:val="714B0D57"/>
    <w:rsid w:val="7D734267"/>
    <w:rsid w:val="7F5434CC"/>
    <w:rsid w:val="7FA426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3870</Words>
  <Characters>4034</Characters>
  <Lines>0</Lines>
  <Paragraphs>0</Paragraphs>
  <TotalTime>0</TotalTime>
  <ScaleCrop>false</ScaleCrop>
  <LinksUpToDate>false</LinksUpToDate>
  <CharactersWithSpaces>4166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2026-01-20T08:44:49Z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