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DC70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1715"/>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55CD741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9246"/>
      <w:r>
        <w:rPr>
          <w:rFonts w:hint="eastAsia"/>
          <w:lang w:val="en-US" w:eastAsia="zh-CN"/>
        </w:rPr>
        <w:t>运维服务内审管理制度</w:t>
      </w:r>
      <w:bookmarkEnd w:id="1"/>
    </w:p>
    <w:p w14:paraId="6A5E639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B43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E7BF1C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544909A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A9A6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9D5E5D8">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1A29D8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E71C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8E1326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2FEEB6E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EB8E427">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9ADECB9">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B62DEC8">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6E348B6">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B35544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_Toc31715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_Toc31715 \h </w:instrText>
          </w:r>
          <w:r>
            <w:fldChar w:fldCharType="separate"/>
          </w:r>
          <w:r>
            <w:t>1</w:t>
          </w:r>
          <w:r>
            <w:fldChar w:fldCharType="end"/>
          </w:r>
          <w:r>
            <w:rPr>
              <w:rFonts w:hint="eastAsia" w:ascii="宋体" w:hAnsi="宋体" w:eastAsia="宋体" w:cs="宋体"/>
              <w:szCs w:val="24"/>
            </w:rPr>
            <w:fldChar w:fldCharType="end"/>
          </w:r>
        </w:p>
        <w:p w14:paraId="74381F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_Toc9246 </w:instrText>
          </w:r>
          <w:r>
            <w:rPr>
              <w:rFonts w:hint="eastAsia" w:ascii="宋体" w:hAnsi="宋体" w:eastAsia="宋体" w:cs="宋体"/>
              <w:szCs w:val="24"/>
            </w:rPr>
            <w:fldChar w:fldCharType="separate"/>
          </w:r>
          <w:r>
            <w:rPr>
              <w:rFonts w:hint="eastAsia"/>
              <w:lang w:val="en-US" w:eastAsia="zh-CN"/>
            </w:rPr>
            <w:t>运维服务内审管理制度</w:t>
          </w:r>
          <w:r>
            <w:tab/>
          </w:r>
          <w:r>
            <w:fldChar w:fldCharType="begin"/>
          </w:r>
          <w:r>
            <w:instrText xml:space="preserve"> PAGEREF _Toc9246 \h </w:instrText>
          </w:r>
          <w:r>
            <w:fldChar w:fldCharType="separate"/>
          </w:r>
          <w:r>
            <w:t>1</w:t>
          </w:r>
          <w:r>
            <w:fldChar w:fldCharType="end"/>
          </w:r>
          <w:r>
            <w:rPr>
              <w:rFonts w:hint="eastAsia" w:ascii="宋体" w:hAnsi="宋体" w:eastAsia="宋体" w:cs="宋体"/>
              <w:szCs w:val="24"/>
            </w:rPr>
            <w:fldChar w:fldCharType="end"/>
          </w:r>
        </w:p>
        <w:p w14:paraId="2ACD9B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_Toc14165 </w:instrText>
          </w:r>
          <w:r>
            <w:rPr>
              <w:rFonts w:hint="eastAsia" w:ascii="宋体" w:hAnsi="宋体" w:eastAsia="宋体" w:cs="宋体"/>
              <w:szCs w:val="24"/>
            </w:rPr>
            <w:fldChar w:fldCharType="separate"/>
          </w:r>
          <w:r>
            <w:rPr>
              <w:rFonts w:hint="default"/>
              <w:lang w:val="en-US" w:eastAsia="zh-CN"/>
            </w:rPr>
            <w:t>1. 目的</w:t>
          </w:r>
          <w:r>
            <w:tab/>
          </w:r>
          <w:r>
            <w:fldChar w:fldCharType="begin"/>
          </w:r>
          <w:r>
            <w:instrText xml:space="preserve"> PAGEREF _Toc14165 \h </w:instrText>
          </w:r>
          <w:r>
            <w:fldChar w:fldCharType="separate"/>
          </w:r>
          <w:r>
            <w:t>4</w:t>
          </w:r>
          <w:r>
            <w:fldChar w:fldCharType="end"/>
          </w:r>
          <w:r>
            <w:rPr>
              <w:rFonts w:hint="eastAsia" w:ascii="宋体" w:hAnsi="宋体" w:eastAsia="宋体" w:cs="宋体"/>
              <w:szCs w:val="24"/>
            </w:rPr>
            <w:fldChar w:fldCharType="end"/>
          </w:r>
        </w:p>
        <w:p w14:paraId="4D3CA65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_Toc5159 </w:instrText>
          </w:r>
          <w:r>
            <w:rPr>
              <w:rFonts w:hint="eastAsia" w:ascii="宋体" w:hAnsi="宋体" w:eastAsia="宋体" w:cs="宋体"/>
              <w:szCs w:val="24"/>
            </w:rPr>
            <w:fldChar w:fldCharType="separate"/>
          </w:r>
          <w:r>
            <w:rPr>
              <w:rFonts w:hint="default"/>
              <w:lang w:val="en-US" w:eastAsia="zh-CN"/>
            </w:rPr>
            <w:t>2. 适用范围</w:t>
          </w:r>
          <w:r>
            <w:tab/>
          </w:r>
          <w:r>
            <w:fldChar w:fldCharType="begin"/>
          </w:r>
          <w:r>
            <w:instrText xml:space="preserve"> PAGEREF _Toc5159 \h </w:instrText>
          </w:r>
          <w:r>
            <w:fldChar w:fldCharType="separate"/>
          </w:r>
          <w:r>
            <w:t>4</w:t>
          </w:r>
          <w:r>
            <w:fldChar w:fldCharType="end"/>
          </w:r>
          <w:r>
            <w:rPr>
              <w:rFonts w:hint="eastAsia" w:ascii="宋体" w:hAnsi="宋体" w:eastAsia="宋体" w:cs="宋体"/>
              <w:szCs w:val="24"/>
            </w:rPr>
            <w:fldChar w:fldCharType="end"/>
          </w:r>
        </w:p>
        <w:p w14:paraId="7585D09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_Toc19392 </w:instrText>
          </w:r>
          <w:r>
            <w:rPr>
              <w:rFonts w:hint="eastAsia" w:ascii="宋体" w:hAnsi="宋体" w:eastAsia="宋体" w:cs="宋体"/>
              <w:szCs w:val="24"/>
            </w:rPr>
            <w:fldChar w:fldCharType="separate"/>
          </w:r>
          <w:r>
            <w:rPr>
              <w:rFonts w:hint="default"/>
              <w:lang w:val="en-US" w:eastAsia="zh-CN"/>
            </w:rPr>
            <w:t>3. 职责</w:t>
          </w:r>
          <w:r>
            <w:tab/>
          </w:r>
          <w:r>
            <w:fldChar w:fldCharType="begin"/>
          </w:r>
          <w:r>
            <w:instrText xml:space="preserve"> PAGEREF _Toc19392 \h </w:instrText>
          </w:r>
          <w:r>
            <w:fldChar w:fldCharType="separate"/>
          </w:r>
          <w:r>
            <w:t>4</w:t>
          </w:r>
          <w:r>
            <w:fldChar w:fldCharType="end"/>
          </w:r>
          <w:r>
            <w:rPr>
              <w:rFonts w:hint="eastAsia" w:ascii="宋体" w:hAnsi="宋体" w:eastAsia="宋体" w:cs="宋体"/>
              <w:szCs w:val="24"/>
            </w:rPr>
            <w:fldChar w:fldCharType="end"/>
          </w:r>
        </w:p>
        <w:p w14:paraId="531816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_Toc18039 </w:instrText>
          </w:r>
          <w:r>
            <w:rPr>
              <w:rFonts w:hint="eastAsia" w:ascii="宋体" w:hAnsi="宋体" w:eastAsia="宋体" w:cs="宋体"/>
              <w:szCs w:val="24"/>
            </w:rPr>
            <w:fldChar w:fldCharType="separate"/>
          </w:r>
          <w:r>
            <w:rPr>
              <w:rFonts w:hint="default"/>
              <w:lang w:val="en-US" w:eastAsia="zh-CN"/>
            </w:rPr>
            <w:t>3.1. 质量管理部</w:t>
          </w:r>
          <w:r>
            <w:tab/>
          </w:r>
          <w:r>
            <w:fldChar w:fldCharType="begin"/>
          </w:r>
          <w:r>
            <w:instrText xml:space="preserve"> PAGEREF _Toc18039 \h </w:instrText>
          </w:r>
          <w:r>
            <w:fldChar w:fldCharType="separate"/>
          </w:r>
          <w:r>
            <w:t>4</w:t>
          </w:r>
          <w:r>
            <w:fldChar w:fldCharType="end"/>
          </w:r>
          <w:r>
            <w:rPr>
              <w:rFonts w:hint="eastAsia" w:ascii="宋体" w:hAnsi="宋体" w:eastAsia="宋体" w:cs="宋体"/>
              <w:szCs w:val="24"/>
            </w:rPr>
            <w:fldChar w:fldCharType="end"/>
          </w:r>
        </w:p>
        <w:p w14:paraId="1BE9F1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_Toc3771 </w:instrText>
          </w:r>
          <w:r>
            <w:rPr>
              <w:rFonts w:hint="eastAsia" w:ascii="宋体" w:hAnsi="宋体" w:eastAsia="宋体" w:cs="宋体"/>
              <w:szCs w:val="24"/>
            </w:rPr>
            <w:fldChar w:fldCharType="separate"/>
          </w:r>
          <w:r>
            <w:rPr>
              <w:rFonts w:hint="default"/>
              <w:lang w:val="en-US" w:eastAsia="zh-CN"/>
            </w:rPr>
            <w:t>3.2. 审核组长</w:t>
          </w:r>
          <w:r>
            <w:tab/>
          </w:r>
          <w:r>
            <w:fldChar w:fldCharType="begin"/>
          </w:r>
          <w:r>
            <w:instrText xml:space="preserve"> PAGEREF _Toc3771 \h </w:instrText>
          </w:r>
          <w:r>
            <w:fldChar w:fldCharType="separate"/>
          </w:r>
          <w:r>
            <w:t>4</w:t>
          </w:r>
          <w:r>
            <w:fldChar w:fldCharType="end"/>
          </w:r>
          <w:r>
            <w:rPr>
              <w:rFonts w:hint="eastAsia" w:ascii="宋体" w:hAnsi="宋体" w:eastAsia="宋体" w:cs="宋体"/>
              <w:szCs w:val="24"/>
            </w:rPr>
            <w:fldChar w:fldCharType="end"/>
          </w:r>
        </w:p>
        <w:p w14:paraId="1333EA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_Toc30183 </w:instrText>
          </w:r>
          <w:r>
            <w:rPr>
              <w:rFonts w:hint="eastAsia" w:ascii="宋体" w:hAnsi="宋体" w:eastAsia="宋体" w:cs="宋体"/>
              <w:szCs w:val="24"/>
            </w:rPr>
            <w:fldChar w:fldCharType="separate"/>
          </w:r>
          <w:r>
            <w:rPr>
              <w:rFonts w:hint="default"/>
              <w:lang w:val="en-US" w:eastAsia="zh-CN"/>
            </w:rPr>
            <w:t>3.3. 内审员</w:t>
          </w:r>
          <w:r>
            <w:tab/>
          </w:r>
          <w:r>
            <w:fldChar w:fldCharType="begin"/>
          </w:r>
          <w:r>
            <w:instrText xml:space="preserve"> PAGEREF _Toc30183 \h </w:instrText>
          </w:r>
          <w:r>
            <w:fldChar w:fldCharType="separate"/>
          </w:r>
          <w:r>
            <w:t>4</w:t>
          </w:r>
          <w:r>
            <w:fldChar w:fldCharType="end"/>
          </w:r>
          <w:r>
            <w:rPr>
              <w:rFonts w:hint="eastAsia" w:ascii="宋体" w:hAnsi="宋体" w:eastAsia="宋体" w:cs="宋体"/>
              <w:szCs w:val="24"/>
            </w:rPr>
            <w:fldChar w:fldCharType="end"/>
          </w:r>
        </w:p>
        <w:p w14:paraId="562B12E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_Toc1264 </w:instrText>
          </w:r>
          <w:r>
            <w:rPr>
              <w:rFonts w:hint="eastAsia" w:ascii="宋体" w:hAnsi="宋体" w:eastAsia="宋体" w:cs="宋体"/>
              <w:szCs w:val="24"/>
            </w:rPr>
            <w:fldChar w:fldCharType="separate"/>
          </w:r>
          <w:r>
            <w:rPr>
              <w:rFonts w:hint="default"/>
              <w:lang w:val="en-US" w:eastAsia="zh-CN"/>
            </w:rPr>
            <w:t>3.4. 受审核部门（数智运营部、研究总院、人力部、应急管理部等）</w:t>
          </w:r>
          <w:r>
            <w:tab/>
          </w:r>
          <w:r>
            <w:fldChar w:fldCharType="begin"/>
          </w:r>
          <w:r>
            <w:instrText xml:space="preserve"> PAGEREF _Toc1264 \h </w:instrText>
          </w:r>
          <w:r>
            <w:fldChar w:fldCharType="separate"/>
          </w:r>
          <w:r>
            <w:t>5</w:t>
          </w:r>
          <w:r>
            <w:fldChar w:fldCharType="end"/>
          </w:r>
          <w:r>
            <w:rPr>
              <w:rFonts w:hint="eastAsia" w:ascii="宋体" w:hAnsi="宋体" w:eastAsia="宋体" w:cs="宋体"/>
              <w:szCs w:val="24"/>
            </w:rPr>
            <w:fldChar w:fldCharType="end"/>
          </w:r>
        </w:p>
        <w:p w14:paraId="797428D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_Toc15582 </w:instrText>
          </w:r>
          <w:r>
            <w:rPr>
              <w:rFonts w:hint="eastAsia" w:ascii="宋体" w:hAnsi="宋体" w:eastAsia="宋体" w:cs="宋体"/>
              <w:szCs w:val="24"/>
            </w:rPr>
            <w:fldChar w:fldCharType="separate"/>
          </w:r>
          <w:r>
            <w:rPr>
              <w:rFonts w:hint="default"/>
              <w:lang w:val="en-US" w:eastAsia="zh-CN"/>
            </w:rPr>
            <w:t>4. 工作程序</w:t>
          </w:r>
          <w:r>
            <w:tab/>
          </w:r>
          <w:r>
            <w:fldChar w:fldCharType="begin"/>
          </w:r>
          <w:r>
            <w:instrText xml:space="preserve"> PAGEREF _Toc15582 \h </w:instrText>
          </w:r>
          <w:r>
            <w:fldChar w:fldCharType="separate"/>
          </w:r>
          <w:r>
            <w:t>5</w:t>
          </w:r>
          <w:r>
            <w:fldChar w:fldCharType="end"/>
          </w:r>
          <w:r>
            <w:rPr>
              <w:rFonts w:hint="eastAsia" w:ascii="宋体" w:hAnsi="宋体" w:eastAsia="宋体" w:cs="宋体"/>
              <w:szCs w:val="24"/>
            </w:rPr>
            <w:fldChar w:fldCharType="end"/>
          </w:r>
        </w:p>
        <w:p w14:paraId="56586FE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_Toc3558 </w:instrText>
          </w:r>
          <w:r>
            <w:rPr>
              <w:rFonts w:hint="eastAsia" w:ascii="宋体" w:hAnsi="宋体" w:eastAsia="宋体" w:cs="宋体"/>
              <w:szCs w:val="24"/>
            </w:rPr>
            <w:fldChar w:fldCharType="separate"/>
          </w:r>
          <w:r>
            <w:rPr>
              <w:rFonts w:hint="default"/>
              <w:lang w:val="en-US" w:eastAsia="zh-CN"/>
            </w:rPr>
            <w:t>4.1. 审核频次与时机</w:t>
          </w:r>
          <w:r>
            <w:tab/>
          </w:r>
          <w:r>
            <w:fldChar w:fldCharType="begin"/>
          </w:r>
          <w:r>
            <w:instrText xml:space="preserve"> PAGEREF _Toc3558 \h </w:instrText>
          </w:r>
          <w:r>
            <w:fldChar w:fldCharType="separate"/>
          </w:r>
          <w:r>
            <w:t>5</w:t>
          </w:r>
          <w:r>
            <w:fldChar w:fldCharType="end"/>
          </w:r>
          <w:r>
            <w:rPr>
              <w:rFonts w:hint="eastAsia" w:ascii="宋体" w:hAnsi="宋体" w:eastAsia="宋体" w:cs="宋体"/>
              <w:szCs w:val="24"/>
            </w:rPr>
            <w:fldChar w:fldCharType="end"/>
          </w:r>
        </w:p>
        <w:p w14:paraId="5C5C395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_Toc30849 </w:instrText>
          </w:r>
          <w:r>
            <w:rPr>
              <w:rFonts w:hint="eastAsia" w:ascii="宋体" w:hAnsi="宋体" w:eastAsia="宋体" w:cs="宋体"/>
              <w:szCs w:val="24"/>
            </w:rPr>
            <w:fldChar w:fldCharType="separate"/>
          </w:r>
          <w:r>
            <w:rPr>
              <w:rFonts w:hint="default"/>
              <w:lang w:val="en-US" w:eastAsia="zh-CN"/>
            </w:rPr>
            <w:t>4.2. 审核策划</w:t>
          </w:r>
          <w:r>
            <w:tab/>
          </w:r>
          <w:r>
            <w:fldChar w:fldCharType="begin"/>
          </w:r>
          <w:r>
            <w:instrText xml:space="preserve"> PAGEREF _Toc30849 \h </w:instrText>
          </w:r>
          <w:r>
            <w:fldChar w:fldCharType="separate"/>
          </w:r>
          <w:r>
            <w:t>5</w:t>
          </w:r>
          <w:r>
            <w:fldChar w:fldCharType="end"/>
          </w:r>
          <w:r>
            <w:rPr>
              <w:rFonts w:hint="eastAsia" w:ascii="宋体" w:hAnsi="宋体" w:eastAsia="宋体" w:cs="宋体"/>
              <w:szCs w:val="24"/>
            </w:rPr>
            <w:fldChar w:fldCharType="end"/>
          </w:r>
        </w:p>
        <w:p w14:paraId="398ACF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_Toc1800 </w:instrText>
          </w:r>
          <w:r>
            <w:rPr>
              <w:rFonts w:hint="eastAsia" w:ascii="宋体" w:hAnsi="宋体" w:eastAsia="宋体" w:cs="宋体"/>
              <w:szCs w:val="24"/>
            </w:rPr>
            <w:fldChar w:fldCharType="separate"/>
          </w:r>
          <w:r>
            <w:rPr>
              <w:rFonts w:hint="default"/>
              <w:lang w:val="en-US" w:eastAsia="zh-CN"/>
            </w:rPr>
            <w:t>4.3. 审核准备</w:t>
          </w:r>
          <w:r>
            <w:tab/>
          </w:r>
          <w:r>
            <w:fldChar w:fldCharType="begin"/>
          </w:r>
          <w:r>
            <w:instrText xml:space="preserve"> PAGEREF _Toc1800 \h </w:instrText>
          </w:r>
          <w:r>
            <w:fldChar w:fldCharType="separate"/>
          </w:r>
          <w:r>
            <w:t>5</w:t>
          </w:r>
          <w:r>
            <w:fldChar w:fldCharType="end"/>
          </w:r>
          <w:r>
            <w:rPr>
              <w:rFonts w:hint="eastAsia" w:ascii="宋体" w:hAnsi="宋体" w:eastAsia="宋体" w:cs="宋体"/>
              <w:szCs w:val="24"/>
            </w:rPr>
            <w:fldChar w:fldCharType="end"/>
          </w:r>
        </w:p>
        <w:p w14:paraId="08F410E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_Toc31262 </w:instrText>
          </w:r>
          <w:r>
            <w:rPr>
              <w:rFonts w:hint="eastAsia" w:ascii="宋体" w:hAnsi="宋体" w:eastAsia="宋体" w:cs="宋体"/>
              <w:szCs w:val="24"/>
            </w:rPr>
            <w:fldChar w:fldCharType="separate"/>
          </w:r>
          <w:r>
            <w:rPr>
              <w:rFonts w:hint="default"/>
              <w:lang w:val="en-US" w:eastAsia="zh-CN"/>
            </w:rPr>
            <w:t>4.4. 审核实施</w:t>
          </w:r>
          <w:r>
            <w:tab/>
          </w:r>
          <w:r>
            <w:fldChar w:fldCharType="begin"/>
          </w:r>
          <w:r>
            <w:instrText xml:space="preserve"> PAGEREF _Toc31262 \h </w:instrText>
          </w:r>
          <w:r>
            <w:fldChar w:fldCharType="separate"/>
          </w:r>
          <w:r>
            <w:t>6</w:t>
          </w:r>
          <w:r>
            <w:fldChar w:fldCharType="end"/>
          </w:r>
          <w:r>
            <w:rPr>
              <w:rFonts w:hint="eastAsia" w:ascii="宋体" w:hAnsi="宋体" w:eastAsia="宋体" w:cs="宋体"/>
              <w:szCs w:val="24"/>
            </w:rPr>
            <w:fldChar w:fldCharType="end"/>
          </w:r>
        </w:p>
        <w:p w14:paraId="205CF3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_Toc26569 </w:instrText>
          </w:r>
          <w:r>
            <w:rPr>
              <w:rFonts w:hint="eastAsia" w:ascii="宋体" w:hAnsi="宋体" w:eastAsia="宋体" w:cs="宋体"/>
              <w:szCs w:val="24"/>
            </w:rPr>
            <w:fldChar w:fldCharType="separate"/>
          </w:r>
          <w:r>
            <w:rPr>
              <w:rFonts w:hint="default"/>
              <w:lang w:val="en-US" w:eastAsia="zh-CN"/>
            </w:rPr>
            <w:t>4.5. 审核报告与总结</w:t>
          </w:r>
          <w:r>
            <w:tab/>
          </w:r>
          <w:r>
            <w:fldChar w:fldCharType="begin"/>
          </w:r>
          <w:r>
            <w:instrText xml:space="preserve"> PAGEREF _Toc26569 \h </w:instrText>
          </w:r>
          <w:r>
            <w:fldChar w:fldCharType="separate"/>
          </w:r>
          <w:r>
            <w:t>6</w:t>
          </w:r>
          <w:r>
            <w:fldChar w:fldCharType="end"/>
          </w:r>
          <w:r>
            <w:rPr>
              <w:rFonts w:hint="eastAsia" w:ascii="宋体" w:hAnsi="宋体" w:eastAsia="宋体" w:cs="宋体"/>
              <w:szCs w:val="24"/>
            </w:rPr>
            <w:fldChar w:fldCharType="end"/>
          </w:r>
        </w:p>
        <w:p w14:paraId="32C13A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_Toc8501 </w:instrText>
          </w:r>
          <w:r>
            <w:rPr>
              <w:rFonts w:hint="eastAsia" w:ascii="宋体" w:hAnsi="宋体" w:eastAsia="宋体" w:cs="宋体"/>
              <w:szCs w:val="24"/>
            </w:rPr>
            <w:fldChar w:fldCharType="separate"/>
          </w:r>
          <w:r>
            <w:rPr>
              <w:rFonts w:hint="default"/>
              <w:lang w:val="en-US" w:eastAsia="zh-CN"/>
            </w:rPr>
            <w:t>4.6. 纠正措施与跟踪验证</w:t>
          </w:r>
          <w:r>
            <w:tab/>
          </w:r>
          <w:r>
            <w:fldChar w:fldCharType="begin"/>
          </w:r>
          <w:r>
            <w:instrText xml:space="preserve"> PAGEREF _Toc8501 \h </w:instrText>
          </w:r>
          <w:r>
            <w:fldChar w:fldCharType="separate"/>
          </w:r>
          <w:r>
            <w:t>6</w:t>
          </w:r>
          <w:r>
            <w:fldChar w:fldCharType="end"/>
          </w:r>
          <w:r>
            <w:rPr>
              <w:rFonts w:hint="eastAsia" w:ascii="宋体" w:hAnsi="宋体" w:eastAsia="宋体" w:cs="宋体"/>
              <w:szCs w:val="24"/>
            </w:rPr>
            <w:fldChar w:fldCharType="end"/>
          </w:r>
        </w:p>
        <w:p w14:paraId="39C32E1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_Toc10269 </w:instrText>
          </w:r>
          <w:r>
            <w:rPr>
              <w:rFonts w:hint="eastAsia" w:ascii="宋体" w:hAnsi="宋体" w:eastAsia="宋体" w:cs="宋体"/>
              <w:szCs w:val="24"/>
            </w:rPr>
            <w:fldChar w:fldCharType="separate"/>
          </w:r>
          <w:r>
            <w:rPr>
              <w:rFonts w:hint="default"/>
              <w:lang w:val="en-US" w:eastAsia="zh-CN"/>
            </w:rPr>
            <w:t>4.7. 记录与档案</w:t>
          </w:r>
          <w:r>
            <w:tab/>
          </w:r>
          <w:r>
            <w:fldChar w:fldCharType="begin"/>
          </w:r>
          <w:r>
            <w:instrText xml:space="preserve"> PAGEREF _Toc10269 \h </w:instrText>
          </w:r>
          <w:r>
            <w:fldChar w:fldCharType="separate"/>
          </w:r>
          <w:r>
            <w:t>7</w:t>
          </w:r>
          <w:r>
            <w:fldChar w:fldCharType="end"/>
          </w:r>
          <w:r>
            <w:rPr>
              <w:rFonts w:hint="eastAsia" w:ascii="宋体" w:hAnsi="宋体" w:eastAsia="宋体" w:cs="宋体"/>
              <w:szCs w:val="24"/>
            </w:rPr>
            <w:fldChar w:fldCharType="end"/>
          </w:r>
        </w:p>
        <w:p w14:paraId="6CE1D5E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_Toc2704 </w:instrText>
          </w:r>
          <w:r>
            <w:rPr>
              <w:rFonts w:hint="eastAsia" w:ascii="宋体" w:hAnsi="宋体" w:eastAsia="宋体" w:cs="宋体"/>
              <w:szCs w:val="24"/>
            </w:rPr>
            <w:fldChar w:fldCharType="separate"/>
          </w:r>
          <w:r>
            <w:rPr>
              <w:rFonts w:hint="default"/>
              <w:lang w:val="en-US" w:eastAsia="zh-CN"/>
            </w:rPr>
            <w:t>5. 附则</w:t>
          </w:r>
          <w:r>
            <w:tab/>
          </w:r>
          <w:r>
            <w:fldChar w:fldCharType="begin"/>
          </w:r>
          <w:r>
            <w:instrText xml:space="preserve"> PAGEREF _Toc2704 \h </w:instrText>
          </w:r>
          <w:r>
            <w:fldChar w:fldCharType="separate"/>
          </w:r>
          <w:r>
            <w:t>7</w:t>
          </w:r>
          <w:r>
            <w:fldChar w:fldCharType="end"/>
          </w:r>
          <w:r>
            <w:rPr>
              <w:rFonts w:hint="eastAsia" w:ascii="宋体" w:hAnsi="宋体" w:eastAsia="宋体" w:cs="宋体"/>
              <w:szCs w:val="24"/>
            </w:rPr>
            <w:fldChar w:fldCharType="end"/>
          </w:r>
        </w:p>
        <w:p w14:paraId="1E059FA1">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32E553A">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25244B6">
      <w:pPr>
        <w:pStyle w:val="28"/>
        <w:bidi w:val="0"/>
        <w:rPr>
          <w:rFonts w:hint="default"/>
          <w:lang w:val="en-US" w:eastAsia="zh-CN"/>
        </w:rPr>
      </w:pPr>
      <w:bookmarkStart w:id="2" w:name="_Toc14165"/>
      <w:r>
        <w:rPr>
          <w:rFonts w:hint="default"/>
          <w:lang w:val="en-US" w:eastAsia="zh-CN"/>
        </w:rPr>
        <w:t>目的</w:t>
      </w:r>
      <w:bookmarkEnd w:id="2"/>
    </w:p>
    <w:p w14:paraId="2AEDEBD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为验证并确保公司运维服务质量管理体系（以下简称“体系”）持续满足国家标准、行业要求及公司内部规定，并得到有效实施与保持，通过系统、独立、客观的审核活动，发现问题、推动改进，特制定本制度。</w:t>
      </w:r>
    </w:p>
    <w:p w14:paraId="2B86766A">
      <w:pPr>
        <w:pStyle w:val="28"/>
        <w:bidi w:val="0"/>
        <w:rPr>
          <w:rFonts w:hint="default"/>
          <w:lang w:val="en-US" w:eastAsia="zh-CN"/>
        </w:rPr>
      </w:pPr>
      <w:bookmarkStart w:id="3" w:name="_Toc5159"/>
      <w:r>
        <w:rPr>
          <w:rFonts w:hint="default"/>
          <w:lang w:val="en-US" w:eastAsia="zh-CN"/>
        </w:rPr>
        <w:t>适用范围</w:t>
      </w:r>
      <w:bookmarkEnd w:id="3"/>
    </w:p>
    <w:p w14:paraId="624FB6F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本制度适用于公司范围内所有与软件运维服务相关的质量管理体系内部审核活动。</w:t>
      </w:r>
    </w:p>
    <w:p w14:paraId="00E9AECE">
      <w:pPr>
        <w:pStyle w:val="28"/>
        <w:bidi w:val="0"/>
        <w:rPr>
          <w:rFonts w:hint="default"/>
          <w:lang w:val="en-US" w:eastAsia="zh-CN"/>
        </w:rPr>
      </w:pPr>
      <w:bookmarkStart w:id="4" w:name="_Toc19392"/>
      <w:r>
        <w:rPr>
          <w:rFonts w:hint="default"/>
          <w:lang w:val="en-US" w:eastAsia="zh-CN"/>
        </w:rPr>
        <w:t>职责</w:t>
      </w:r>
      <w:bookmarkEnd w:id="4"/>
    </w:p>
    <w:p w14:paraId="0BC1DADC">
      <w:pPr>
        <w:pStyle w:val="30"/>
        <w:bidi w:val="0"/>
        <w:rPr>
          <w:rFonts w:hint="default"/>
          <w:lang w:val="en-US" w:eastAsia="zh-CN"/>
        </w:rPr>
      </w:pPr>
      <w:bookmarkStart w:id="5" w:name="_Toc18039"/>
      <w:r>
        <w:rPr>
          <w:rFonts w:hint="default"/>
          <w:lang w:val="en-US" w:eastAsia="zh-CN"/>
        </w:rPr>
        <w:t>质量管理部</w:t>
      </w:r>
      <w:bookmarkEnd w:id="5"/>
    </w:p>
    <w:p w14:paraId="5A9758D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作为内部审核的归口管理部门，负责组织策划年度内审活动。</w:t>
      </w:r>
    </w:p>
    <w:p w14:paraId="266B58B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负责组建内审组，提名并任命审核组长。</w:t>
      </w:r>
    </w:p>
    <w:p w14:paraId="3554518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负责组织编制、发布《年度内部审核计划》。</w:t>
      </w:r>
    </w:p>
    <w:p w14:paraId="6B651D9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负责保管所有内审活动产生的记录和档案。</w:t>
      </w:r>
    </w:p>
    <w:p w14:paraId="5271682A">
      <w:pPr>
        <w:pStyle w:val="30"/>
        <w:bidi w:val="0"/>
        <w:rPr>
          <w:rFonts w:hint="default"/>
          <w:lang w:val="en-US" w:eastAsia="zh-CN"/>
        </w:rPr>
      </w:pPr>
      <w:bookmarkStart w:id="6" w:name="_Toc3771"/>
      <w:r>
        <w:rPr>
          <w:rFonts w:hint="default"/>
          <w:lang w:val="en-US" w:eastAsia="zh-CN"/>
        </w:rPr>
        <w:t>审核组长</w:t>
      </w:r>
      <w:bookmarkEnd w:id="6"/>
    </w:p>
    <w:p w14:paraId="7AE67DE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通常由质量管理部经理或其指定人员担任。</w:t>
      </w:r>
    </w:p>
    <w:p w14:paraId="2B36C8B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负责编制具体的《内部审核实施计划》和《内部审核检查表》。</w:t>
      </w:r>
    </w:p>
    <w:p w14:paraId="175C219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负责组织并主持内审的全过程，包括首次会议、现场审核、末次会议。</w:t>
      </w:r>
    </w:p>
    <w:p w14:paraId="66F7BA9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负责编写《内部审核报告》，并对审核结论的准确性负责。</w:t>
      </w:r>
    </w:p>
    <w:p w14:paraId="034E959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负责组织对不符合项纠正措施落实情况的跟踪验证。</w:t>
      </w:r>
    </w:p>
    <w:p w14:paraId="0D68DF27">
      <w:pPr>
        <w:pStyle w:val="30"/>
        <w:bidi w:val="0"/>
        <w:rPr>
          <w:rFonts w:hint="default"/>
          <w:lang w:val="en-US" w:eastAsia="zh-CN"/>
        </w:rPr>
      </w:pPr>
      <w:bookmarkStart w:id="7" w:name="_Toc30183"/>
      <w:r>
        <w:rPr>
          <w:rFonts w:hint="default"/>
          <w:lang w:val="en-US" w:eastAsia="zh-CN"/>
        </w:rPr>
        <w:t>内审员</w:t>
      </w:r>
      <w:bookmarkEnd w:id="7"/>
    </w:p>
    <w:p w14:paraId="41FD293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由经培训合格并取得资格的公司员工担任。</w:t>
      </w:r>
    </w:p>
    <w:p w14:paraId="49A5168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在审核组长领导下，按计划完成分配的审核任务。</w:t>
      </w:r>
    </w:p>
    <w:p w14:paraId="71B7745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客观、公正地收集审核证据，记录审核发现。</w:t>
      </w:r>
    </w:p>
    <w:p w14:paraId="0238DE1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协助编写不符合项报告，参与纠正措施的验证。</w:t>
      </w:r>
    </w:p>
    <w:p w14:paraId="49C0892D">
      <w:pPr>
        <w:pStyle w:val="30"/>
        <w:bidi w:val="0"/>
        <w:rPr>
          <w:rFonts w:hint="default"/>
          <w:lang w:val="en-US" w:eastAsia="zh-CN"/>
        </w:rPr>
      </w:pPr>
      <w:bookmarkStart w:id="8" w:name="_Toc1264"/>
      <w:r>
        <w:rPr>
          <w:rFonts w:hint="default"/>
          <w:lang w:val="en-US" w:eastAsia="zh-CN"/>
        </w:rPr>
        <w:t>受审核部门（数智运营部、研究总院、人力部、应急管理部等）</w:t>
      </w:r>
      <w:bookmarkEnd w:id="8"/>
    </w:p>
    <w:p w14:paraId="29CA7E3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指定联络人，积极配合内审工作。</w:t>
      </w:r>
    </w:p>
    <w:p w14:paraId="22D694B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提供审核所需资源，确保审核顺利进行。</w:t>
      </w:r>
    </w:p>
    <w:p w14:paraId="15B20AF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确认审核发现的事实，针对不符合项分析原因并制定、实施纠正措施。</w:t>
      </w:r>
    </w:p>
    <w:p w14:paraId="62FDF63C">
      <w:pPr>
        <w:pStyle w:val="28"/>
        <w:bidi w:val="0"/>
        <w:rPr>
          <w:rFonts w:hint="default"/>
          <w:lang w:val="en-US" w:eastAsia="zh-CN"/>
        </w:rPr>
      </w:pPr>
      <w:bookmarkStart w:id="9" w:name="_Toc15582"/>
      <w:r>
        <w:rPr>
          <w:rFonts w:hint="default"/>
          <w:lang w:val="en-US" w:eastAsia="zh-CN"/>
        </w:rPr>
        <w:t>工作程序</w:t>
      </w:r>
      <w:bookmarkEnd w:id="9"/>
    </w:p>
    <w:p w14:paraId="77A97D32">
      <w:pPr>
        <w:pStyle w:val="30"/>
        <w:bidi w:val="0"/>
        <w:rPr>
          <w:rFonts w:hint="default"/>
          <w:lang w:val="en-US" w:eastAsia="zh-CN"/>
        </w:rPr>
      </w:pPr>
      <w:bookmarkStart w:id="10" w:name="_Toc3558"/>
      <w:r>
        <w:rPr>
          <w:rFonts w:hint="default"/>
          <w:lang w:val="en-US" w:eastAsia="zh-CN"/>
        </w:rPr>
        <w:t>审核频次与时机</w:t>
      </w:r>
      <w:bookmarkEnd w:id="10"/>
    </w:p>
    <w:p w14:paraId="7129D78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例行审核：公司每年至少组织一次覆盖全部相关部门和要素的完整内部审核，两次完整审核的时间间隔不超过12个月。</w:t>
      </w:r>
    </w:p>
    <w:p w14:paraId="7EB40A2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追加审核：当出现以下情况时，由质量管理部提议，报公司领导批准后，可追加安排专项或局部审核：</w:t>
      </w:r>
    </w:p>
    <w:p w14:paraId="4CF70BA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发生重大服务质量问题或客户严重投诉。</w:t>
      </w:r>
    </w:p>
    <w:p w14:paraId="3EDD997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组织机构、服务范围、技术环境发生重大变化。</w:t>
      </w:r>
    </w:p>
    <w:p w14:paraId="4C21364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为应对外部认证或客户审核前。</w:t>
      </w:r>
    </w:p>
    <w:p w14:paraId="3352B31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管理层认为有必要时。</w:t>
      </w:r>
    </w:p>
    <w:p w14:paraId="246DB319">
      <w:pPr>
        <w:pStyle w:val="30"/>
        <w:bidi w:val="0"/>
        <w:rPr>
          <w:rFonts w:hint="default"/>
          <w:lang w:val="en-US" w:eastAsia="zh-CN"/>
        </w:rPr>
      </w:pPr>
      <w:bookmarkStart w:id="11" w:name="_Toc30849"/>
      <w:r>
        <w:rPr>
          <w:rFonts w:hint="default"/>
          <w:lang w:val="en-US" w:eastAsia="zh-CN"/>
        </w:rPr>
        <w:t>审核策划</w:t>
      </w:r>
      <w:bookmarkEnd w:id="11"/>
    </w:p>
    <w:p w14:paraId="24D6425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每年年初，质量管理部基于风险思维、过程绩效及以往审核结果，策划并编制《年度内部审核计划》，明确审核目的、范围、依据、频次及大致时间安排，报公司领导批准。</w:t>
      </w:r>
    </w:p>
    <w:p w14:paraId="4D13689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每次具体审核前，审核组长需进行详细策划，编制《内部审核实施计划》，内容包括：审核目的、范围、依据、审核组成员及分工、受审核部门、审核日程、会议安排等。计划需提前通知受审核部门。</w:t>
      </w:r>
    </w:p>
    <w:p w14:paraId="5DA719E4">
      <w:pPr>
        <w:pStyle w:val="30"/>
        <w:bidi w:val="0"/>
        <w:rPr>
          <w:rFonts w:hint="default"/>
          <w:lang w:val="en-US" w:eastAsia="zh-CN"/>
        </w:rPr>
      </w:pPr>
      <w:bookmarkStart w:id="12" w:name="_Toc1800"/>
      <w:r>
        <w:rPr>
          <w:rFonts w:hint="default"/>
          <w:lang w:val="en-US" w:eastAsia="zh-CN"/>
        </w:rPr>
        <w:t>审核准备</w:t>
      </w:r>
      <w:bookmarkEnd w:id="12"/>
    </w:p>
    <w:p w14:paraId="38B9180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组建审核组：审核组成员应具备相应资格，且确保审核员不审核自己所在的部门，以保证审核的独立性、客观性。</w:t>
      </w:r>
    </w:p>
    <w:p w14:paraId="1C39627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编制检查表：审核组成员根据分工，依据审核准则和受审核部门的过程/文件，编制《内部审核检查表》，作为现场审核的提纲和记录工具。</w:t>
      </w:r>
    </w:p>
    <w:p w14:paraId="4E61E25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文件评审：审核组提前审阅受审核部门相关的体系文件，了解其要求。</w:t>
      </w:r>
    </w:p>
    <w:p w14:paraId="09EAAB5E">
      <w:pPr>
        <w:pStyle w:val="30"/>
        <w:bidi w:val="0"/>
        <w:rPr>
          <w:rFonts w:hint="default"/>
          <w:lang w:val="en-US" w:eastAsia="zh-CN"/>
        </w:rPr>
      </w:pPr>
      <w:bookmarkStart w:id="13" w:name="_Toc31262"/>
      <w:r>
        <w:rPr>
          <w:rFonts w:hint="default"/>
          <w:lang w:val="en-US" w:eastAsia="zh-CN"/>
        </w:rPr>
        <w:t>审核实施</w:t>
      </w:r>
      <w:bookmarkEnd w:id="13"/>
    </w:p>
    <w:p w14:paraId="2A9DB54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首次会议： 由审核组长主持召开，公司领导、受审核部门负责人及审核组成员参加。会议明确审核计划、安排，确认沟通渠道。</w:t>
      </w:r>
    </w:p>
    <w:p w14:paraId="2AC9DF3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现场审核：</w:t>
      </w:r>
    </w:p>
    <w:p w14:paraId="67345CD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审核员通过访谈、观察、查阅文件和记录等方式，依据检查表收集客观证据。</w:t>
      </w:r>
    </w:p>
    <w:p w14:paraId="0503FBC4">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审核发现应予以记录，并与受审核方现场确认。</w:t>
      </w:r>
    </w:p>
    <w:p w14:paraId="33890D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审核中发现的问题，按其严重程度分为：</w:t>
      </w:r>
    </w:p>
    <w:p w14:paraId="798BD81C">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严重不符合项：系统性或区域性失效；可能导致严重后果；重复发生且未有效纠正。</w:t>
      </w:r>
    </w:p>
    <w:p w14:paraId="477875BE">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一般不符合项：孤立的、偶然的人为错误；对体系运行无重大影响。</w:t>
      </w:r>
    </w:p>
    <w:p w14:paraId="137E4406">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观察项：潜在的问题或可改进的领域，尚未构成不符合，但需引起注意。</w:t>
      </w:r>
    </w:p>
    <w:p w14:paraId="74A0ABE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不符合项报告：对于确认的不符合项，审核员应填写《不符合项报告》，清晰描述事实，判定不符合的条款及类型，并由受审核部门负责人确认。</w:t>
      </w:r>
    </w:p>
    <w:p w14:paraId="0C30508B">
      <w:pPr>
        <w:pStyle w:val="30"/>
        <w:bidi w:val="0"/>
        <w:rPr>
          <w:rFonts w:hint="default"/>
          <w:lang w:val="en-US" w:eastAsia="zh-CN"/>
        </w:rPr>
      </w:pPr>
      <w:bookmarkStart w:id="14" w:name="_Toc26569"/>
      <w:r>
        <w:rPr>
          <w:rFonts w:hint="default"/>
          <w:lang w:val="en-US" w:eastAsia="zh-CN"/>
        </w:rPr>
        <w:t>审核报告与总结</w:t>
      </w:r>
      <w:bookmarkEnd w:id="14"/>
    </w:p>
    <w:p w14:paraId="3F516A7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末次会议：现场审核结束后，审核组长主持召开末次会议，报告审核发现和结论，宣读不符合项报告。</w:t>
      </w:r>
    </w:p>
    <w:p w14:paraId="060339A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审核报告：审核结束后，审核组长编制《内部审核报告》，全面总结审核情况、不符合项分布、体系运行有效性评价及结论。报告经批准后分发至相关部门及公司领导。</w:t>
      </w:r>
    </w:p>
    <w:p w14:paraId="32BA811C">
      <w:pPr>
        <w:pStyle w:val="30"/>
        <w:bidi w:val="0"/>
        <w:rPr>
          <w:rFonts w:hint="default"/>
          <w:lang w:val="en-US" w:eastAsia="zh-CN"/>
        </w:rPr>
      </w:pPr>
      <w:bookmarkStart w:id="15" w:name="_Toc8501"/>
      <w:r>
        <w:rPr>
          <w:rFonts w:hint="default"/>
          <w:lang w:val="en-US" w:eastAsia="zh-CN"/>
        </w:rPr>
        <w:t>纠正措施与跟踪验证</w:t>
      </w:r>
      <w:bookmarkEnd w:id="15"/>
    </w:p>
    <w:p w14:paraId="6A660A3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受审核部门在收到《不符合项报告》后，应分析根本原因，制定具体的纠正与预防措施及完成期限，并组织实施。</w:t>
      </w:r>
    </w:p>
    <w:p w14:paraId="15E70ED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审核组长或其指定的审核员（通常为质量管理专员）负责对纠正措施的实施情况进行跟踪验证，确保措施有效并已关闭。</w:t>
      </w:r>
    </w:p>
    <w:p w14:paraId="7E3BDB1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验证结果应记录。对于未能有效关闭的不符合项，应升级处理。</w:t>
      </w:r>
    </w:p>
    <w:p w14:paraId="62CCDDEA">
      <w:pPr>
        <w:pStyle w:val="30"/>
        <w:bidi w:val="0"/>
        <w:rPr>
          <w:rFonts w:hint="default"/>
          <w:lang w:val="en-US" w:eastAsia="zh-CN"/>
        </w:rPr>
      </w:pPr>
      <w:bookmarkStart w:id="16" w:name="_Toc10269"/>
      <w:r>
        <w:rPr>
          <w:rFonts w:hint="default"/>
          <w:lang w:val="en-US" w:eastAsia="zh-CN"/>
        </w:rPr>
        <w:t>记录与档案</w:t>
      </w:r>
      <w:bookmarkEnd w:id="16"/>
    </w:p>
    <w:p w14:paraId="37CFACC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质量管理部负责保存内审全过程的记录，形成完整档案，至少包括：</w:t>
      </w:r>
    </w:p>
    <w:p w14:paraId="7BBB7DE6">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《年度内部审核计划》</w:t>
      </w:r>
    </w:p>
    <w:p w14:paraId="0E8C3D0D">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《内部审核实施计划》</w:t>
      </w:r>
    </w:p>
    <w:p w14:paraId="3C21D92A">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《内部审核检查表》</w:t>
      </w:r>
    </w:p>
    <w:p w14:paraId="5104B0BA">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《不符合项报告》</w:t>
      </w:r>
    </w:p>
    <w:p w14:paraId="57AAA5F1">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《内部审核报告》</w:t>
      </w:r>
    </w:p>
    <w:p w14:paraId="6465F12D">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《纠正措施跟踪验证记录》</w:t>
      </w:r>
    </w:p>
    <w:p w14:paraId="5F000F4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704"/>
      <w:r>
        <w:rPr>
          <w:rFonts w:hint="eastAsia"/>
          <w:lang w:val="en-US" w:eastAsia="zh-CN"/>
        </w:rPr>
        <w:t>考核指标</w:t>
      </w:r>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3"/>
        <w:gridCol w:w="1152"/>
        <w:gridCol w:w="3552"/>
        <w:gridCol w:w="1308"/>
      </w:tblGrid>
      <w:tr w14:paraId="16475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ED74F2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KPI</w:t>
            </w:r>
          </w:p>
        </w:tc>
        <w:tc>
          <w:tcPr>
            <w:tcW w:w="11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143250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目标值</w:t>
            </w:r>
          </w:p>
        </w:tc>
        <w:tc>
          <w:tcPr>
            <w:tcW w:w="35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3975C5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计算公式/方法</w:t>
            </w:r>
          </w:p>
        </w:tc>
        <w:tc>
          <w:tcPr>
            <w:tcW w:w="1308"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F6E471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频度</w:t>
            </w:r>
          </w:p>
        </w:tc>
      </w:tr>
      <w:tr w14:paraId="38874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39196">
            <w:pPr>
              <w:keepNext w:val="0"/>
              <w:keepLines w:val="0"/>
              <w:widowControl/>
              <w:suppressLineNumbers w:val="0"/>
              <w:ind w:left="0" w:leftChars="0" w:right="0" w:rightChars="0" w:firstLine="0" w:firstLineChars="0"/>
              <w:jc w:val="center"/>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内审次数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B85C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C6539">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数量，内审报告数量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E3678">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年度</w:t>
            </w:r>
          </w:p>
        </w:tc>
      </w:tr>
    </w:tbl>
    <w:p w14:paraId="45C3A46E">
      <w:pPr>
        <w:pStyle w:val="28"/>
        <w:bidi w:val="0"/>
        <w:rPr>
          <w:rFonts w:hint="default"/>
          <w:lang w:val="en-US" w:eastAsia="zh-CN"/>
        </w:rPr>
      </w:pPr>
      <w:bookmarkStart w:id="18" w:name="_GoBack"/>
      <w:bookmarkEnd w:id="18"/>
      <w:r>
        <w:rPr>
          <w:rFonts w:hint="default"/>
          <w:lang w:val="en-US" w:eastAsia="zh-CN"/>
        </w:rPr>
        <w:t>附则</w:t>
      </w:r>
      <w:bookmarkEnd w:id="17"/>
    </w:p>
    <w:p w14:paraId="7450531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本制度由质量管理部负责解释与修订。</w:t>
      </w:r>
    </w:p>
    <w:p w14:paraId="2342856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本制度自发布之日起正式实施。</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3B1D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43DCA62"/>
    <w:multiLevelType w:val="singleLevel"/>
    <w:tmpl w:val="C43DCA62"/>
    <w:lvl w:ilvl="0" w:tentative="0">
      <w:start w:val="1"/>
      <w:numFmt w:val="decimal"/>
      <w:lvlText w:val="%1."/>
      <w:lvlJc w:val="left"/>
      <w:pPr>
        <w:ind w:left="425" w:hanging="425"/>
      </w:pPr>
      <w:rPr>
        <w:rFonts w:hint="default"/>
      </w:rPr>
    </w:lvl>
  </w:abstractNum>
  <w:abstractNum w:abstractNumId="2">
    <w:nsid w:val="241F447C"/>
    <w:multiLevelType w:val="singleLevel"/>
    <w:tmpl w:val="241F447C"/>
    <w:lvl w:ilvl="0" w:tentative="0">
      <w:start w:val="1"/>
      <w:numFmt w:val="decimal"/>
      <w:lvlText w:val="%1."/>
      <w:lvlJc w:val="left"/>
      <w:pPr>
        <w:ind w:left="425" w:hanging="425"/>
      </w:pPr>
      <w:rPr>
        <w:rFonts w:hint="default"/>
      </w:rPr>
    </w:lvl>
  </w:abstractNum>
  <w:abstractNum w:abstractNumId="3">
    <w:nsid w:val="653842F0"/>
    <w:multiLevelType w:val="singleLevel"/>
    <w:tmpl w:val="653842F0"/>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95C14A3"/>
    <w:rsid w:val="19E40CE7"/>
    <w:rsid w:val="312C6678"/>
    <w:rsid w:val="3689462D"/>
    <w:rsid w:val="38D26C34"/>
    <w:rsid w:val="50A66269"/>
    <w:rsid w:val="54BC7D1F"/>
    <w:rsid w:val="5885113D"/>
    <w:rsid w:val="782A3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1959</Words>
  <Characters>2053</Characters>
  <Lines>0</Lines>
  <Paragraphs>0</Paragraphs>
  <TotalTime>2</TotalTime>
  <ScaleCrop>false</ScaleCrop>
  <LinksUpToDate>false</LinksUpToDate>
  <CharactersWithSpaces>2124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2026-01-20T08:54:20Z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