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4041A8E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32749"/>
      <w:bookmarkStart w:id="21" w:name="_GoBack"/>
      <w:r>
        <w:drawing>
          <wp:anchor distT="0" distB="0" distL="114300" distR="114300" simplePos="0" relativeHeight="251661312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bookmarkEnd w:id="21"/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9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江西通信产业服务有限公司</w:t>
      </w:r>
      <w:bookmarkEnd w:id="0"/>
    </w:p>
    <w:p w14:paraId="72009AC2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853"/>
      <w:r>
        <w:rPr>
          <w:rFonts w:hint="eastAsia"/>
          <w:lang w:val="en-US" w:eastAsia="zh-CN"/>
        </w:rPr>
        <w:t>运维服务验收管理制度</w:t>
      </w:r>
      <w:bookmarkEnd w:id="1"/>
    </w:p>
    <w:p w14:paraId="028812BB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JXTX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4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8</w:t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5E5EC06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179D56B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质量管理部</w:t>
            </w:r>
          </w:p>
        </w:tc>
        <w:tc>
          <w:tcPr>
            <w:tcW w:w="2708" w:type="dxa"/>
          </w:tcPr>
          <w:p w14:paraId="282C65C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0423B66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5F87344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7B0230C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78F3B11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1F99BBC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涂志云</w:t>
            </w:r>
          </w:p>
        </w:tc>
        <w:tc>
          <w:tcPr>
            <w:tcW w:w="2708" w:type="dxa"/>
          </w:tcPr>
          <w:p w14:paraId="75C0758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 w14:paraId="4E6430BA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326B826D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214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 w14:paraId="3A0DE4F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1317" w:type="dxa"/>
          </w:tcPr>
          <w:p w14:paraId="524B495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 w14:paraId="2C53D39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 w14:paraId="42635A4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 w14:paraId="70BCE33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 w14:paraId="3D2ED21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 w14:paraId="04613B5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2E305B5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1317" w:type="dxa"/>
          </w:tcPr>
          <w:p w14:paraId="3B2F797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2025.01.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72" w:type="dxa"/>
          </w:tcPr>
          <w:p w14:paraId="44C0E9D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</w:tcPr>
          <w:p w14:paraId="7E5B251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hAnsi="宋体" w:eastAsia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</w:tcPr>
          <w:p w14:paraId="7817433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张翔</w:t>
            </w:r>
          </w:p>
        </w:tc>
        <w:tc>
          <w:tcPr>
            <w:tcW w:w="1606" w:type="dxa"/>
          </w:tcPr>
          <w:p w14:paraId="57AC437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200"/>
                <w:kern w:val="0"/>
                <w:sz w:val="20"/>
                <w:szCs w:val="20"/>
              </w:rPr>
              <w:t>何</w:t>
            </w: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峻</w:t>
            </w:r>
          </w:p>
        </w:tc>
        <w:tc>
          <w:tcPr>
            <w:tcW w:w="915" w:type="dxa"/>
          </w:tcPr>
          <w:p w14:paraId="524DA1F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涂志云</w:t>
            </w:r>
          </w:p>
        </w:tc>
      </w:tr>
      <w:tr w14:paraId="371269E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1EB22CD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24AC730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11EF4F2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08B1B2E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5312961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3A21871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5E694D1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348D896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5AD96C2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5A69323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2461D79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502846F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582D0DD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00D13F5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1317" w:type="dxa"/>
          </w:tcPr>
          <w:p w14:paraId="0CBBD1E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3B9EA02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00F9114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7C94E1E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6342AEE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1A9570E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7B3FDA8B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48D6EF5B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70F6C2AB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_Toc32749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江西通信产业服务有限公司</w:t>
          </w:r>
          <w:r>
            <w:tab/>
          </w:r>
          <w:r>
            <w:fldChar w:fldCharType="begin"/>
          </w:r>
          <w:r>
            <w:instrText xml:space="preserve"> PAGEREF _Toc32749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31FD479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_Toc853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运维服务验收管理制度</w:t>
          </w:r>
          <w:r>
            <w:tab/>
          </w:r>
          <w:r>
            <w:fldChar w:fldCharType="begin"/>
          </w:r>
          <w:r>
            <w:instrText xml:space="preserve"> PAGEREF _Toc853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03F02BF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_Toc1504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 1. 总则</w:t>
          </w:r>
          <w:r>
            <w:tab/>
          </w:r>
          <w:r>
            <w:fldChar w:fldCharType="begin"/>
          </w:r>
          <w:r>
            <w:instrText xml:space="preserve"> PAGEREF _Toc1504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8C1EE0A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_Toc6507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1.1. 目的</w:t>
          </w:r>
          <w:r>
            <w:tab/>
          </w:r>
          <w:r>
            <w:fldChar w:fldCharType="begin"/>
          </w:r>
          <w:r>
            <w:instrText xml:space="preserve"> PAGEREF _Toc6507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27E821A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_Toc2295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1.2. 适用范围</w:t>
          </w:r>
          <w:r>
            <w:tab/>
          </w:r>
          <w:r>
            <w:fldChar w:fldCharType="begin"/>
          </w:r>
          <w:r>
            <w:instrText xml:space="preserve"> PAGEREF _Toc2295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648BC4B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_Toc2231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1.3. 基本原则</w:t>
          </w:r>
          <w:r>
            <w:tab/>
          </w:r>
          <w:r>
            <w:fldChar w:fldCharType="begin"/>
          </w:r>
          <w:r>
            <w:instrText xml:space="preserve"> PAGEREF _Toc2231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2219F30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_Toc30587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 组织与职责</w:t>
          </w:r>
          <w:r>
            <w:tab/>
          </w:r>
          <w:r>
            <w:fldChar w:fldCharType="begin"/>
          </w:r>
          <w:r>
            <w:instrText xml:space="preserve"> PAGEREF _Toc30587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BD52DDB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_Toc5528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2.1. 质量管理部</w:t>
          </w:r>
          <w:r>
            <w:tab/>
          </w:r>
          <w:r>
            <w:fldChar w:fldCharType="begin"/>
          </w:r>
          <w:r>
            <w:instrText xml:space="preserve"> PAGEREF _Toc5528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F3255AC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_Toc7861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2.2. 数智运营部</w:t>
          </w:r>
          <w:r>
            <w:tab/>
          </w:r>
          <w:r>
            <w:fldChar w:fldCharType="begin"/>
          </w:r>
          <w:r>
            <w:instrText xml:space="preserve"> PAGEREF _Toc7861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3D7E012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_Toc12527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2.3. 研究总院</w:t>
          </w:r>
          <w:r>
            <w:tab/>
          </w:r>
          <w:r>
            <w:fldChar w:fldCharType="begin"/>
          </w:r>
          <w:r>
            <w:instrText xml:space="preserve"> PAGEREF _Toc12527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9D88693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_Toc10688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2.4. 验收小组</w:t>
          </w:r>
          <w:r>
            <w:tab/>
          </w:r>
          <w:r>
            <w:fldChar w:fldCharType="begin"/>
          </w:r>
          <w:r>
            <w:instrText xml:space="preserve"> PAGEREF _Toc10688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544BE71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_Toc18497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 验收类型与触发条件</w:t>
          </w:r>
          <w:r>
            <w:tab/>
          </w:r>
          <w:r>
            <w:fldChar w:fldCharType="begin"/>
          </w:r>
          <w:r>
            <w:instrText xml:space="preserve"> PAGEREF _Toc18497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2716AE4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_Toc19349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 验收管理流程</w:t>
          </w:r>
          <w:r>
            <w:tab/>
          </w:r>
          <w:r>
            <w:fldChar w:fldCharType="begin"/>
          </w:r>
          <w:r>
            <w:instrText xml:space="preserve"> PAGEREF _Toc19349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F6AFAAB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_Toc30722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4.1. 验收准备与申请</w:t>
          </w:r>
          <w:r>
            <w:tab/>
          </w:r>
          <w:r>
            <w:fldChar w:fldCharType="begin"/>
          </w:r>
          <w:r>
            <w:instrText xml:space="preserve"> PAGEREF _Toc30722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D892A4B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_Toc5809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4.2. 验收策划与组织</w:t>
          </w:r>
          <w:r>
            <w:tab/>
          </w:r>
          <w:r>
            <w:fldChar w:fldCharType="begin"/>
          </w:r>
          <w:r>
            <w:instrText xml:space="preserve"> PAGEREF _Toc5809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9F0AEE5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_Toc14636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4.3. 验收评审会议</w:t>
          </w:r>
          <w:r>
            <w:tab/>
          </w:r>
          <w:r>
            <w:fldChar w:fldCharType="begin"/>
          </w:r>
          <w:r>
            <w:instrText xml:space="preserve"> PAGEREF _Toc14636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2C2D8B3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_Toc22227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4.4. 验收结论与报告</w:t>
          </w:r>
          <w:r>
            <w:tab/>
          </w:r>
          <w:r>
            <w:fldChar w:fldCharType="begin"/>
          </w:r>
          <w:r>
            <w:instrText xml:space="preserve"> PAGEREF _Toc22227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BC07BF7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_Toc11401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4.5. 问题整改与关闭</w:t>
          </w:r>
          <w:r>
            <w:tab/>
          </w:r>
          <w:r>
            <w:fldChar w:fldCharType="begin"/>
          </w:r>
          <w:r>
            <w:instrText xml:space="preserve"> PAGEREF _Toc11401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24C06AA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_Toc9620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4.6. 文档归档</w:t>
          </w:r>
          <w:r>
            <w:tab/>
          </w:r>
          <w:r>
            <w:fldChar w:fldCharType="begin"/>
          </w:r>
          <w:r>
            <w:instrText xml:space="preserve"> PAGEREF _Toc9620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4AB0E1C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_Toc31070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 验收标准与交付物</w:t>
          </w:r>
          <w:r>
            <w:tab/>
          </w:r>
          <w:r>
            <w:fldChar w:fldCharType="begin"/>
          </w:r>
          <w:r>
            <w:instrText xml:space="preserve"> PAGEREF _Toc31070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5C1D522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_Toc30960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 附则</w:t>
          </w:r>
          <w:r>
            <w:tab/>
          </w:r>
          <w:r>
            <w:fldChar w:fldCharType="begin"/>
          </w:r>
          <w:r>
            <w:instrText xml:space="preserve"> PAGEREF _Toc30960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93BA89C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264F3BC1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2306A3F6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" w:name="_Toc1504"/>
      <w:r>
        <w:rPr>
          <w:rFonts w:hint="default"/>
          <w:lang w:val="en-US" w:eastAsia="zh-CN"/>
        </w:rPr>
        <w:t>1. 总则</w:t>
      </w:r>
      <w:bookmarkEnd w:id="2"/>
    </w:p>
    <w:p w14:paraId="0E8C021A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3" w:name="_Toc6507"/>
      <w:r>
        <w:rPr>
          <w:rFonts w:hint="default"/>
          <w:lang w:val="en-US" w:eastAsia="zh-CN"/>
        </w:rPr>
        <w:t>目的</w:t>
      </w:r>
      <w:bookmarkEnd w:id="3"/>
    </w:p>
    <w:p w14:paraId="12B24B8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为规范公司软件运维服务交付成果的确认过程，确保服务满足合同约定、服务级别协议（SLA）及客户要求，明确验收各方的职责、流程与标准，保障服务交付质量，控制服务风险，特制定本制度。</w:t>
      </w:r>
    </w:p>
    <w:p w14:paraId="3B82A799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4" w:name="_Toc2295"/>
      <w:r>
        <w:rPr>
          <w:rFonts w:hint="default"/>
          <w:lang w:val="en-US" w:eastAsia="zh-CN"/>
        </w:rPr>
        <w:t>适用范围</w:t>
      </w:r>
      <w:bookmarkEnd w:id="4"/>
    </w:p>
    <w:p w14:paraId="7DE2510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本制度适用于公司所有软件运维服务项目的阶段性交付验收、合同周期结束验收、新增服务功能上线验收及其他约定的专项服务成果验收。</w:t>
      </w:r>
    </w:p>
    <w:p w14:paraId="3B52490D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5" w:name="_Toc2231"/>
      <w:r>
        <w:rPr>
          <w:rFonts w:hint="default"/>
          <w:lang w:val="en-US" w:eastAsia="zh-CN"/>
        </w:rPr>
        <w:t>基本原则</w:t>
      </w:r>
      <w:bookmarkEnd w:id="5"/>
    </w:p>
    <w:p w14:paraId="7CA9DC7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客观公正原则：以合同、SLA及双方确认的需求文档为唯一依据，客观评价服务成果。</w:t>
      </w:r>
    </w:p>
    <w:p w14:paraId="2B2E78A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标准量化原则：验收标准应尽可能量化、可测量，避免主观判断。</w:t>
      </w:r>
    </w:p>
    <w:p w14:paraId="6AF0DA6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闭环管理原则：验收活动需有明确的启动、执行、决策和关闭流程，对发现的问题须跟踪至解决。</w:t>
      </w:r>
    </w:p>
    <w:p w14:paraId="16C9FDD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客户参与原则：验收过程应有客户方代表或授权人参与，共同确认结果。</w:t>
      </w:r>
    </w:p>
    <w:p w14:paraId="1723A011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6" w:name="_Toc30587"/>
      <w:r>
        <w:rPr>
          <w:rFonts w:hint="default"/>
          <w:lang w:val="en-US" w:eastAsia="zh-CN"/>
        </w:rPr>
        <w:t>组织与职责</w:t>
      </w:r>
      <w:bookmarkEnd w:id="6"/>
    </w:p>
    <w:p w14:paraId="6199E45E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7" w:name="_Toc5528"/>
      <w:r>
        <w:rPr>
          <w:rFonts w:hint="default"/>
          <w:lang w:val="en-US" w:eastAsia="zh-CN"/>
        </w:rPr>
        <w:t>质量管理部</w:t>
      </w:r>
      <w:bookmarkEnd w:id="7"/>
    </w:p>
    <w:p w14:paraId="1ED751F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作为验收管理的归口与组织部门。</w:t>
      </w:r>
    </w:p>
    <w:p w14:paraId="3210C69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负责制定并维护本制度及相关模板。</w:t>
      </w:r>
    </w:p>
    <w:p w14:paraId="60961C5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负责组织成立验收小组，牵头召开验收评审会议。</w:t>
      </w:r>
    </w:p>
    <w:p w14:paraId="1DA8884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负责监督验收过程的合规性，归档验收全过程文档。</w:t>
      </w:r>
    </w:p>
    <w:p w14:paraId="2B79F51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负责对验收遗留问题的整改进行跟踪验证。</w:t>
      </w:r>
    </w:p>
    <w:p w14:paraId="1C687430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8" w:name="_Toc7861"/>
      <w:r>
        <w:rPr>
          <w:rFonts w:hint="default"/>
          <w:lang w:val="en-US" w:eastAsia="zh-CN"/>
        </w:rPr>
        <w:t>数智运营部</w:t>
      </w:r>
      <w:bookmarkEnd w:id="8"/>
    </w:p>
    <w:p w14:paraId="087D476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负责提出验收申请。</w:t>
      </w:r>
    </w:p>
    <w:p w14:paraId="09534AF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负责准备并提交完整的验收交付物（如服务报告、运行记录、KPI达成数据等）。</w:t>
      </w:r>
    </w:p>
    <w:p w14:paraId="059D076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负责汇报服务履行情况，并解答验收小组的质询。</w:t>
      </w:r>
    </w:p>
    <w:p w14:paraId="7E50063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负责对验收中发现的不符项进行整改。</w:t>
      </w:r>
    </w:p>
    <w:p w14:paraId="26858474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9" w:name="_Toc12527"/>
      <w:r>
        <w:rPr>
          <w:rFonts w:hint="default"/>
          <w:lang w:val="en-US" w:eastAsia="zh-CN"/>
        </w:rPr>
        <w:t>研究总院</w:t>
      </w:r>
      <w:bookmarkEnd w:id="9"/>
    </w:p>
    <w:p w14:paraId="0F8A838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当验收涉及新上线功能、重大技术变更或专项技术成果时，负责提供技术方案说明、测试报告等技术文档。</w:t>
      </w:r>
    </w:p>
    <w:p w14:paraId="3915ABB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参与相关技术指标的符合性评审。</w:t>
      </w:r>
    </w:p>
    <w:p w14:paraId="66838083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0" w:name="_Toc10688"/>
      <w:r>
        <w:rPr>
          <w:rFonts w:hint="default"/>
          <w:lang w:val="en-US" w:eastAsia="zh-CN"/>
        </w:rPr>
        <w:t>验收小组</w:t>
      </w:r>
      <w:bookmarkEnd w:id="10"/>
    </w:p>
    <w:p w14:paraId="31C172F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由质量管理部牵头临时组建，成员通常包括：质量管理部代表、数智运营部项目/服务负责人、客户方代表（或授权人），必要时邀请研究总院技术专家。</w:t>
      </w:r>
    </w:p>
    <w:p w14:paraId="7276DE6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负责审查交付物，依据验收标准进行评审与合议，形成最终验收结论。</w:t>
      </w:r>
    </w:p>
    <w:p w14:paraId="5B385F73">
      <w:pPr>
        <w:pStyle w:val="28"/>
        <w:bidi w:val="0"/>
        <w:rPr>
          <w:rFonts w:hint="default"/>
          <w:lang w:val="en-US" w:eastAsia="zh-CN"/>
        </w:rPr>
      </w:pPr>
      <w:bookmarkStart w:id="11" w:name="_Toc18497"/>
      <w:r>
        <w:rPr>
          <w:rFonts w:hint="default"/>
          <w:lang w:val="en-US" w:eastAsia="zh-CN"/>
        </w:rPr>
        <w:t>验收类型与触发条件</w:t>
      </w:r>
      <w:bookmarkEnd w:id="11"/>
    </w:p>
    <w:tbl>
      <w:tblPr>
        <w:tblStyle w:val="20"/>
        <w:tblW w:w="902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20"/>
        <w:gridCol w:w="3900"/>
        <w:gridCol w:w="3904"/>
      </w:tblGrid>
      <w:tr w14:paraId="3D3EAC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46D0512">
            <w:pPr>
              <w:keepNext w:val="0"/>
              <w:keepLines w:val="0"/>
              <w:widowControl/>
              <w:suppressLineNumbers w:val="0"/>
              <w:spacing w:line="300" w:lineRule="atLeast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验收类型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A856099">
            <w:pPr>
              <w:keepNext w:val="0"/>
              <w:keepLines w:val="0"/>
              <w:widowControl/>
              <w:suppressLineNumbers w:val="0"/>
              <w:spacing w:line="300" w:lineRule="atLeast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触发条件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155BE7B">
            <w:pPr>
              <w:keepNext w:val="0"/>
              <w:keepLines w:val="0"/>
              <w:widowControl/>
              <w:suppressLineNumbers w:val="0"/>
              <w:spacing w:line="300" w:lineRule="atLeast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主要验收依据</w:t>
            </w:r>
          </w:p>
        </w:tc>
      </w:tr>
      <w:tr w14:paraId="4FA358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769D7F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周期性服务验收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983777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服务合同约定的月度、季度、年度周期结束。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280E2ED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该周期内的SLA/KPI达成报告、服务总结报告、事件/问题处理记录等。</w:t>
            </w:r>
          </w:p>
        </w:tc>
      </w:tr>
      <w:tr w14:paraId="381246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93DAEC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项目/专项服务验收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585DB9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专项服务（如系统升级、迁移、优化）实施完成，达到约定里程碑。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080204D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项目合同、技术方案、测试报告、上线报告、用户手册等。</w:t>
            </w:r>
          </w:p>
        </w:tc>
      </w:tr>
      <w:tr w14:paraId="12D440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0228A9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合同终止验收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96186F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服务合同履行完毕或提前终止时。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5A0A17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整个合同期的服务绩效总览、资产清单、知识转移文档等。</w:t>
            </w:r>
          </w:p>
        </w:tc>
      </w:tr>
      <w:tr w14:paraId="7DD001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46A588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新增服务功能验收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638169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应客户要求新增的运维服务功能或工具上线后。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E7816E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新增功能需求说明书、测试验收报告、操作指南等。</w:t>
            </w:r>
          </w:p>
        </w:tc>
      </w:tr>
    </w:tbl>
    <w:p w14:paraId="64DCC8C4">
      <w:pPr>
        <w:pStyle w:val="28"/>
        <w:bidi w:val="0"/>
        <w:rPr>
          <w:rFonts w:hint="default"/>
          <w:lang w:val="en-US" w:eastAsia="zh-CN"/>
        </w:rPr>
      </w:pPr>
      <w:bookmarkStart w:id="12" w:name="_Toc19349"/>
      <w:r>
        <w:rPr>
          <w:rFonts w:hint="default"/>
          <w:lang w:val="en-US" w:eastAsia="zh-CN"/>
        </w:rPr>
        <w:t>验收管理流程</w:t>
      </w:r>
      <w:bookmarkEnd w:id="12"/>
    </w:p>
    <w:p w14:paraId="50845806">
      <w:pPr>
        <w:pStyle w:val="30"/>
        <w:bidi w:val="0"/>
        <w:rPr>
          <w:rFonts w:hint="default"/>
          <w:lang w:val="en-US" w:eastAsia="zh-CN"/>
        </w:rPr>
      </w:pPr>
      <w:bookmarkStart w:id="13" w:name="_Toc30722"/>
      <w:r>
        <w:rPr>
          <w:rFonts w:hint="default"/>
          <w:lang w:val="en-US" w:eastAsia="zh-CN"/>
        </w:rPr>
        <w:t>验收准备与申请</w:t>
      </w:r>
      <w:bookmarkEnd w:id="13"/>
    </w:p>
    <w:p w14:paraId="2BF2EAE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数智运营部在达到验收触发条件后，收集、整理全部验收交付物，并进行自查。</w:t>
      </w:r>
    </w:p>
    <w:p w14:paraId="4D63FA8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确认符合验收条件后，填写《服务验收申请表》，连同交付物一并提交至质量管理部。</w:t>
      </w:r>
    </w:p>
    <w:p w14:paraId="4D2BAA0C">
      <w:pPr>
        <w:pStyle w:val="30"/>
        <w:bidi w:val="0"/>
        <w:rPr>
          <w:rFonts w:hint="default"/>
          <w:lang w:val="en-US" w:eastAsia="zh-CN"/>
        </w:rPr>
      </w:pPr>
      <w:bookmarkStart w:id="14" w:name="_Toc5809"/>
      <w:r>
        <w:rPr>
          <w:rFonts w:hint="default"/>
          <w:lang w:val="en-US" w:eastAsia="zh-CN"/>
        </w:rPr>
        <w:t>验收策划与组织</w:t>
      </w:r>
      <w:bookmarkEnd w:id="14"/>
    </w:p>
    <w:p w14:paraId="6052547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质量管理部审核验收申请材料是否齐全。</w:t>
      </w:r>
    </w:p>
    <w:p w14:paraId="6AE133C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审核通过后，牵头成立验收小组，确定验收会议时间、地点、议程，编制《服务验收计划》，并提前发送给所有小组成员。</w:t>
      </w:r>
    </w:p>
    <w:p w14:paraId="577AEA48">
      <w:pPr>
        <w:pStyle w:val="30"/>
        <w:bidi w:val="0"/>
        <w:rPr>
          <w:rFonts w:hint="default"/>
          <w:lang w:val="en-US" w:eastAsia="zh-CN"/>
        </w:rPr>
      </w:pPr>
      <w:bookmarkStart w:id="15" w:name="_Toc14636"/>
      <w:r>
        <w:rPr>
          <w:rFonts w:hint="default"/>
          <w:lang w:val="en-US" w:eastAsia="zh-CN"/>
        </w:rPr>
        <w:t>验收评审会议</w:t>
      </w:r>
      <w:bookmarkEnd w:id="15"/>
    </w:p>
    <w:p w14:paraId="5C2175A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会议由质量管理部主持。</w:t>
      </w:r>
    </w:p>
    <w:p w14:paraId="3603EAA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数智运营部汇报服务履行情况，展示交付物。</w:t>
      </w:r>
    </w:p>
    <w:p w14:paraId="6E893A6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验收小组依据验收标准（合同、SLA等），对交付物进行审阅、质询和讨论。</w:t>
      </w:r>
    </w:p>
    <w:p w14:paraId="239A39D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会议记录员（通常由质量管理专员担任）详细记录评审意见、提出的问题及结论。</w:t>
      </w:r>
    </w:p>
    <w:p w14:paraId="0F5612C6">
      <w:pPr>
        <w:pStyle w:val="30"/>
        <w:bidi w:val="0"/>
        <w:rPr>
          <w:rFonts w:hint="default"/>
          <w:lang w:val="en-US" w:eastAsia="zh-CN"/>
        </w:rPr>
      </w:pPr>
      <w:bookmarkStart w:id="16" w:name="_Toc22227"/>
      <w:r>
        <w:rPr>
          <w:rFonts w:hint="default"/>
          <w:lang w:val="en-US" w:eastAsia="zh-CN"/>
        </w:rPr>
        <w:t>验收结论与报告</w:t>
      </w:r>
      <w:bookmarkEnd w:id="16"/>
    </w:p>
    <w:p w14:paraId="719E107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验收结论分为三种：</w:t>
      </w:r>
    </w:p>
    <w:p w14:paraId="62C8169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通过：交付物完整，完全符合验收标准。</w:t>
      </w:r>
    </w:p>
    <w:p w14:paraId="48656BB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有条件通过：交付物基本符合要求，但存在少量不影响核心服务的轻微瑕疵，需在规定期限内完成整改。</w:t>
      </w:r>
    </w:p>
    <w:p w14:paraId="70F48FF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不通过：交付物存在重大缺失或未达到核心验收标准。</w:t>
      </w:r>
    </w:p>
    <w:p w14:paraId="6C04A47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质量管理部根据会议决议，在2个工作日内编制《服务验收报告》，明确结论、遗留问题清单（如有）及整改要求，由验收小组成员会签确认。</w:t>
      </w:r>
    </w:p>
    <w:p w14:paraId="587B7127">
      <w:pPr>
        <w:pStyle w:val="30"/>
        <w:bidi w:val="0"/>
        <w:rPr>
          <w:rFonts w:hint="default"/>
          <w:lang w:val="en-US" w:eastAsia="zh-CN"/>
        </w:rPr>
      </w:pPr>
      <w:bookmarkStart w:id="17" w:name="_Toc11401"/>
      <w:r>
        <w:rPr>
          <w:rFonts w:hint="default"/>
          <w:lang w:val="en-US" w:eastAsia="zh-CN"/>
        </w:rPr>
        <w:t>问题整改与关闭</w:t>
      </w:r>
      <w:bookmarkEnd w:id="17"/>
    </w:p>
    <w:p w14:paraId="69A764C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数智运营部根据《服务验收报告》中的问题清单，制定整改措施并落实。</w:t>
      </w:r>
    </w:p>
    <w:p w14:paraId="4E9BFDC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整改完成后，通知质量管理部进行验证。</w:t>
      </w:r>
    </w:p>
    <w:p w14:paraId="44A5C79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质量管理部验证合格后，在报告上标注“整改完毕，准予关闭”，并通知客户方。</w:t>
      </w:r>
    </w:p>
    <w:p w14:paraId="5917DBA1">
      <w:pPr>
        <w:pStyle w:val="30"/>
        <w:bidi w:val="0"/>
        <w:rPr>
          <w:rFonts w:hint="default"/>
          <w:lang w:val="en-US" w:eastAsia="zh-CN"/>
        </w:rPr>
      </w:pPr>
      <w:bookmarkStart w:id="18" w:name="_Toc9620"/>
      <w:r>
        <w:rPr>
          <w:rFonts w:hint="default"/>
          <w:lang w:val="en-US" w:eastAsia="zh-CN"/>
        </w:rPr>
        <w:t>文档归档</w:t>
      </w:r>
      <w:bookmarkEnd w:id="18"/>
    </w:p>
    <w:p w14:paraId="7ACE8DF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验收流程全部关闭后，质量管理部将全套验收文档（申请表、计划、会议纪要、报告、整改记录等）进行归档保存。</w:t>
      </w:r>
    </w:p>
    <w:p w14:paraId="2688BD1A">
      <w:pPr>
        <w:pStyle w:val="28"/>
        <w:bidi w:val="0"/>
        <w:rPr>
          <w:rFonts w:hint="default"/>
          <w:lang w:val="en-US" w:eastAsia="zh-CN"/>
        </w:rPr>
      </w:pPr>
      <w:bookmarkStart w:id="19" w:name="_Toc31070"/>
      <w:r>
        <w:rPr>
          <w:rFonts w:hint="default"/>
          <w:lang w:val="en-US" w:eastAsia="zh-CN"/>
        </w:rPr>
        <w:t>验收标准与交付物</w:t>
      </w:r>
      <w:bookmarkEnd w:id="19"/>
    </w:p>
    <w:p w14:paraId="1244D35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核心验收标准应以 《服务级别协议（SLA）》 中约定的关键绩效指标为基础，常见包括：</w:t>
      </w:r>
    </w:p>
    <w:p w14:paraId="31020A16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服务可用性：系统可用率是否达标。</w:t>
      </w:r>
    </w:p>
    <w:p w14:paraId="0A0010D8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服务时效性：事件平均响应时间、平均解决时间是否达标。</w:t>
      </w:r>
    </w:p>
    <w:p w14:paraId="5E6F9F1B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服务有效性：事件解决率、问题一次性解决率是否达标。</w:t>
      </w:r>
    </w:p>
    <w:p w14:paraId="218DD180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服务质量：变更成功率、发布成功率、客户满意度分数等。</w:t>
      </w:r>
    </w:p>
    <w:p w14:paraId="4F7392E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基础交付物应至少包括：</w:t>
      </w:r>
    </w:p>
    <w:p w14:paraId="62328B14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《运维服务报告》（周期/专项）</w:t>
      </w:r>
    </w:p>
    <w:p w14:paraId="278C918C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《SLA/KPI绩效数据报表》</w:t>
      </w:r>
    </w:p>
    <w:p w14:paraId="0F042FD1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《重大事件/问题处理总结》</w:t>
      </w:r>
    </w:p>
    <w:p w14:paraId="50579481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《客户满意度调查反馈》（如该周期内已进行）</w:t>
      </w:r>
    </w:p>
    <w:p w14:paraId="20A051AB">
      <w:pPr>
        <w:pStyle w:val="28"/>
        <w:bidi w:val="0"/>
        <w:rPr>
          <w:rFonts w:hint="default"/>
          <w:lang w:val="en-US" w:eastAsia="zh-CN"/>
        </w:rPr>
      </w:pPr>
      <w:bookmarkStart w:id="20" w:name="_Toc30960"/>
      <w:r>
        <w:rPr>
          <w:rFonts w:hint="default"/>
          <w:lang w:val="en-US" w:eastAsia="zh-CN"/>
        </w:rPr>
        <w:t>附则</w:t>
      </w:r>
      <w:bookmarkEnd w:id="20"/>
    </w:p>
    <w:p w14:paraId="5CABBA17">
      <w:pPr>
        <w:pStyle w:val="29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本制度由质量管理部负责解释与修订。</w:t>
      </w:r>
    </w:p>
    <w:p w14:paraId="081A6ED9">
      <w:pPr>
        <w:pStyle w:val="29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本制度自发布之日起正式实施。</w:t>
      </w:r>
    </w:p>
    <w:p w14:paraId="5CBD1B47">
      <w:pPr>
        <w:pStyle w:val="29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本制度产生的相关记录表单（《服务验收申请表》、《服务验收计划》、《服务验收报告》等）由质量管理部负责设计并管理。</w:t>
      </w:r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BA64C01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>江西通信产业服务有限公司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BFB96F1"/>
    <w:multiLevelType w:val="singleLevel"/>
    <w:tmpl w:val="8BFB96F1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2">
    <w:nsid w:val="28EA26EF"/>
    <w:multiLevelType w:val="singleLevel"/>
    <w:tmpl w:val="28EA26E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544F09BB"/>
    <w:multiLevelType w:val="singleLevel"/>
    <w:tmpl w:val="544F09B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NotTrackMoves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3A264CD"/>
    <w:rsid w:val="08F040F8"/>
    <w:rsid w:val="0FF7237E"/>
    <w:rsid w:val="200B0605"/>
    <w:rsid w:val="322C18A4"/>
    <w:rsid w:val="326B629D"/>
    <w:rsid w:val="5463310B"/>
    <w:rsid w:val="59814033"/>
    <w:rsid w:val="656973BC"/>
    <w:rsid w:val="70716FD7"/>
    <w:rsid w:val="74C57072"/>
    <w:rsid w:val="781A76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1002</Words>
  <Characters>1116</Characters>
  <Lines>0</Lines>
  <Paragraphs>0</Paragraphs>
  <TotalTime>0</TotalTime>
  <ScaleCrop>false</ScaleCrop>
  <LinksUpToDate>false</LinksUpToDate>
  <CharactersWithSpaces>1200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2026-01-20T02:55:09Z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2052-12.1.0.24034</vt:lpwstr>
  </property>
  <property fmtid="{D5CDD505-2E9C-101B-9397-08002B2CF9AE}" pid="4" name="KSOTemplateDocerSaveRecord">
    <vt:lpwstr>eyJoZGlkIjoiMDY5NmFjMmM4ZTljMGJiZDAxN2JmYTc0NGI0NmFiNDgiLCJ1c2VySWQiOiIxMDc1MzgyOSJ9</vt:lpwstr>
  </property>
</Properties>
</file>