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B788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28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</w:t>
      </w:r>
      <w:bookmarkStart w:id="21" w:name="_GoBack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1"/>
      <w:r>
        <w:rPr>
          <w:rFonts w:hint="eastAsia"/>
          <w:lang w:val="en-US" w:eastAsia="zh-CN"/>
        </w:rPr>
        <w:t>产业服务有限公司</w:t>
      </w:r>
      <w:bookmarkEnd w:id="0"/>
    </w:p>
    <w:p w14:paraId="41EFE08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4155"/>
      <w:r>
        <w:rPr>
          <w:rFonts w:hint="eastAsia"/>
          <w:lang w:val="en-US" w:eastAsia="zh-CN"/>
        </w:rPr>
        <w:t>运维服务质量管理计划</w:t>
      </w:r>
      <w:bookmarkEnd w:id="1"/>
    </w:p>
    <w:p w14:paraId="007A470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CE2A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E3CE5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2A7007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40D0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18B51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33502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B9E1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40783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53894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BB57D8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8AD3A1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D4F18B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8C1DAD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A39AD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_Toc30284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C53D3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运维服务质量管理计划</w:t>
          </w:r>
          <w:r>
            <w:tab/>
          </w:r>
          <w:r>
            <w:fldChar w:fldCharType="begin"/>
          </w:r>
          <w:r>
            <w:instrText xml:space="preserve"> PAGEREF _Toc14155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9F48E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_Toc23149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A23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_Toc10652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35CC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_Toc4476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4B70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_Toc7171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0F8D7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1.3.1. 数智运营部</w:t>
          </w:r>
          <w:r>
            <w:tab/>
          </w:r>
          <w:r>
            <w:fldChar w:fldCharType="begin"/>
          </w:r>
          <w:r>
            <w:instrText xml:space="preserve"> PAGEREF _Toc11945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5EC1F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_Toc13809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AC090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1.3.3.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_Toc8349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19282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研究总院</w:t>
          </w:r>
          <w:r>
            <w:tab/>
          </w:r>
          <w:r>
            <w:fldChar w:fldCharType="begin"/>
          </w:r>
          <w:r>
            <w:instrText xml:space="preserve"> PAGEREF _Toc25730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4ABE1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1.3.5. 人力部</w:t>
          </w:r>
          <w:r>
            <w:tab/>
          </w:r>
          <w:r>
            <w:fldChar w:fldCharType="begin"/>
          </w:r>
          <w:r>
            <w:instrText xml:space="preserve"> PAGEREF _Toc15562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7183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_Toc30972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5C823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_Toc8824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6E23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质量保证</w:t>
          </w:r>
          <w:r>
            <w:tab/>
          </w:r>
          <w:r>
            <w:fldChar w:fldCharType="begin"/>
          </w:r>
          <w:r>
            <w:instrText xml:space="preserve"> PAGEREF _Toc17465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CC55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SLA（服务级别协议）</w:t>
          </w:r>
          <w:r>
            <w:tab/>
          </w:r>
          <w:r>
            <w:fldChar w:fldCharType="begin"/>
          </w:r>
          <w:r>
            <w:instrText xml:space="preserve"> PAGEREF _Toc6917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43E0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内部审核</w:t>
          </w:r>
          <w:r>
            <w:tab/>
          </w:r>
          <w:r>
            <w:fldChar w:fldCharType="begin"/>
          </w:r>
          <w:r>
            <w:instrText xml:space="preserve"> PAGEREF _Toc24167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5158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619CB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质量保证组织</w:t>
          </w:r>
          <w:r>
            <w:tab/>
          </w:r>
          <w:r>
            <w:fldChar w:fldCharType="begin"/>
          </w:r>
          <w:r>
            <w:instrText xml:space="preserve"> PAGEREF _Toc1475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94D1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年度质量保证目标</w:t>
          </w:r>
          <w:r>
            <w:tab/>
          </w:r>
          <w:r>
            <w:fldChar w:fldCharType="begin"/>
          </w:r>
          <w:r>
            <w:instrText xml:space="preserve"> PAGEREF _Toc18205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6292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主要质量保证活动</w:t>
          </w:r>
          <w:r>
            <w:tab/>
          </w:r>
          <w:r>
            <w:fldChar w:fldCharType="begin"/>
          </w:r>
          <w:r>
            <w:instrText xml:space="preserve"> PAGEREF _Toc5181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30D6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质量保证活动实施</w:t>
          </w:r>
          <w:r>
            <w:tab/>
          </w:r>
          <w:r>
            <w:fldChar w:fldCharType="begin"/>
          </w:r>
          <w:r>
            <w:instrText xml:space="preserve"> PAGEREF _Toc5252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3A39D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75845F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9F4A24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3149"/>
      <w:r>
        <w:rPr>
          <w:rFonts w:hint="eastAsia"/>
          <w:lang w:val="en-US" w:eastAsia="zh-CN"/>
        </w:rPr>
        <w:t>总则</w:t>
      </w:r>
      <w:bookmarkEnd w:id="2"/>
    </w:p>
    <w:p w14:paraId="1EC2C67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0652"/>
      <w:r>
        <w:rPr>
          <w:rFonts w:hint="eastAsia"/>
          <w:lang w:val="en-US" w:eastAsia="zh-CN"/>
        </w:rPr>
        <w:t>目的</w:t>
      </w:r>
      <w:bookmarkEnd w:id="3"/>
    </w:p>
    <w:p w14:paraId="65DAEFB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性地规划与执行2025年度公司运维服务过程及项目的质量保证活动，确保各项活动获得充分资源并有效实施，特制定本计划。旨在通过多层级检查与审计，保障运维服务满足客户质量要求与SLA承诺，识别服务过程中的缺陷与改进机会，驱动服务质量持续提升，最终实现客户满意。</w:t>
      </w:r>
    </w:p>
    <w:p w14:paraId="3085577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4476"/>
      <w:r>
        <w:rPr>
          <w:rFonts w:hint="eastAsia"/>
          <w:lang w:val="en-US" w:eastAsia="zh-CN"/>
        </w:rPr>
        <w:t>适用范围</w:t>
      </w:r>
      <w:bookmarkEnd w:id="4"/>
    </w:p>
    <w:p w14:paraId="04191EB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本计划适用于公司所有运维服务过程及项目所涉及的质量管理活动，涵盖活动范围、内容、管理机制及相关支持活动。</w:t>
      </w:r>
    </w:p>
    <w:p w14:paraId="7D8BEBE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7171"/>
      <w:r>
        <w:rPr>
          <w:rFonts w:hint="eastAsia"/>
          <w:lang w:val="en-US" w:eastAsia="zh-CN"/>
        </w:rPr>
        <w:t>岗位职责</w:t>
      </w:r>
      <w:bookmarkEnd w:id="5"/>
    </w:p>
    <w:p w14:paraId="7847A691">
      <w:pPr>
        <w:pStyle w:val="31"/>
        <w:bidi w:val="0"/>
        <w:rPr>
          <w:rFonts w:hint="default"/>
          <w:lang w:val="en-US" w:eastAsia="zh-CN"/>
        </w:rPr>
      </w:pPr>
      <w:bookmarkStart w:id="6" w:name="_Toc11945"/>
      <w:r>
        <w:rPr>
          <w:rFonts w:hint="default"/>
          <w:lang w:val="en-US" w:eastAsia="zh-CN"/>
        </w:rPr>
        <w:t>数智运营部</w:t>
      </w:r>
      <w:bookmarkEnd w:id="6"/>
    </w:p>
    <w:p w14:paraId="4C36A56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负责执行服务级别协议，保障SLA达成；及时提供高质量服务，提升客户满意度。</w:t>
      </w:r>
    </w:p>
    <w:p w14:paraId="25CF52BC">
      <w:pPr>
        <w:pStyle w:val="31"/>
        <w:bidi w:val="0"/>
        <w:rPr>
          <w:rFonts w:hint="eastAsia"/>
          <w:lang w:val="en-US" w:eastAsia="zh-CN"/>
        </w:rPr>
      </w:pPr>
      <w:bookmarkStart w:id="7" w:name="_Toc13809"/>
      <w:r>
        <w:rPr>
          <w:rFonts w:hint="eastAsia"/>
          <w:lang w:val="en-US" w:eastAsia="zh-CN"/>
        </w:rPr>
        <w:t>质量管理部</w:t>
      </w:r>
      <w:bookmarkEnd w:id="7"/>
    </w:p>
    <w:p w14:paraId="6CAC770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负责组织年度运维服务质量管理计划的策划与实施；组织体系内审、管理评审及问题跟踪；对接外部审核机构并筹备相关认证。</w:t>
      </w:r>
    </w:p>
    <w:p w14:paraId="3C732D35">
      <w:pPr>
        <w:pStyle w:val="31"/>
        <w:bidi w:val="0"/>
        <w:rPr>
          <w:rFonts w:hint="eastAsia"/>
          <w:lang w:val="en-US" w:eastAsia="zh-CN"/>
        </w:rPr>
      </w:pPr>
      <w:bookmarkStart w:id="8" w:name="_Toc8349"/>
      <w:r>
        <w:rPr>
          <w:rFonts w:hint="eastAsia"/>
          <w:lang w:val="en-US" w:eastAsia="zh-CN"/>
        </w:rPr>
        <w:t>服务台</w:t>
      </w:r>
      <w:bookmarkEnd w:id="8"/>
    </w:p>
    <w:p w14:paraId="75DD274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负责组织客户满意度调查与分析，并跟踪改进问题；监控运维服务质量，定期组织质量分析会；负责SLA达成率的统计分析。</w:t>
      </w:r>
    </w:p>
    <w:p w14:paraId="1679CDE1">
      <w:pPr>
        <w:pStyle w:val="31"/>
        <w:bidi w:val="0"/>
        <w:rPr>
          <w:rFonts w:hint="eastAsia"/>
          <w:lang w:val="en-US" w:eastAsia="zh-CN"/>
        </w:rPr>
      </w:pPr>
      <w:bookmarkStart w:id="9" w:name="_Toc25730"/>
      <w:r>
        <w:rPr>
          <w:rFonts w:hint="eastAsia"/>
          <w:lang w:val="en-US" w:eastAsia="zh-CN"/>
        </w:rPr>
        <w:t>研究总院</w:t>
      </w:r>
      <w:bookmarkEnd w:id="9"/>
    </w:p>
    <w:p w14:paraId="5C8836D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负责及时研发并提供运维服务工具，提升服务效率与可靠性；为数智运营部提供必要技术支持。</w:t>
      </w:r>
    </w:p>
    <w:p w14:paraId="558EDC9A">
      <w:pPr>
        <w:pStyle w:val="31"/>
        <w:bidi w:val="0"/>
        <w:rPr>
          <w:rFonts w:hint="default"/>
          <w:lang w:val="en-US" w:eastAsia="zh-CN"/>
        </w:rPr>
      </w:pPr>
      <w:bookmarkStart w:id="10" w:name="_Toc15562"/>
      <w:r>
        <w:rPr>
          <w:rFonts w:hint="default"/>
          <w:lang w:val="en-US" w:eastAsia="zh-CN"/>
        </w:rPr>
        <w:t>人力部</w:t>
      </w:r>
      <w:bookmarkEnd w:id="10"/>
    </w:p>
    <w:p w14:paraId="715D610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负责按计划组织员工质量意识与技能培训；及时配置满足要求的人力资源。</w:t>
      </w:r>
    </w:p>
    <w:p w14:paraId="7DF1218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30972"/>
      <w:r>
        <w:rPr>
          <w:rFonts w:hint="eastAsia"/>
          <w:lang w:val="en-US" w:eastAsia="zh-CN"/>
        </w:rPr>
        <w:t>引用依据</w:t>
      </w:r>
      <w:bookmarkEnd w:id="11"/>
    </w:p>
    <w:p w14:paraId="655ED3F4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092433C5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3067D1CE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843073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8824"/>
      <w:r>
        <w:rPr>
          <w:rFonts w:hint="eastAsia"/>
          <w:lang w:val="en-US" w:eastAsia="zh-CN"/>
        </w:rPr>
        <w:t>定义与术语</w:t>
      </w:r>
      <w:bookmarkEnd w:id="12"/>
    </w:p>
    <w:p w14:paraId="76E83AE2">
      <w:pPr>
        <w:pStyle w:val="30"/>
        <w:bidi w:val="0"/>
        <w:rPr>
          <w:rFonts w:hint="eastAsia"/>
        </w:rPr>
      </w:pPr>
      <w:bookmarkStart w:id="13" w:name="_Toc17465"/>
      <w:r>
        <w:rPr>
          <w:rFonts w:hint="eastAsia"/>
        </w:rPr>
        <w:t>质量保证</w:t>
      </w:r>
      <w:bookmarkEnd w:id="13"/>
    </w:p>
    <w:p w14:paraId="251434A8">
      <w:pPr>
        <w:pStyle w:val="29"/>
        <w:rPr>
          <w:rFonts w:hint="eastAsia"/>
        </w:rPr>
      </w:pPr>
      <w:r>
        <w:rPr>
          <w:rFonts w:hint="eastAsia"/>
        </w:rPr>
        <w:t>指所有有计划、系统性的活动，以确保项目或服务过程符合既定标准与要求。</w:t>
      </w:r>
    </w:p>
    <w:p w14:paraId="6F166DFF">
      <w:pPr>
        <w:pStyle w:val="30"/>
        <w:bidi w:val="0"/>
        <w:rPr>
          <w:rFonts w:hint="eastAsia"/>
        </w:rPr>
      </w:pPr>
      <w:bookmarkStart w:id="14" w:name="_Toc6917"/>
      <w:r>
        <w:rPr>
          <w:rFonts w:hint="eastAsia"/>
        </w:rPr>
        <w:t>SLA（服务级别协议）</w:t>
      </w:r>
      <w:bookmarkEnd w:id="14"/>
    </w:p>
    <w:p w14:paraId="4FDF6BBD">
      <w:pPr>
        <w:pStyle w:val="29"/>
        <w:rPr>
          <w:rFonts w:hint="eastAsia"/>
        </w:rPr>
      </w:pPr>
      <w:r>
        <w:rPr>
          <w:rFonts w:hint="eastAsia"/>
        </w:rPr>
        <w:t>服务提供方与客户之间正式约定的、可量化的服务标准。</w:t>
      </w:r>
    </w:p>
    <w:p w14:paraId="29FEE8FD">
      <w:pPr>
        <w:pStyle w:val="30"/>
        <w:bidi w:val="0"/>
        <w:rPr>
          <w:rFonts w:hint="eastAsia"/>
        </w:rPr>
      </w:pPr>
      <w:bookmarkStart w:id="15" w:name="_Toc24167"/>
      <w:r>
        <w:rPr>
          <w:rFonts w:hint="eastAsia"/>
        </w:rPr>
        <w:t>内部审核</w:t>
      </w:r>
      <w:bookmarkEnd w:id="15"/>
    </w:p>
    <w:p w14:paraId="20BFDCD9">
      <w:pPr>
        <w:pStyle w:val="29"/>
      </w:pPr>
      <w:r>
        <w:rPr>
          <w:rFonts w:hint="eastAsia"/>
        </w:rPr>
        <w:t>为确定管理体系是否符合规定要求并得到有效实施与保持，而独立进行的系统性检查。</w:t>
      </w:r>
    </w:p>
    <w:p w14:paraId="5AC252F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337"/>
      <w:r>
        <w:rPr>
          <w:rFonts w:hint="eastAsia"/>
          <w:lang w:val="en-US" w:eastAsia="zh-CN"/>
        </w:rPr>
        <w:t>管理内容与要求</w:t>
      </w:r>
      <w:bookmarkEnd w:id="16"/>
    </w:p>
    <w:p w14:paraId="094180C4">
      <w:pPr>
        <w:pStyle w:val="30"/>
        <w:bidi w:val="0"/>
        <w:rPr>
          <w:rFonts w:hint="default"/>
          <w:lang w:val="en-US" w:eastAsia="zh-CN"/>
        </w:rPr>
      </w:pPr>
      <w:bookmarkStart w:id="17" w:name="_Toc1475"/>
      <w:r>
        <w:rPr>
          <w:rFonts w:hint="default"/>
          <w:lang w:val="en-US" w:eastAsia="zh-CN"/>
        </w:rPr>
        <w:t>质量保证组织</w:t>
      </w:r>
      <w:bookmarkEnd w:id="17"/>
    </w:p>
    <w:p w14:paraId="013462A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公司设立运维服务质量保证组，常设于质量管理部，由质量管理部经理与质量</w:t>
      </w:r>
      <w:r>
        <w:rPr>
          <w:rFonts w:hint="eastAsia"/>
          <w:lang w:val="en-US" w:eastAsia="zh-CN"/>
        </w:rPr>
        <w:t>管理</w:t>
      </w:r>
      <w:r>
        <w:rPr>
          <w:rFonts w:hint="default"/>
          <w:lang w:val="en-US" w:eastAsia="zh-CN"/>
        </w:rPr>
        <w:t>专员构成。</w:t>
      </w:r>
    </w:p>
    <w:p w14:paraId="7EDBBDD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质量管理部经理：负责制定本计划；组织质量审计、检查活动；组织运维指标的收集与分析；主导重大事故调查与改进；组织体系内审并跟踪不符合项。</w:t>
      </w:r>
    </w:p>
    <w:p w14:paraId="3B98772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</w:t>
      </w:r>
      <w:r>
        <w:rPr>
          <w:rFonts w:hint="eastAsia"/>
          <w:lang w:val="en-US" w:eastAsia="zh-CN"/>
        </w:rPr>
        <w:t>管理专员</w:t>
      </w:r>
      <w:r>
        <w:rPr>
          <w:rFonts w:hint="default"/>
          <w:lang w:val="en-US" w:eastAsia="zh-CN"/>
        </w:rPr>
        <w:t>：按计划执行质量保证活动；收集分析运维服务指标，识别改进需求；负责运维服务管理体系的内部培训与推广。</w:t>
      </w:r>
    </w:p>
    <w:p w14:paraId="36AEB615">
      <w:pPr>
        <w:pStyle w:val="30"/>
        <w:bidi w:val="0"/>
        <w:rPr>
          <w:rFonts w:hint="default"/>
          <w:lang w:val="en-US" w:eastAsia="zh-CN"/>
        </w:rPr>
      </w:pPr>
      <w:bookmarkStart w:id="18" w:name="_Toc18205"/>
      <w:r>
        <w:rPr>
          <w:rFonts w:hint="default"/>
          <w:lang w:val="en-US" w:eastAsia="zh-CN"/>
        </w:rPr>
        <w:t>年度质量保证目标</w:t>
      </w:r>
      <w:bookmarkEnd w:id="18"/>
    </w:p>
    <w:p w14:paraId="6F6F2A3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运维服务能力目标：依据公司建立的运维服务能力管理指标体系，对服务台一次性解决率、事件平均解决时间、备件库库存周转率、知识库利用率等关键指标进行持续跟踪与监控，确保服务质量稳定可控。</w:t>
      </w:r>
    </w:p>
    <w:p w14:paraId="5F9824D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质量保证组工作目标：</w:t>
      </w:r>
    </w:p>
    <w:p w14:paraId="1F9DCB2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审计各项目组及服务台、备件库等模块是否遵循已建立的运维服务管理体系。</w:t>
      </w:r>
    </w:p>
    <w:p w14:paraId="5921455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检查各类报告与记录的及时性、准确性与完整性。</w:t>
      </w:r>
    </w:p>
    <w:p w14:paraId="7C7A2A2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确保管理评审暴露的问题得到及时、有效的解决。</w:t>
      </w:r>
    </w:p>
    <w:p w14:paraId="3AB27D4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组织体系文件培训，强化全员质量意识，适时扩充质量保证队伍。</w:t>
      </w:r>
    </w:p>
    <w:p w14:paraId="34EA46F1">
      <w:pPr>
        <w:pStyle w:val="30"/>
        <w:bidi w:val="0"/>
        <w:rPr>
          <w:rFonts w:hint="default"/>
          <w:lang w:val="en-US" w:eastAsia="zh-CN"/>
        </w:rPr>
      </w:pPr>
      <w:bookmarkStart w:id="19" w:name="_Toc5181"/>
      <w:r>
        <w:rPr>
          <w:rFonts w:hint="default"/>
          <w:lang w:val="en-US" w:eastAsia="zh-CN"/>
        </w:rPr>
        <w:t>主要质量保证活动</w:t>
      </w:r>
      <w:bookmarkEnd w:id="19"/>
    </w:p>
    <w:p w14:paraId="121C39E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质量管理人员培训：组织质量管理人员参加运维服务能力管理体系培训，深化对运维业务及管控机制的理解，优化质量监控点。</w:t>
      </w:r>
    </w:p>
    <w:p w14:paraId="1C646DC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制定年度质量管理计划：质量</w:t>
      </w:r>
      <w:r>
        <w:rPr>
          <w:rFonts w:hint="eastAsia"/>
          <w:lang w:val="en-US" w:eastAsia="zh-CN"/>
        </w:rPr>
        <w:t>管理专员</w:t>
      </w:r>
      <w:r>
        <w:rPr>
          <w:rFonts w:hint="default"/>
          <w:lang w:val="en-US" w:eastAsia="zh-CN"/>
        </w:rPr>
        <w:t>需深入理解公司年度运维服务能力实施计划，结合制度要求，制定本年度质量管理整体计划。</w:t>
      </w:r>
    </w:p>
    <w:p w14:paraId="1FCA07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服务指标收集与分析：依据公司运维服务能力指标体系，定期从服务台、备件库等环节系统收集各指标数据并进行分析。</w:t>
      </w:r>
    </w:p>
    <w:p w14:paraId="348E6F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制定项目质量计划：在运维项目启动后，与项目经理协同制定该项目的《质量管理计划》，明确质量职责、资源及评审要求。</w:t>
      </w:r>
    </w:p>
    <w:p w14:paraId="622410F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审计与检查：在项目执行过程中，依据项目《质量管理计划》，通过过程评审、人员访谈及活动参与等方式，监督过程合规性，检查过程产品。重点审计服务台的事件管理流程、备件库的出入库管理规范及服务知识的创建与应用闭环。</w:t>
      </w:r>
    </w:p>
    <w:p w14:paraId="54F9F325">
      <w:pPr>
        <w:pStyle w:val="30"/>
        <w:bidi w:val="0"/>
        <w:rPr>
          <w:rFonts w:hint="default"/>
          <w:lang w:val="en-US" w:eastAsia="zh-CN"/>
        </w:rPr>
      </w:pPr>
      <w:bookmarkStart w:id="20" w:name="_Toc5252"/>
      <w:r>
        <w:rPr>
          <w:rFonts w:hint="eastAsia"/>
          <w:lang w:val="en-US" w:eastAsia="zh-CN"/>
        </w:rPr>
        <w:t>质量保证活动实施</w:t>
      </w:r>
      <w:bookmarkEnd w:id="20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512"/>
        <w:gridCol w:w="1536"/>
        <w:gridCol w:w="1354"/>
        <w:gridCol w:w="2340"/>
      </w:tblGrid>
      <w:tr w14:paraId="06E08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6B737B5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512" w:type="dxa"/>
          </w:tcPr>
          <w:p w14:paraId="1B497CA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质量保证活动</w:t>
            </w:r>
          </w:p>
        </w:tc>
        <w:tc>
          <w:tcPr>
            <w:tcW w:w="1536" w:type="dxa"/>
          </w:tcPr>
          <w:p w14:paraId="3A46685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责任人</w:t>
            </w:r>
          </w:p>
        </w:tc>
        <w:tc>
          <w:tcPr>
            <w:tcW w:w="1354" w:type="dxa"/>
          </w:tcPr>
          <w:p w14:paraId="14AACB3F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时间安排</w:t>
            </w:r>
          </w:p>
        </w:tc>
        <w:tc>
          <w:tcPr>
            <w:tcW w:w="2340" w:type="dxa"/>
          </w:tcPr>
          <w:p w14:paraId="0CD5AFAD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输出要求</w:t>
            </w:r>
          </w:p>
        </w:tc>
      </w:tr>
      <w:tr w14:paraId="3E23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45E3FE20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6CBFEB6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客户满意度调查计划</w:t>
            </w:r>
          </w:p>
        </w:tc>
        <w:tc>
          <w:tcPr>
            <w:tcW w:w="1536" w:type="dxa"/>
            <w:shd w:val="clear" w:color="auto" w:fill="auto"/>
          </w:tcPr>
          <w:p w14:paraId="4F831F15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  <w:shd w:val="clear" w:color="auto" w:fill="auto"/>
          </w:tcPr>
          <w:p w14:paraId="2CCF46F1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 w14:paraId="72295FD7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 w14:paraId="7AC650DD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7C32DC2D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《满意度调查计划》</w:t>
            </w:r>
          </w:p>
        </w:tc>
      </w:tr>
      <w:tr w14:paraId="26DCC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3DDA002B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7E423FA8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客户满意度调查</w:t>
            </w:r>
          </w:p>
        </w:tc>
        <w:tc>
          <w:tcPr>
            <w:tcW w:w="1536" w:type="dxa"/>
          </w:tcPr>
          <w:p w14:paraId="0AEB49E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</w:tcPr>
          <w:p w14:paraId="36639849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 w14:paraId="34558814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 w14:paraId="327A4D8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0F95D58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《满意度调查结果》</w:t>
            </w:r>
          </w:p>
        </w:tc>
      </w:tr>
      <w:tr w14:paraId="581F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72F59DCB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0AE62CD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满意度调查结果分析</w:t>
            </w:r>
          </w:p>
        </w:tc>
        <w:tc>
          <w:tcPr>
            <w:tcW w:w="1536" w:type="dxa"/>
          </w:tcPr>
          <w:p w14:paraId="24EB096A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354" w:type="dxa"/>
          </w:tcPr>
          <w:p w14:paraId="26217D3A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2025.3</w:t>
            </w:r>
          </w:p>
          <w:p w14:paraId="0E6D4C35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  <w:p w14:paraId="1ED39447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13AD06DA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《满意度调查报告》</w:t>
            </w:r>
          </w:p>
        </w:tc>
      </w:tr>
      <w:tr w14:paraId="4C852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456478A7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5375022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内审计划</w:t>
            </w:r>
          </w:p>
        </w:tc>
        <w:tc>
          <w:tcPr>
            <w:tcW w:w="1536" w:type="dxa"/>
          </w:tcPr>
          <w:p w14:paraId="236E197F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质量管理部经理</w:t>
            </w:r>
          </w:p>
        </w:tc>
        <w:tc>
          <w:tcPr>
            <w:tcW w:w="1354" w:type="dxa"/>
          </w:tcPr>
          <w:p w14:paraId="11C67EAA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57F2A28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《内审计划》</w:t>
            </w:r>
          </w:p>
        </w:tc>
      </w:tr>
      <w:tr w14:paraId="2E7E0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11A38146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659EC7E8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内审检查表</w:t>
            </w:r>
          </w:p>
        </w:tc>
        <w:tc>
          <w:tcPr>
            <w:tcW w:w="1536" w:type="dxa"/>
          </w:tcPr>
          <w:p w14:paraId="18329C7A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质量管理部经理</w:t>
            </w:r>
          </w:p>
        </w:tc>
        <w:tc>
          <w:tcPr>
            <w:tcW w:w="1354" w:type="dxa"/>
          </w:tcPr>
          <w:p w14:paraId="43D45AEA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6DEB0D78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《内审检查表》</w:t>
            </w:r>
          </w:p>
        </w:tc>
      </w:tr>
      <w:tr w14:paraId="0B62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685BE8C8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5683FDA6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内审结果分析、汇总</w:t>
            </w:r>
          </w:p>
          <w:p w14:paraId="4395327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不符合项处理</w:t>
            </w:r>
          </w:p>
        </w:tc>
        <w:tc>
          <w:tcPr>
            <w:tcW w:w="1536" w:type="dxa"/>
          </w:tcPr>
          <w:p w14:paraId="4E72121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质量管理部经理</w:t>
            </w:r>
          </w:p>
        </w:tc>
        <w:tc>
          <w:tcPr>
            <w:tcW w:w="1354" w:type="dxa"/>
          </w:tcPr>
          <w:p w14:paraId="111D3670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5D111714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《内审不符合报告》</w:t>
            </w:r>
          </w:p>
          <w:p w14:paraId="5F1980FE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《内审报告》</w:t>
            </w:r>
          </w:p>
        </w:tc>
      </w:tr>
      <w:tr w14:paraId="50BA6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21AE39B0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2C4FECEE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管理评审</w:t>
            </w:r>
          </w:p>
        </w:tc>
        <w:tc>
          <w:tcPr>
            <w:tcW w:w="1536" w:type="dxa"/>
            <w:shd w:val="clear" w:color="auto" w:fill="auto"/>
          </w:tcPr>
          <w:p w14:paraId="2DCCBC3D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质量管理部经理</w:t>
            </w:r>
          </w:p>
        </w:tc>
        <w:tc>
          <w:tcPr>
            <w:tcW w:w="1354" w:type="dxa"/>
            <w:shd w:val="clear" w:color="auto" w:fill="auto"/>
          </w:tcPr>
          <w:p w14:paraId="02A3B65B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40F88BAE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《管理评审计划》</w:t>
            </w:r>
          </w:p>
        </w:tc>
      </w:tr>
      <w:tr w14:paraId="59BED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0C097A1F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77430CA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管评结果分析、汇总</w:t>
            </w:r>
          </w:p>
        </w:tc>
        <w:tc>
          <w:tcPr>
            <w:tcW w:w="1536" w:type="dxa"/>
            <w:shd w:val="clear" w:color="auto" w:fill="auto"/>
          </w:tcPr>
          <w:p w14:paraId="70A03354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质量管理部经理</w:t>
            </w:r>
          </w:p>
        </w:tc>
        <w:tc>
          <w:tcPr>
            <w:tcW w:w="1354" w:type="dxa"/>
            <w:shd w:val="clear" w:color="auto" w:fill="auto"/>
          </w:tcPr>
          <w:p w14:paraId="5E69FDE2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62BA076B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《管理评审报告》</w:t>
            </w:r>
          </w:p>
        </w:tc>
      </w:tr>
      <w:tr w14:paraId="6E0CE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2FA1FA8E">
            <w:pPr>
              <w:pStyle w:val="29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12" w:type="dxa"/>
          </w:tcPr>
          <w:p w14:paraId="30112014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质量管理总结</w:t>
            </w:r>
          </w:p>
        </w:tc>
        <w:tc>
          <w:tcPr>
            <w:tcW w:w="1536" w:type="dxa"/>
            <w:shd w:val="clear" w:color="auto" w:fill="auto"/>
          </w:tcPr>
          <w:p w14:paraId="3F0A81A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质量管理部经理</w:t>
            </w:r>
          </w:p>
        </w:tc>
        <w:tc>
          <w:tcPr>
            <w:tcW w:w="1354" w:type="dxa"/>
            <w:shd w:val="clear" w:color="auto" w:fill="auto"/>
          </w:tcPr>
          <w:p w14:paraId="3A0E2A68">
            <w:pPr>
              <w:pStyle w:val="29"/>
              <w:widowControl w:val="0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340" w:type="dxa"/>
          </w:tcPr>
          <w:p w14:paraId="03BE9DF8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《质量管理报告》</w:t>
            </w:r>
          </w:p>
        </w:tc>
      </w:tr>
    </w:tbl>
    <w:p w14:paraId="2219CDBF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C82B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999CE0E"/>
    <w:multiLevelType w:val="singleLevel"/>
    <w:tmpl w:val="B999CE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831C41F"/>
    <w:multiLevelType w:val="singleLevel"/>
    <w:tmpl w:val="5831C4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4414B10"/>
    <w:rsid w:val="6236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1854</Words>
  <Characters>2095</Characters>
  <Lines>0</Lines>
  <Paragraphs>0</Paragraphs>
  <TotalTime>272</TotalTime>
  <ScaleCrop>false</ScaleCrop>
  <LinksUpToDate>false</LinksUpToDate>
  <CharactersWithSpaces>2188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2026-01-20T07:28:22Z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