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F6A8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9" w:name="_GoBack"/>
      <w:bookmarkStart w:id="0" w:name="_Toc2800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62FAC3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2993"/>
      <w:r>
        <w:rPr>
          <w:rFonts w:hint="eastAsia"/>
          <w:lang w:val="en-US" w:eastAsia="zh-CN"/>
        </w:rPr>
        <w:t>运维服务质量管理管理评审报告</w:t>
      </w:r>
      <w:bookmarkEnd w:id="1"/>
    </w:p>
    <w:p w14:paraId="2CF88DB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482A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363DC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6D0186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3E828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28713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FBC5E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6149D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299DD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2DC40E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</w:tbl>
    <w:p w14:paraId="104BB7E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E65A9C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2AC8E5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AEABF3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EF754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5906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运维服务质量管理管理评审报告</w:t>
          </w:r>
          <w:r>
            <w:tab/>
          </w:r>
          <w:r>
            <w:fldChar w:fldCharType="begin"/>
          </w:r>
          <w:r>
            <w:instrText xml:space="preserve"> PAGEREF _Toc22993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3E53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bCs/>
              <w:spacing w:val="-5"/>
            </w:rPr>
            <w:t>一、评审时间：202</w:t>
          </w:r>
          <w:r>
            <w:rPr>
              <w:rFonts w:hint="eastAsia"/>
              <w:bCs/>
              <w:spacing w:val="-5"/>
              <w:lang w:val="en-US" w:eastAsia="zh-CN"/>
            </w:rPr>
            <w:t>5</w:t>
          </w:r>
          <w:r>
            <w:rPr>
              <w:bCs/>
              <w:spacing w:val="-5"/>
            </w:rPr>
            <w:t>年</w:t>
          </w:r>
          <w:r>
            <w:rPr>
              <w:rFonts w:hint="eastAsia"/>
              <w:bCs/>
              <w:spacing w:val="-5"/>
              <w:lang w:val="en-US" w:eastAsia="zh-CN"/>
            </w:rPr>
            <w:t>9月20</w:t>
          </w:r>
          <w:r>
            <w:rPr>
              <w:bCs/>
              <w:spacing w:val="-5"/>
            </w:rPr>
            <w:t>日</w:t>
          </w:r>
          <w:r>
            <w:tab/>
          </w:r>
          <w:r>
            <w:fldChar w:fldCharType="begin"/>
          </w:r>
          <w:r>
            <w:instrText xml:space="preserve"> PAGEREF _Toc15254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5CCA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bCs/>
              <w:spacing w:val="-3"/>
            </w:rPr>
            <w:t>二、评审地点:会议室</w:t>
          </w:r>
          <w:r>
            <w:tab/>
          </w:r>
          <w:r>
            <w:fldChar w:fldCharType="begin"/>
          </w:r>
          <w:r>
            <w:instrText xml:space="preserve"> PAGEREF _Toc19194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CC31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bCs/>
              <w:spacing w:val="-4"/>
            </w:rPr>
            <w:t>四、评审目的</w:t>
          </w:r>
          <w:r>
            <w:tab/>
          </w:r>
          <w:r>
            <w:fldChar w:fldCharType="begin"/>
          </w:r>
          <w:r>
            <w:instrText xml:space="preserve"> PAGEREF _Toc16802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3B8C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bCs/>
              <w:spacing w:val="-2"/>
            </w:rPr>
            <w:t>五、评审内容</w:t>
          </w:r>
          <w:r>
            <w:tab/>
          </w:r>
          <w:r>
            <w:fldChar w:fldCharType="begin"/>
          </w:r>
          <w:r>
            <w:instrText xml:space="preserve"> PAGEREF _Toc26207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8D6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bCs/>
              <w:spacing w:val="-1"/>
            </w:rPr>
            <w:t>六、评审情况</w:t>
          </w:r>
          <w:r>
            <w:tab/>
          </w:r>
          <w:r>
            <w:fldChar w:fldCharType="begin"/>
          </w:r>
          <w:r>
            <w:instrText xml:space="preserve"> PAGEREF _Toc14460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5CE77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bCs/>
              <w:spacing w:val="-4"/>
            </w:rPr>
            <w:t>1、</w:t>
          </w:r>
          <w:r>
            <w:rPr>
              <w:rFonts w:hint="eastAsia"/>
              <w:bCs/>
              <w:spacing w:val="-4"/>
              <w:lang w:val="en-US" w:eastAsia="zh-CN"/>
            </w:rPr>
            <w:t>2025</w:t>
          </w:r>
          <w:r>
            <w:rPr>
              <w:bCs/>
              <w:spacing w:val="-4"/>
            </w:rPr>
            <w:t>年运维服务管理体系审核的结果</w:t>
          </w:r>
          <w:r>
            <w:tab/>
          </w:r>
          <w:r>
            <w:fldChar w:fldCharType="begin"/>
          </w:r>
          <w:r>
            <w:instrText xml:space="preserve"> PAGEREF _Toc12761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8CB67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bCs/>
              <w:spacing w:val="-3"/>
              <w:lang w:val="en-US" w:eastAsia="zh-CN"/>
            </w:rPr>
            <w:t>2</w:t>
          </w:r>
          <w:r>
            <w:rPr>
              <w:bCs/>
              <w:spacing w:val="-3"/>
            </w:rPr>
            <w:t>、纠正措施执行情况</w:t>
          </w:r>
          <w:r>
            <w:tab/>
          </w:r>
          <w:r>
            <w:fldChar w:fldCharType="begin"/>
          </w:r>
          <w:r>
            <w:instrText xml:space="preserve"> PAGEREF _Toc9369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E069D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FA8B37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39"/>
        <w:tblW w:w="978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82"/>
      </w:tblGrid>
      <w:tr w14:paraId="30372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0" w:hRule="atLeast"/>
        </w:trPr>
        <w:tc>
          <w:tcPr>
            <w:tcW w:w="9782" w:type="dxa"/>
          </w:tcPr>
          <w:p w14:paraId="24A0EED0">
            <w:pPr>
              <w:pStyle w:val="27"/>
              <w:spacing w:before="276" w:line="220" w:lineRule="auto"/>
              <w:ind w:left="116"/>
              <w:outlineLvl w:val="1"/>
            </w:pPr>
            <w:bookmarkStart w:id="2" w:name="_Toc15254"/>
            <w:r>
              <w:rPr>
                <w:b/>
                <w:bCs/>
                <w:spacing w:val="-5"/>
              </w:rPr>
              <w:t>一、评审时间：202</w:t>
            </w:r>
            <w:r>
              <w:rPr>
                <w:rFonts w:hint="eastAsia"/>
                <w:b/>
                <w:bCs/>
                <w:spacing w:val="-5"/>
                <w:lang w:val="en-US" w:eastAsia="zh-CN"/>
              </w:rPr>
              <w:t>5</w:t>
            </w:r>
            <w:r>
              <w:rPr>
                <w:b/>
                <w:bCs/>
                <w:spacing w:val="-5"/>
              </w:rPr>
              <w:t>年</w:t>
            </w:r>
            <w:r>
              <w:rPr>
                <w:rFonts w:hint="eastAsia"/>
                <w:b/>
                <w:bCs/>
                <w:spacing w:val="-5"/>
                <w:lang w:val="en-US" w:eastAsia="zh-CN"/>
              </w:rPr>
              <w:t>9月20</w:t>
            </w:r>
            <w:r>
              <w:rPr>
                <w:b/>
                <w:bCs/>
                <w:spacing w:val="-5"/>
              </w:rPr>
              <w:t>日</w:t>
            </w:r>
            <w:bookmarkEnd w:id="2"/>
          </w:p>
          <w:p w14:paraId="58AE2BC1">
            <w:pPr>
              <w:pStyle w:val="27"/>
              <w:spacing w:before="312" w:line="219" w:lineRule="auto"/>
              <w:ind w:left="116"/>
              <w:outlineLvl w:val="1"/>
            </w:pPr>
            <w:bookmarkStart w:id="3" w:name="_Toc19194"/>
            <w:r>
              <w:rPr>
                <w:b/>
                <w:bCs/>
                <w:spacing w:val="-3"/>
              </w:rPr>
              <w:t>二、评审地点:会议室</w:t>
            </w:r>
            <w:bookmarkEnd w:id="3"/>
          </w:p>
          <w:p w14:paraId="651B0C4D">
            <w:pPr>
              <w:pStyle w:val="27"/>
              <w:spacing w:before="313" w:line="220" w:lineRule="auto"/>
              <w:ind w:left="112"/>
            </w:pPr>
            <w:r>
              <w:t>三、</w:t>
            </w:r>
            <w:r>
              <w:rPr>
                <w:b/>
                <w:bCs/>
              </w:rPr>
              <w:t>评审人员</w:t>
            </w:r>
          </w:p>
          <w:p w14:paraId="4715D9B0">
            <w:pPr>
              <w:pStyle w:val="27"/>
              <w:spacing w:before="311" w:line="220" w:lineRule="auto"/>
              <w:ind w:left="534"/>
            </w:pPr>
            <w:r>
              <w:rPr>
                <w:spacing w:val="-2"/>
              </w:rPr>
              <w:t>主持人——</w:t>
            </w:r>
            <w:r>
              <w:rPr>
                <w:rFonts w:hint="default"/>
                <w:vertAlign w:val="baseline"/>
                <w:lang w:val="en-US" w:eastAsia="zh-CN"/>
              </w:rPr>
              <w:t>涂志云</w:t>
            </w:r>
          </w:p>
          <w:p w14:paraId="27C028BE">
            <w:pPr>
              <w:pStyle w:val="27"/>
              <w:spacing w:before="311" w:line="220" w:lineRule="auto"/>
              <w:ind w:left="534"/>
            </w:pPr>
            <w:r>
              <w:rPr>
                <w:spacing w:val="-2"/>
              </w:rPr>
              <w:t>参与人员——</w:t>
            </w:r>
            <w:r>
              <w:rPr>
                <w:rFonts w:hint="eastAsia"/>
                <w:vertAlign w:val="baseline"/>
                <w:lang w:val="en-US" w:eastAsia="zh-CN"/>
              </w:rPr>
              <w:t>徐超超、熊发云、陈萍、张翔</w:t>
            </w:r>
            <w:r>
              <w:rPr>
                <w:spacing w:val="-2"/>
              </w:rPr>
              <w:t>。</w:t>
            </w:r>
          </w:p>
          <w:p w14:paraId="78CB869A">
            <w:pPr>
              <w:pStyle w:val="27"/>
              <w:spacing w:before="313" w:line="220" w:lineRule="auto"/>
              <w:ind w:left="134"/>
              <w:outlineLvl w:val="1"/>
            </w:pPr>
            <w:bookmarkStart w:id="4" w:name="_Toc16802"/>
            <w:r>
              <w:rPr>
                <w:b/>
                <w:bCs/>
                <w:spacing w:val="-4"/>
              </w:rPr>
              <w:t>四、评审目的</w:t>
            </w:r>
            <w:bookmarkEnd w:id="4"/>
          </w:p>
          <w:p w14:paraId="3B95159D">
            <w:pPr>
              <w:pStyle w:val="27"/>
              <w:spacing w:before="312" w:line="359" w:lineRule="auto"/>
              <w:ind w:left="111" w:right="103" w:firstLine="480"/>
              <w:jc w:val="both"/>
            </w:pPr>
            <w:r>
              <w:rPr>
                <w:spacing w:val="-2"/>
              </w:rPr>
              <w:t>通过评价公司</w:t>
            </w:r>
            <w:r>
              <w:rPr>
                <w:rFonts w:hint="eastAsia"/>
                <w:spacing w:val="-2"/>
                <w:lang w:val="en-US" w:eastAsia="zh-CN"/>
              </w:rPr>
              <w:t>2025年1-9月</w:t>
            </w:r>
            <w:r>
              <w:rPr>
                <w:spacing w:val="-2"/>
              </w:rPr>
              <w:t>运维服务各项工作的执行情况以及各指标的达成情况，</w:t>
            </w:r>
            <w:r>
              <w:rPr>
                <w:spacing w:val="-1"/>
              </w:rPr>
              <w:t>评价运维服务能力管理体系的适宜性、充分性、有效性，提出改进措施、建议，确</w:t>
            </w:r>
            <w:r>
              <w:rPr>
                <w:spacing w:val="-2"/>
              </w:rPr>
              <w:t>保公司方针、目标的实现和满足法律法规和客户的需求。</w:t>
            </w:r>
          </w:p>
          <w:p w14:paraId="559B8E9B">
            <w:pPr>
              <w:pStyle w:val="27"/>
              <w:spacing w:before="1" w:line="219" w:lineRule="auto"/>
              <w:ind w:left="116"/>
              <w:outlineLvl w:val="1"/>
            </w:pPr>
            <w:bookmarkStart w:id="5" w:name="_Toc26207"/>
            <w:r>
              <w:rPr>
                <w:b/>
                <w:bCs/>
                <w:spacing w:val="-2"/>
              </w:rPr>
              <w:t>五、评审内容</w:t>
            </w:r>
            <w:bookmarkEnd w:id="5"/>
          </w:p>
          <w:p w14:paraId="3B95E0AE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1、内审结果</w:t>
            </w:r>
          </w:p>
          <w:p w14:paraId="6F016404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2、各部门指标分析报告（指标及实施情况）</w:t>
            </w:r>
          </w:p>
          <w:p w14:paraId="16DD239E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3、客户满意度调查和客户投诉情况</w:t>
            </w:r>
          </w:p>
          <w:p w14:paraId="2D893C24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4、公司的组织结构、职责分配、资源配备的适宜性</w:t>
            </w:r>
          </w:p>
          <w:p w14:paraId="6E71DDE4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5、体系要素及文件的适宜性</w:t>
            </w:r>
          </w:p>
          <w:p w14:paraId="62B79FFC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6</w:t>
            </w:r>
            <w:r>
              <w:rPr>
                <w:spacing w:val="-3"/>
              </w:rPr>
              <w:t>、客户及员工对运维能力体系的合理化建议</w:t>
            </w:r>
          </w:p>
          <w:p w14:paraId="7431BFB0">
            <w:pPr>
              <w:pStyle w:val="27"/>
              <w:spacing w:before="182" w:line="220" w:lineRule="auto"/>
              <w:ind w:left="114"/>
              <w:outlineLvl w:val="1"/>
            </w:pPr>
            <w:bookmarkStart w:id="6" w:name="_Toc14460"/>
            <w:r>
              <w:rPr>
                <w:b/>
                <w:bCs/>
                <w:spacing w:val="-1"/>
              </w:rPr>
              <w:t>六、评审情况</w:t>
            </w:r>
            <w:bookmarkEnd w:id="6"/>
          </w:p>
          <w:p w14:paraId="7E7AC554">
            <w:pPr>
              <w:pStyle w:val="27"/>
              <w:spacing w:before="181" w:line="359" w:lineRule="auto"/>
              <w:ind w:left="113" w:right="102" w:firstLine="480"/>
            </w:pPr>
            <w:r>
              <w:rPr>
                <w:spacing w:val="-1"/>
              </w:rPr>
              <w:t>本次管理评审会议由</w:t>
            </w:r>
            <w:r>
              <w:rPr>
                <w:rFonts w:hint="eastAsia"/>
                <w:spacing w:val="-1"/>
                <w:lang w:val="en-US" w:eastAsia="zh-CN"/>
              </w:rPr>
              <w:t>管理者代表</w:t>
            </w:r>
            <w:r>
              <w:rPr>
                <w:spacing w:val="-1"/>
              </w:rPr>
              <w:t>主持，运维业务涉及的相关副总、各</w:t>
            </w:r>
            <w:r>
              <w:rPr>
                <w:spacing w:val="-2"/>
              </w:rPr>
              <w:t>部门主管、运维主</w:t>
            </w:r>
            <w:r>
              <w:rPr>
                <w:spacing w:val="-3"/>
              </w:rPr>
              <w:t>要项目负责人、内审员参加。会议主要评审内容如下：</w:t>
            </w:r>
          </w:p>
          <w:p w14:paraId="276B98B8">
            <w:pPr>
              <w:pStyle w:val="27"/>
              <w:spacing w:line="219" w:lineRule="auto"/>
              <w:ind w:left="610"/>
              <w:outlineLvl w:val="2"/>
            </w:pPr>
            <w:bookmarkStart w:id="7" w:name="_Toc12761"/>
            <w:r>
              <w:rPr>
                <w:b/>
                <w:bCs/>
                <w:spacing w:val="-4"/>
              </w:rPr>
              <w:t>1、</w:t>
            </w:r>
            <w:r>
              <w:rPr>
                <w:rFonts w:hint="eastAsia"/>
                <w:b/>
                <w:bCs/>
                <w:spacing w:val="-4"/>
                <w:lang w:val="en-US" w:eastAsia="zh-CN"/>
              </w:rPr>
              <w:t>2025</w:t>
            </w:r>
            <w:r>
              <w:rPr>
                <w:b/>
                <w:bCs/>
                <w:spacing w:val="-4"/>
              </w:rPr>
              <w:t>年运维服务管理体系审核的结果</w:t>
            </w:r>
            <w:bookmarkEnd w:id="7"/>
          </w:p>
          <w:p w14:paraId="245ADEF5">
            <w:pPr>
              <w:pStyle w:val="27"/>
              <w:spacing w:before="183" w:line="340" w:lineRule="auto"/>
              <w:ind w:left="118" w:right="129" w:firstLine="481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自2025年1月持续运行运维服务能力管理体系以来，通过几个月的运行，根据日常客户反馈、9月的内部审核结果、目标达成情况等数据表明虽然存在一些不足，但整体运行良好满足运维服务能力管理体系的相关条款要求。</w:t>
            </w:r>
          </w:p>
          <w:p w14:paraId="7713DA6C">
            <w:pPr>
              <w:pStyle w:val="27"/>
              <w:spacing w:before="183" w:line="340" w:lineRule="auto"/>
              <w:ind w:left="118" w:right="129" w:firstLine="481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内审过程中发现1个不符合项为一般不符合，已经督促相关数智运营部门进行整改，并由专人进行跟进，不符合项已关闭。</w:t>
            </w:r>
          </w:p>
          <w:p w14:paraId="490FA98E">
            <w:pPr>
              <w:pStyle w:val="27"/>
              <w:spacing w:before="180" w:line="220" w:lineRule="auto"/>
              <w:ind w:left="595"/>
              <w:outlineLvl w:val="2"/>
            </w:pPr>
            <w:bookmarkStart w:id="8" w:name="_Toc9369"/>
            <w:r>
              <w:rPr>
                <w:rFonts w:hint="eastAsia"/>
                <w:b/>
                <w:bCs/>
                <w:spacing w:val="-3"/>
                <w:lang w:val="en-US" w:eastAsia="zh-CN"/>
              </w:rPr>
              <w:t>2</w:t>
            </w:r>
            <w:r>
              <w:rPr>
                <w:b/>
                <w:bCs/>
                <w:spacing w:val="-3"/>
              </w:rPr>
              <w:t>、纠正措施执行情况</w:t>
            </w:r>
            <w:bookmarkEnd w:id="8"/>
          </w:p>
          <w:p w14:paraId="33B0511A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uto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针对内审过程中发现的不符合项，由人力部安排专业外聘老师进行培训</w:t>
            </w:r>
          </w:p>
          <w:p w14:paraId="2740325E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uto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质量管理部应严格执行质量管理规范，对运维相关部门服务质量进行跟进</w:t>
            </w:r>
          </w:p>
          <w:p w14:paraId="1343CB21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uto"/>
              <w:ind w:left="119" w:right="130" w:firstLine="482"/>
              <w:textAlignment w:val="baseline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满意度调查过程中发现运维管理方面满意度较低，应加钱改对运维工程师培训以增强专业技能</w:t>
            </w:r>
          </w:p>
        </w:tc>
      </w:tr>
    </w:tbl>
    <w:p w14:paraId="20F00886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F9E5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DC6755"/>
    <w:rsid w:val="0A2A19F9"/>
    <w:rsid w:val="0B644DEB"/>
    <w:rsid w:val="12C56ABB"/>
    <w:rsid w:val="23F4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820</Words>
  <Characters>897</Characters>
  <Lines>0</Lines>
  <Paragraphs>0</Paragraphs>
  <TotalTime>0</TotalTime>
  <ScaleCrop>false</ScaleCrop>
  <LinksUpToDate>false</LinksUpToDate>
  <CharactersWithSpaces>924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2026-01-20T07:28:46Z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