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96D5C">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9" w:name="_GoBack"/>
      <w:bookmarkStart w:id="0" w:name="_Toc22508"/>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bookmarkEnd w:id="9"/>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4652F3B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1268"/>
      <w:r>
        <w:rPr>
          <w:rFonts w:hint="eastAsia"/>
          <w:lang w:val="en-US" w:eastAsia="zh-CN"/>
        </w:rPr>
        <w:t>运维服务质量管理报告</w:t>
      </w:r>
      <w:bookmarkEnd w:id="1"/>
    </w:p>
    <w:p w14:paraId="33D0C0F7">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17</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45F216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250F60A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4261872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5E913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72AEB347">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759D3D5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r w14:paraId="573096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3A67B5B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EB197B4">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2025.11.30</w:t>
            </w:r>
          </w:p>
        </w:tc>
      </w:tr>
    </w:tbl>
    <w:p w14:paraId="3110DD03">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73DD0B02">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11.30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3B7B634C">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6495F9F">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B1355A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_Toc22508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_Toc22508 \h </w:instrText>
          </w:r>
          <w:r>
            <w:fldChar w:fldCharType="separate"/>
          </w:r>
          <w:r>
            <w:t>1</w:t>
          </w:r>
          <w:r>
            <w:fldChar w:fldCharType="end"/>
          </w:r>
          <w:r>
            <w:rPr>
              <w:rFonts w:hint="eastAsia" w:ascii="宋体" w:hAnsi="宋体" w:eastAsia="宋体" w:cs="宋体"/>
              <w:szCs w:val="24"/>
            </w:rPr>
            <w:fldChar w:fldCharType="end"/>
          </w:r>
        </w:p>
        <w:p w14:paraId="0698123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_Toc11268 </w:instrText>
          </w:r>
          <w:r>
            <w:rPr>
              <w:rFonts w:hint="eastAsia" w:ascii="宋体" w:hAnsi="宋体" w:eastAsia="宋体" w:cs="宋体"/>
              <w:szCs w:val="24"/>
            </w:rPr>
            <w:fldChar w:fldCharType="separate"/>
          </w:r>
          <w:r>
            <w:rPr>
              <w:rFonts w:hint="eastAsia"/>
              <w:lang w:val="en-US" w:eastAsia="zh-CN"/>
            </w:rPr>
            <w:t>运维服务质量管理报告</w:t>
          </w:r>
          <w:r>
            <w:tab/>
          </w:r>
          <w:r>
            <w:fldChar w:fldCharType="begin"/>
          </w:r>
          <w:r>
            <w:instrText xml:space="preserve"> PAGEREF _Toc11268 \h </w:instrText>
          </w:r>
          <w:r>
            <w:fldChar w:fldCharType="separate"/>
          </w:r>
          <w:r>
            <w:t>1</w:t>
          </w:r>
          <w:r>
            <w:fldChar w:fldCharType="end"/>
          </w:r>
          <w:r>
            <w:rPr>
              <w:rFonts w:hint="eastAsia" w:ascii="宋体" w:hAnsi="宋体" w:eastAsia="宋体" w:cs="宋体"/>
              <w:szCs w:val="24"/>
            </w:rPr>
            <w:fldChar w:fldCharType="end"/>
          </w:r>
        </w:p>
        <w:p w14:paraId="48A6FA6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_Toc31385 </w:instrText>
          </w:r>
          <w:r>
            <w:rPr>
              <w:rFonts w:hint="eastAsia" w:ascii="宋体" w:hAnsi="宋体" w:eastAsia="宋体" w:cs="宋体"/>
              <w:szCs w:val="24"/>
            </w:rPr>
            <w:fldChar w:fldCharType="separate"/>
          </w:r>
          <w:r>
            <w:rPr>
              <w:rFonts w:hint="default"/>
            </w:rPr>
            <w:t>1. 概述</w:t>
          </w:r>
          <w:r>
            <w:tab/>
          </w:r>
          <w:r>
            <w:fldChar w:fldCharType="begin"/>
          </w:r>
          <w:r>
            <w:instrText xml:space="preserve"> PAGEREF _Toc31385 \h </w:instrText>
          </w:r>
          <w:r>
            <w:fldChar w:fldCharType="separate"/>
          </w:r>
          <w:r>
            <w:t>4</w:t>
          </w:r>
          <w:r>
            <w:fldChar w:fldCharType="end"/>
          </w:r>
          <w:r>
            <w:rPr>
              <w:rFonts w:hint="eastAsia" w:ascii="宋体" w:hAnsi="宋体" w:eastAsia="宋体" w:cs="宋体"/>
              <w:szCs w:val="24"/>
            </w:rPr>
            <w:fldChar w:fldCharType="end"/>
          </w:r>
        </w:p>
        <w:p w14:paraId="47FEB48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_Toc27827 </w:instrText>
          </w:r>
          <w:r>
            <w:rPr>
              <w:rFonts w:hint="eastAsia" w:ascii="宋体" w:hAnsi="宋体" w:eastAsia="宋体" w:cs="宋体"/>
              <w:szCs w:val="24"/>
            </w:rPr>
            <w:fldChar w:fldCharType="separate"/>
          </w:r>
          <w:r>
            <w:rPr>
              <w:rFonts w:hint="default"/>
              <w:lang w:val="en-US" w:eastAsia="zh-CN"/>
            </w:rPr>
            <w:t xml:space="preserve">2. </w:t>
          </w:r>
          <w:r>
            <w:t>运维服务质量</w:t>
          </w:r>
          <w:r>
            <w:rPr>
              <w:rFonts w:hint="eastAsia"/>
              <w:lang w:val="en-US" w:eastAsia="zh-CN"/>
            </w:rPr>
            <w:t>结果</w:t>
          </w:r>
          <w:r>
            <w:t>分析</w:t>
          </w:r>
          <w:r>
            <w:tab/>
          </w:r>
          <w:r>
            <w:fldChar w:fldCharType="begin"/>
          </w:r>
          <w:r>
            <w:instrText xml:space="preserve"> PAGEREF _Toc27827 \h </w:instrText>
          </w:r>
          <w:r>
            <w:fldChar w:fldCharType="separate"/>
          </w:r>
          <w:r>
            <w:t>4</w:t>
          </w:r>
          <w:r>
            <w:fldChar w:fldCharType="end"/>
          </w:r>
          <w:r>
            <w:rPr>
              <w:rFonts w:hint="eastAsia" w:ascii="宋体" w:hAnsi="宋体" w:eastAsia="宋体" w:cs="宋体"/>
              <w:szCs w:val="24"/>
            </w:rPr>
            <w:fldChar w:fldCharType="end"/>
          </w:r>
        </w:p>
        <w:p w14:paraId="2310D2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_Toc391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w:t>
          </w:r>
          <w:r>
            <w:tab/>
          </w:r>
          <w:r>
            <w:fldChar w:fldCharType="begin"/>
          </w:r>
          <w:r>
            <w:instrText xml:space="preserve"> PAGEREF _Toc391 \h </w:instrText>
          </w:r>
          <w:r>
            <w:fldChar w:fldCharType="separate"/>
          </w:r>
          <w:r>
            <w:t>4</w:t>
          </w:r>
          <w:r>
            <w:fldChar w:fldCharType="end"/>
          </w:r>
          <w:r>
            <w:rPr>
              <w:rFonts w:hint="eastAsia" w:ascii="宋体" w:hAnsi="宋体" w:eastAsia="宋体" w:cs="宋体"/>
              <w:szCs w:val="24"/>
            </w:rPr>
            <w:fldChar w:fldCharType="end"/>
          </w:r>
        </w:p>
        <w:p w14:paraId="3EE59FA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_Toc13200 </w:instrText>
          </w:r>
          <w:r>
            <w:rPr>
              <w:rFonts w:hint="eastAsia" w:ascii="宋体" w:hAnsi="宋体" w:eastAsia="宋体" w:cs="宋体"/>
              <w:szCs w:val="24"/>
            </w:rPr>
            <w:fldChar w:fldCharType="separate"/>
          </w:r>
          <w:r>
            <w:rPr>
              <w:rFonts w:hint="default" w:ascii="Segoe UI" w:hAnsi="Segoe UI" w:eastAsia="宋体" w:cs="Segoe UI"/>
              <w:i w:val="0"/>
              <w:iCs w:val="0"/>
              <w:caps w:val="0"/>
              <w:spacing w:val="0"/>
              <w:szCs w:val="24"/>
              <w:shd w:val="clear" w:color="auto" w:fill="FFFFFF"/>
              <w:lang w:val="en-US" w:eastAsia="zh-CN"/>
            </w:rPr>
            <w:t xml:space="preserve">2.2. </w:t>
          </w:r>
          <w:r>
            <w:rPr>
              <w:rFonts w:hint="eastAsia"/>
              <w:lang w:val="en-US" w:eastAsia="zh-CN"/>
            </w:rPr>
            <w:t>SLA达成率</w:t>
          </w:r>
          <w:r>
            <w:tab/>
          </w:r>
          <w:r>
            <w:fldChar w:fldCharType="begin"/>
          </w:r>
          <w:r>
            <w:instrText xml:space="preserve"> PAGEREF _Toc13200 \h </w:instrText>
          </w:r>
          <w:r>
            <w:fldChar w:fldCharType="separate"/>
          </w:r>
          <w:r>
            <w:t>4</w:t>
          </w:r>
          <w:r>
            <w:fldChar w:fldCharType="end"/>
          </w:r>
          <w:r>
            <w:rPr>
              <w:rFonts w:hint="eastAsia" w:ascii="宋体" w:hAnsi="宋体" w:eastAsia="宋体" w:cs="宋体"/>
              <w:szCs w:val="24"/>
            </w:rPr>
            <w:fldChar w:fldCharType="end"/>
          </w:r>
        </w:p>
        <w:p w14:paraId="657A579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_Toc30230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内审</w:t>
          </w:r>
          <w:r>
            <w:tab/>
          </w:r>
          <w:r>
            <w:fldChar w:fldCharType="begin"/>
          </w:r>
          <w:r>
            <w:instrText xml:space="preserve"> PAGEREF _Toc30230 \h </w:instrText>
          </w:r>
          <w:r>
            <w:fldChar w:fldCharType="separate"/>
          </w:r>
          <w:r>
            <w:t>5</w:t>
          </w:r>
          <w:r>
            <w:fldChar w:fldCharType="end"/>
          </w:r>
          <w:r>
            <w:rPr>
              <w:rFonts w:hint="eastAsia" w:ascii="宋体" w:hAnsi="宋体" w:eastAsia="宋体" w:cs="宋体"/>
              <w:szCs w:val="24"/>
            </w:rPr>
            <w:fldChar w:fldCharType="end"/>
          </w:r>
        </w:p>
        <w:p w14:paraId="0341EB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_Toc26127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管理评审</w:t>
          </w:r>
          <w:r>
            <w:tab/>
          </w:r>
          <w:r>
            <w:fldChar w:fldCharType="begin"/>
          </w:r>
          <w:r>
            <w:instrText xml:space="preserve"> PAGEREF _Toc26127 \h </w:instrText>
          </w:r>
          <w:r>
            <w:fldChar w:fldCharType="separate"/>
          </w:r>
          <w:r>
            <w:t>5</w:t>
          </w:r>
          <w:r>
            <w:fldChar w:fldCharType="end"/>
          </w:r>
          <w:r>
            <w:rPr>
              <w:rFonts w:hint="eastAsia" w:ascii="宋体" w:hAnsi="宋体" w:eastAsia="宋体" w:cs="宋体"/>
              <w:szCs w:val="24"/>
            </w:rPr>
            <w:fldChar w:fldCharType="end"/>
          </w:r>
        </w:p>
        <w:p w14:paraId="5907B85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_Toc27444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问题与改进</w:t>
          </w:r>
          <w:r>
            <w:tab/>
          </w:r>
          <w:r>
            <w:fldChar w:fldCharType="begin"/>
          </w:r>
          <w:r>
            <w:instrText xml:space="preserve"> PAGEREF _Toc27444 \h </w:instrText>
          </w:r>
          <w:r>
            <w:fldChar w:fldCharType="separate"/>
          </w:r>
          <w:r>
            <w:t>5</w:t>
          </w:r>
          <w:r>
            <w:fldChar w:fldCharType="end"/>
          </w:r>
          <w:r>
            <w:rPr>
              <w:rFonts w:hint="eastAsia" w:ascii="宋体" w:hAnsi="宋体" w:eastAsia="宋体" w:cs="宋体"/>
              <w:szCs w:val="24"/>
            </w:rPr>
            <w:fldChar w:fldCharType="end"/>
          </w:r>
        </w:p>
        <w:p w14:paraId="4117AB89">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C9B584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A89DF37">
      <w:pPr>
        <w:pStyle w:val="28"/>
        <w:bidi w:val="0"/>
      </w:pPr>
      <w:bookmarkStart w:id="2" w:name="_Toc31385"/>
      <w:r>
        <w:rPr>
          <w:rFonts w:hint="default"/>
        </w:rPr>
        <w:t>概述</w:t>
      </w:r>
      <w:bookmarkEnd w:id="2"/>
    </w:p>
    <w:p w14:paraId="1F6ED66E">
      <w:pPr>
        <w:pStyle w:val="29"/>
        <w:bidi w:val="0"/>
        <w:rPr>
          <w:rFonts w:hint="default"/>
        </w:rPr>
      </w:pPr>
      <w:r>
        <w:rPr>
          <w:rFonts w:hint="default"/>
        </w:rPr>
        <w:t>为持续提升运维服务质量，根据《运维服务质量管理</w:t>
      </w:r>
      <w:r>
        <w:rPr>
          <w:rFonts w:hint="eastAsia"/>
          <w:lang w:val="en-US" w:eastAsia="zh-CN"/>
        </w:rPr>
        <w:t>制度</w:t>
      </w:r>
      <w:r>
        <w:rPr>
          <w:rFonts w:hint="default"/>
        </w:rPr>
        <w:t>》及年度运维服务质量管理计划的要求，本公司对202</w:t>
      </w:r>
      <w:r>
        <w:rPr>
          <w:rFonts w:hint="eastAsia"/>
          <w:lang w:val="en-US" w:eastAsia="zh-CN"/>
        </w:rPr>
        <w:t>5</w:t>
      </w:r>
      <w:r>
        <w:rPr>
          <w:rFonts w:hint="default"/>
        </w:rPr>
        <w:t>年</w:t>
      </w:r>
      <w:r>
        <w:rPr>
          <w:rFonts w:hint="eastAsia"/>
          <w:lang w:val="en-US" w:eastAsia="zh-CN"/>
        </w:rPr>
        <w:t>1</w:t>
      </w:r>
      <w:r>
        <w:rPr>
          <w:rFonts w:hint="default"/>
        </w:rPr>
        <w:t>月至</w:t>
      </w:r>
      <w:r>
        <w:rPr>
          <w:rFonts w:hint="eastAsia"/>
          <w:lang w:val="en-US" w:eastAsia="zh-CN"/>
        </w:rPr>
        <w:t>9月</w:t>
      </w:r>
      <w:r>
        <w:rPr>
          <w:rFonts w:hint="default"/>
        </w:rPr>
        <w:t>期间的运维服务质量度量数据与质量目标达成情况进行了系统梳理与分析。本报告旨在全面总结本阶段质量管理工作成效，识别存在的问题，并为下一阶段制定质量保证与改进计划提供明确的数据支持和决策依据。</w:t>
      </w:r>
    </w:p>
    <w:p w14:paraId="3CA061B7">
      <w:pPr>
        <w:pStyle w:val="28"/>
        <w:bidi w:val="0"/>
        <w:rPr>
          <w:rFonts w:hint="default"/>
          <w:lang w:val="en-US" w:eastAsia="zh-CN"/>
        </w:rPr>
      </w:pPr>
      <w:bookmarkStart w:id="3" w:name="_Toc27827"/>
      <w:r>
        <w:t>运维服务质量</w:t>
      </w:r>
      <w:r>
        <w:rPr>
          <w:rFonts w:hint="eastAsia"/>
          <w:lang w:val="en-US" w:eastAsia="zh-CN"/>
        </w:rPr>
        <w:t>结果</w:t>
      </w:r>
      <w:r>
        <w:t>分析</w:t>
      </w:r>
      <w:bookmarkEnd w:id="3"/>
    </w:p>
    <w:p w14:paraId="0FD3D641">
      <w:pPr>
        <w:pStyle w:val="29"/>
        <w:bidi w:val="0"/>
        <w:rPr>
          <w:rFonts w:hint="eastAsia"/>
          <w:lang w:val="en-US" w:eastAsia="zh-CN"/>
        </w:rPr>
      </w:pPr>
      <w:r>
        <w:t>本阶段运维服务质量目标主要围绕服务级别协议（SLA）达成率与客户满意度两大核心指标展开。202</w:t>
      </w:r>
      <w:r>
        <w:rPr>
          <w:rFonts w:hint="eastAsia"/>
          <w:lang w:val="en-US" w:eastAsia="zh-CN"/>
        </w:rPr>
        <w:t>5</w:t>
      </w:r>
      <w:r>
        <w:t>年</w:t>
      </w:r>
      <w:r>
        <w:rPr>
          <w:rFonts w:hint="eastAsia"/>
          <w:lang w:val="en-US" w:eastAsia="zh-CN"/>
        </w:rPr>
        <w:t>1</w:t>
      </w:r>
      <w:r>
        <w:t>月至</w:t>
      </w:r>
      <w:r>
        <w:rPr>
          <w:rFonts w:hint="eastAsia"/>
          <w:lang w:val="en-US" w:eastAsia="zh-CN"/>
        </w:rPr>
        <w:t>9月</w:t>
      </w:r>
      <w:r>
        <w:t>，公司设定的质量目标为：客户满意度不低于9</w:t>
      </w:r>
      <w:r>
        <w:rPr>
          <w:rFonts w:hint="eastAsia"/>
          <w:lang w:val="en-US" w:eastAsia="zh-CN"/>
        </w:rPr>
        <w:t>0</w:t>
      </w:r>
      <w:r>
        <w:t>%</w:t>
      </w:r>
      <w:r>
        <w:rPr>
          <w:rFonts w:hint="eastAsia"/>
          <w:lang w:eastAsia="zh-CN"/>
        </w:rPr>
        <w:t>，</w:t>
      </w:r>
      <w:r>
        <w:rPr>
          <w:rFonts w:hint="eastAsia"/>
          <w:lang w:val="en-US" w:eastAsia="zh-CN"/>
        </w:rPr>
        <w:t>按季度考核</w:t>
      </w:r>
      <w:r>
        <w:t>，SLA达成率不低于95%</w:t>
      </w:r>
      <w:r>
        <w:rPr>
          <w:rFonts w:hint="eastAsia"/>
          <w:lang w:eastAsia="zh-CN"/>
        </w:rPr>
        <w:t>，</w:t>
      </w:r>
      <w:r>
        <w:rPr>
          <w:rFonts w:hint="eastAsia"/>
          <w:lang w:val="en-US" w:eastAsia="zh-CN"/>
        </w:rPr>
        <w:t>按季度考核。</w:t>
      </w:r>
    </w:p>
    <w:p w14:paraId="0A57E35B">
      <w:pPr>
        <w:pStyle w:val="30"/>
        <w:bidi w:val="0"/>
        <w:rPr>
          <w:rFonts w:hint="eastAsia"/>
          <w:lang w:val="en-US" w:eastAsia="zh-CN"/>
        </w:rPr>
      </w:pPr>
      <w:bookmarkStart w:id="4" w:name="_Toc391"/>
      <w:r>
        <w:rPr>
          <w:rFonts w:hint="eastAsia"/>
          <w:lang w:val="en-US" w:eastAsia="zh-CN"/>
        </w:rPr>
        <w:t>客户满意度</w:t>
      </w:r>
      <w:bookmarkEnd w:id="4"/>
    </w:p>
    <w:p w14:paraId="5D8A4BFF">
      <w:pPr>
        <w:pStyle w:val="29"/>
        <w:rPr>
          <w:rFonts w:hint="eastAsia"/>
          <w:lang w:val="en-US" w:eastAsia="zh-CN"/>
        </w:rPr>
      </w:pPr>
      <w:r>
        <w:rPr>
          <w:rFonts w:hint="eastAsia"/>
          <w:lang w:val="en-US" w:eastAsia="zh-CN"/>
        </w:rPr>
        <w:t>依据满意度管理制度，质量管理部每季度对客户满意度进行考核。2025年1-3月分发满意度调查问卷13份，客户满意度达到94.64%，4-6月分发满意度调查问卷15份客户满意度达到95.22%，7-9月分发满意度调查问卷15份客户满意度达到95.61%客户满意度呈上升趋势。三季度均满足KPI指标要求。</w:t>
      </w:r>
    </w:p>
    <w:p w14:paraId="1945B819">
      <w:pPr>
        <w:pStyle w:val="29"/>
        <w:rPr>
          <w:rFonts w:hint="default"/>
          <w:lang w:val="en-US" w:eastAsia="zh-CN"/>
        </w:rPr>
      </w:pPr>
      <w:r>
        <w:rPr>
          <w:rFonts w:hint="eastAsia"/>
          <w:lang w:val="en-US" w:eastAsia="zh-CN"/>
        </w:rPr>
        <w:t>但是在运维管理方面，客户满意度较低。需要加强运维工程师专业技能培训，包括应急基础知识培训、专业知识技能培训等。</w:t>
      </w:r>
    </w:p>
    <w:p w14:paraId="0ECCD0E2">
      <w:pPr>
        <w:pStyle w:val="30"/>
        <w:bidi w:val="0"/>
        <w:rPr>
          <w:rFonts w:hint="default" w:ascii="Segoe UI" w:hAnsi="Segoe UI" w:eastAsia="宋体" w:cs="Segoe UI"/>
          <w:i w:val="0"/>
          <w:iCs w:val="0"/>
          <w:caps w:val="0"/>
          <w:color w:val="0F1115"/>
          <w:spacing w:val="0"/>
          <w:szCs w:val="24"/>
          <w:shd w:val="clear" w:color="auto" w:fill="FFFFFF"/>
          <w:lang w:val="en-US" w:eastAsia="zh-CN"/>
        </w:rPr>
      </w:pPr>
      <w:bookmarkStart w:id="5" w:name="_Toc13200"/>
      <w:r>
        <w:rPr>
          <w:rFonts w:hint="eastAsia"/>
          <w:lang w:val="en-US" w:eastAsia="zh-CN"/>
        </w:rPr>
        <w:t>SLA达成率</w:t>
      </w:r>
      <w:bookmarkEnd w:id="5"/>
    </w:p>
    <w:p w14:paraId="73A3FC58">
      <w:pPr>
        <w:pStyle w:val="29"/>
        <w:rPr>
          <w:rFonts w:hint="eastAsia"/>
          <w:lang w:val="en-US" w:eastAsia="zh-CN"/>
        </w:rPr>
      </w:pPr>
      <w:bookmarkStart w:id="6" w:name="_Toc30230"/>
      <w:r>
        <w:rPr>
          <w:rFonts w:hint="eastAsia"/>
          <w:lang w:val="en-US" w:eastAsia="zh-CN"/>
        </w:rPr>
        <w:t>依据公司发展制定的服务级别管理制度要求，SLA达成率的计算方式为(满足服务级别的事件数/事件总数)*100%，考核频次为季度考核。SLA达成率目标值为95%，经统计2025年1-3月累计处理事件40件，满足服务级别的事件数为38件，SLA达成率为95%；4-6月累计处理事件32件，满足服务级别要求的事件数为32件，SLA达成率为100%；7-9月累计处理事件40件，满足服务级别要求的事件数为40件，SLA达成率为100%。三季度SLA达成率均满足KPI指标要求。SLA达成率有所上升，在下一阶段的服务过程中应继续保持。</w:t>
      </w:r>
    </w:p>
    <w:p w14:paraId="6E8A2B25">
      <w:pPr>
        <w:pStyle w:val="30"/>
        <w:bidi w:val="0"/>
        <w:rPr>
          <w:rFonts w:hint="eastAsia"/>
          <w:lang w:val="en-US" w:eastAsia="zh-CN"/>
        </w:rPr>
      </w:pPr>
      <w:r>
        <w:rPr>
          <w:rFonts w:hint="eastAsia"/>
          <w:lang w:val="en-US" w:eastAsia="zh-CN"/>
        </w:rPr>
        <w:t>内审</w:t>
      </w:r>
      <w:bookmarkEnd w:id="6"/>
    </w:p>
    <w:p w14:paraId="09DA0AF4">
      <w:pPr>
        <w:pStyle w:val="29"/>
        <w:rPr>
          <w:rFonts w:hint="default"/>
          <w:lang w:val="en-US" w:eastAsia="zh-CN"/>
        </w:rPr>
      </w:pPr>
      <w:r>
        <w:rPr>
          <w:rFonts w:hint="eastAsia"/>
          <w:lang w:val="en-US" w:eastAsia="zh-CN"/>
        </w:rPr>
        <w:t>质量管理部于2025年9月10日制定了内审计划并编制了内审检查表。9月15-16两天进行了内审工作，发现了一项不符合，为一般不符合。由相关部门进行改进并加强培训工作，相关审核人员跟进改进结果。</w:t>
      </w:r>
    </w:p>
    <w:p w14:paraId="5FC069CA">
      <w:pPr>
        <w:pStyle w:val="30"/>
        <w:bidi w:val="0"/>
        <w:rPr>
          <w:rFonts w:hint="eastAsia"/>
          <w:lang w:val="en-US" w:eastAsia="zh-CN"/>
        </w:rPr>
      </w:pPr>
      <w:bookmarkStart w:id="7" w:name="_Toc26127"/>
      <w:r>
        <w:rPr>
          <w:rFonts w:hint="eastAsia"/>
          <w:lang w:val="en-US" w:eastAsia="zh-CN"/>
        </w:rPr>
        <w:t>管理评审</w:t>
      </w:r>
      <w:bookmarkEnd w:id="7"/>
    </w:p>
    <w:p w14:paraId="190D38D1">
      <w:pPr>
        <w:pStyle w:val="27"/>
        <w:spacing w:before="183" w:line="340" w:lineRule="auto"/>
        <w:ind w:left="118" w:right="129" w:firstLine="481"/>
        <w:rPr>
          <w:rFonts w:hint="default"/>
          <w:lang w:val="en-US" w:eastAsia="zh-CN"/>
        </w:rPr>
      </w:pPr>
      <w:r>
        <w:rPr>
          <w:rStyle w:val="42"/>
          <w:rFonts w:hint="eastAsia"/>
          <w:lang w:val="en-US" w:eastAsia="zh-CN"/>
        </w:rPr>
        <w:t>质量管理部于2025年9月13日制定了管理评审计划，于9月20日组织各运维相关部门进行了管理评审。</w:t>
      </w:r>
      <w:r>
        <w:rPr>
          <w:rStyle w:val="42"/>
        </w:rPr>
        <w:t>对本次管理评审公司各相关部门做了周密的安排，参加会议的各部门人员也做了充分的准备，对公司的运维管理目标进行了认真的评议，全面的总结了公司运维能力体系的运行情况</w:t>
      </w:r>
      <w:r>
        <w:rPr>
          <w:rStyle w:val="42"/>
          <w:rFonts w:hint="eastAsia"/>
        </w:rPr>
        <w:t>。</w:t>
      </w:r>
      <w:r>
        <w:rPr>
          <w:rStyle w:val="42"/>
          <w:rFonts w:hint="eastAsia"/>
          <w:lang w:val="en-US"/>
        </w:rPr>
        <w:t>肯定了2025年运维服务工作成果。</w:t>
      </w:r>
    </w:p>
    <w:p w14:paraId="7ECBB2C8">
      <w:pPr>
        <w:pStyle w:val="30"/>
        <w:bidi w:val="0"/>
        <w:rPr>
          <w:rFonts w:hint="default"/>
          <w:lang w:val="en-US" w:eastAsia="zh-CN"/>
        </w:rPr>
      </w:pPr>
      <w:bookmarkStart w:id="8" w:name="_Toc27444"/>
      <w:r>
        <w:rPr>
          <w:rFonts w:hint="eastAsia"/>
          <w:lang w:val="en-US" w:eastAsia="zh-CN"/>
        </w:rPr>
        <w:t>问题与改进</w:t>
      </w:r>
      <w:bookmarkEnd w:id="8"/>
    </w:p>
    <w:p w14:paraId="09039E9C">
      <w:pPr>
        <w:pStyle w:val="29"/>
        <w:bidi w:val="0"/>
      </w:pPr>
      <w:r>
        <w:rPr>
          <w:rFonts w:hint="eastAsia"/>
          <w:lang w:val="en-US" w:eastAsia="zh-CN"/>
        </w:rPr>
        <w:t>数智运营部</w:t>
      </w:r>
      <w:r>
        <w:t>人员对ITSS相关标准的理解不够深刻，可能导致部分潜在问题，给体系的运行造成一定的制约和影响。</w:t>
      </w:r>
    </w:p>
    <w:p w14:paraId="28349B53">
      <w:pPr>
        <w:pStyle w:val="29"/>
        <w:bidi w:val="0"/>
      </w:pPr>
      <w:r>
        <w:t>部分质量</w:t>
      </w:r>
      <w:r>
        <w:rPr>
          <w:rFonts w:hint="eastAsia"/>
          <w:lang w:val="en-US" w:eastAsia="zh-CN"/>
        </w:rPr>
        <w:t>管理专员</w:t>
      </w:r>
      <w:r>
        <w:t>缺少信息系统运维服务业务的专业知识，对业务的认识和理解不够，给运维项目的质量管理带来一定的困难。</w:t>
      </w:r>
    </w:p>
    <w:p w14:paraId="4BF03652">
      <w:pPr>
        <w:pStyle w:val="29"/>
        <w:bidi w:val="0"/>
      </w:pPr>
      <w:r>
        <w:rPr>
          <w:rFonts w:hint="eastAsia"/>
          <w:lang w:val="en-US" w:eastAsia="zh-CN"/>
        </w:rPr>
        <w:t>数智运营部在进行</w:t>
      </w:r>
      <w:r>
        <w:t>项目策划时，缺少对运维项目风险的识别、分析、评估等策划。</w:t>
      </w:r>
    </w:p>
    <w:p w14:paraId="5A23D120">
      <w:pPr>
        <w:pStyle w:val="29"/>
        <w:bidi w:val="0"/>
        <w:rPr>
          <w:rFonts w:hint="eastAsia"/>
          <w:lang w:val="en-US" w:eastAsia="zh-CN"/>
        </w:rPr>
      </w:pPr>
      <w:r>
        <w:rPr>
          <w:rFonts w:hint="eastAsia"/>
          <w:lang w:val="en-US" w:eastAsia="zh-CN"/>
        </w:rPr>
        <w:t>针对存在的问题，下一阶段公司计划通过采取以下方式进行改进：</w:t>
      </w:r>
    </w:p>
    <w:p w14:paraId="1FFC8AD9">
      <w:pPr>
        <w:pStyle w:val="29"/>
        <w:numPr>
          <w:ilvl w:val="0"/>
          <w:numId w:val="2"/>
        </w:numPr>
        <w:bidi w:val="0"/>
        <w:ind w:left="425" w:leftChars="0" w:hanging="425" w:firstLineChars="0"/>
      </w:pPr>
      <w:r>
        <w:t>通过外聘讲师、参加外训、内部知识竞赛、内部讨论会等的培训方式，使质量管理人员对 ITSS 相关标准有更深刻的理解了认识,以便更好的指导质量工作。</w:t>
      </w:r>
    </w:p>
    <w:p w14:paraId="6F9C7F69">
      <w:pPr>
        <w:pStyle w:val="29"/>
        <w:numPr>
          <w:ilvl w:val="0"/>
          <w:numId w:val="2"/>
        </w:numPr>
        <w:bidi w:val="0"/>
        <w:ind w:left="425" w:leftChars="0" w:hanging="425" w:firstLineChars="0"/>
      </w:pPr>
      <w:r>
        <w:t>邀请公司数智运营部相关运维工程师，对</w:t>
      </w:r>
      <w:r>
        <w:rPr>
          <w:rFonts w:hint="eastAsia"/>
          <w:lang w:val="en-US" w:eastAsia="zh-CN"/>
        </w:rPr>
        <w:t>质量管理专员</w:t>
      </w:r>
      <w:r>
        <w:t>进行运维业务的培训、</w:t>
      </w:r>
      <w:r>
        <w:rPr>
          <w:rFonts w:hint="eastAsia"/>
          <w:lang w:val="en-US" w:eastAsia="zh-CN"/>
        </w:rPr>
        <w:t>质量管理专员</w:t>
      </w:r>
      <w:r>
        <w:t>也应深入到运维项目实施中，一方面了解具体业务的处理，一方面可以学习运维相关业务知识。</w:t>
      </w:r>
    </w:p>
    <w:p w14:paraId="1D52DBC2">
      <w:pPr>
        <w:pStyle w:val="29"/>
        <w:numPr>
          <w:ilvl w:val="0"/>
          <w:numId w:val="2"/>
        </w:numPr>
        <w:bidi w:val="0"/>
        <w:ind w:left="425" w:leftChars="0" w:hanging="425" w:firstLineChars="0"/>
        <w:rPr>
          <w:rFonts w:hint="default"/>
          <w:lang w:val="en-US" w:eastAsia="zh-CN"/>
        </w:rPr>
      </w:pPr>
      <w:r>
        <w:t>将运维项目质量风险策划做为质量管理的重点之一，并纳入质量</w:t>
      </w:r>
      <w:r>
        <w:rPr>
          <w:rFonts w:hint="eastAsia"/>
          <w:lang w:val="en-US" w:eastAsia="zh-CN"/>
        </w:rPr>
        <w:t>管理</w:t>
      </w:r>
      <w:r>
        <w:t>专员绩效考核。</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2915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0D941552"/>
    <w:multiLevelType w:val="singleLevel"/>
    <w:tmpl w:val="0D941552"/>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BD001FB"/>
    <w:rsid w:val="3207451E"/>
    <w:rsid w:val="38163439"/>
    <w:rsid w:val="3DD017EB"/>
    <w:rsid w:val="3DDB33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1413</Words>
  <Characters>1600</Characters>
  <Lines>0</Lines>
  <Paragraphs>0</Paragraphs>
  <TotalTime>0</TotalTime>
  <ScaleCrop>false</ScaleCrop>
  <LinksUpToDate>false</LinksUpToDate>
  <CharactersWithSpaces>1636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2026-01-20T07:28:49Z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