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5AA62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6391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69C22173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4147"/>
      <w:r>
        <w:rPr>
          <w:rFonts w:hint="eastAsia"/>
          <w:lang w:val="en-US" w:eastAsia="zh-CN"/>
        </w:rPr>
        <w:t>人员储备管理制度</w:t>
      </w:r>
      <w:bookmarkEnd w:id="1"/>
    </w:p>
    <w:p w14:paraId="1E594C0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7C92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789AE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1AA0E5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0964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4E1D3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98D14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89D2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AC46C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2784EE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E9A017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F919E6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陈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萍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8B4838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4B7ABC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8C3680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_Toc16391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_Toc16391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EAA7E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人员储备管理制度</w:t>
          </w:r>
          <w:r>
            <w:tab/>
          </w:r>
          <w:r>
            <w:fldChar w:fldCharType="begin"/>
          </w:r>
          <w:r>
            <w:instrText xml:space="preserve"> PAGEREF _Toc24147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AD2BB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_Toc10546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4A4B0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_Toc16382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前言</w:t>
          </w:r>
          <w:r>
            <w:tab/>
          </w:r>
          <w:r>
            <w:fldChar w:fldCharType="begin"/>
          </w:r>
          <w:r>
            <w:instrText xml:space="preserve"> PAGEREF _Toc16382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36E60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_Toc6992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目标</w:t>
          </w:r>
          <w:r>
            <w:tab/>
          </w:r>
          <w:r>
            <w:fldChar w:fldCharType="begin"/>
          </w:r>
          <w:r>
            <w:instrText xml:space="preserve"> PAGEREF _Toc6992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F1759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适用范围</w:t>
          </w:r>
          <w:r>
            <w:tab/>
          </w:r>
          <w:r>
            <w:fldChar w:fldCharType="begin"/>
          </w:r>
          <w:r>
            <w:instrText xml:space="preserve"> PAGEREF _Toc22633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D62C2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_Toc26978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职责分工</w:t>
          </w:r>
          <w:r>
            <w:tab/>
          </w:r>
          <w:r>
            <w:fldChar w:fldCharType="begin"/>
          </w:r>
          <w:r>
            <w:instrText xml:space="preserve"> PAGEREF _Toc26978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83F7C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人力部</w:t>
          </w:r>
          <w:r>
            <w:tab/>
          </w:r>
          <w:r>
            <w:fldChar w:fldCharType="begin"/>
          </w:r>
          <w:r>
            <w:instrText xml:space="preserve"> PAGEREF _Toc32090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D9BEA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_Toc19895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各业务与职能部门（数智运营部、研究总院、质量管理部、应急管理部等）</w:t>
          </w:r>
          <w:r>
            <w:tab/>
          </w:r>
          <w:r>
            <w:fldChar w:fldCharType="begin"/>
          </w:r>
          <w:r>
            <w:instrText xml:space="preserve"> PAGEREF _Toc19895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53EB8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_Toc21761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储备制度建立</w:t>
          </w:r>
          <w:r>
            <w:tab/>
          </w:r>
          <w:r>
            <w:fldChar w:fldCharType="begin"/>
          </w:r>
          <w:r>
            <w:instrText xml:space="preserve"> PAGEREF _Toc21761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66B9B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储备岗位分析</w:t>
          </w:r>
          <w:r>
            <w:tab/>
          </w:r>
          <w:r>
            <w:fldChar w:fldCharType="begin"/>
          </w:r>
          <w:r>
            <w:instrText xml:space="preserve"> PAGEREF _Toc15989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974D8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建立人员需求库</w:t>
          </w:r>
          <w:r>
            <w:tab/>
          </w:r>
          <w:r>
            <w:fldChar w:fldCharType="begin"/>
          </w:r>
          <w:r>
            <w:instrText xml:space="preserve"> PAGEREF _Toc2771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83BAB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_Toc14202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储备人员来源与确定</w:t>
          </w:r>
          <w:r>
            <w:tab/>
          </w:r>
          <w:r>
            <w:fldChar w:fldCharType="begin"/>
          </w:r>
          <w:r>
            <w:instrText xml:space="preserve"> PAGEREF _Toc14202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EEB54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3.3.1. 外部招聘储备</w:t>
          </w:r>
          <w:r>
            <w:tab/>
          </w:r>
          <w:r>
            <w:fldChar w:fldCharType="begin"/>
          </w:r>
          <w:r>
            <w:instrText xml:space="preserve"> PAGEREF _Toc14449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8DE8E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3.3.2. 内部储备与选拔</w:t>
          </w:r>
          <w:r>
            <w:tab/>
          </w:r>
          <w:r>
            <w:fldChar w:fldCharType="begin"/>
          </w:r>
          <w:r>
            <w:instrText xml:space="preserve"> PAGEREF _Toc11321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32C59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培养、发展与保留</w:t>
          </w:r>
          <w:r>
            <w:tab/>
          </w:r>
          <w:r>
            <w:fldChar w:fldCharType="begin"/>
          </w:r>
          <w:r>
            <w:instrText xml:space="preserve"> PAGEREF _Toc2701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6AFBA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培养体系</w:t>
          </w:r>
          <w:r>
            <w:tab/>
          </w:r>
          <w:r>
            <w:fldChar w:fldCharType="begin"/>
          </w:r>
          <w:r>
            <w:instrText xml:space="preserve"> PAGEREF _Toc10617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B9A1C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_Toc10795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考核与评估</w:t>
          </w:r>
          <w:r>
            <w:tab/>
          </w:r>
          <w:r>
            <w:fldChar w:fldCharType="begin"/>
          </w:r>
          <w:r>
            <w:instrText xml:space="preserve"> PAGEREF _Toc10795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51B4E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_Toc11815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保留机制</w:t>
          </w:r>
          <w:r>
            <w:tab/>
          </w:r>
          <w:r>
            <w:fldChar w:fldCharType="begin"/>
          </w:r>
          <w:r>
            <w:instrText xml:space="preserve"> PAGEREF _Toc11815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FAE8A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_Toc29869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附则</w:t>
          </w:r>
          <w:r>
            <w:tab/>
          </w:r>
          <w:r>
            <w:fldChar w:fldCharType="begin"/>
          </w:r>
          <w:r>
            <w:instrText xml:space="preserve"> PAGEREF _Toc29869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DB363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BC0A94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br w:type="page"/>
      </w:r>
    </w:p>
    <w:p w14:paraId="6D94D5A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10546"/>
      <w:r>
        <w:rPr>
          <w:rFonts w:hint="default"/>
          <w:lang w:val="en-US" w:eastAsia="zh-CN"/>
        </w:rPr>
        <w:t>总则</w:t>
      </w:r>
      <w:bookmarkEnd w:id="2"/>
    </w:p>
    <w:p w14:paraId="534ABF4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6382"/>
      <w:r>
        <w:rPr>
          <w:rFonts w:hint="default"/>
          <w:lang w:val="en-US" w:eastAsia="zh-CN"/>
        </w:rPr>
        <w:t>前言</w:t>
      </w:r>
      <w:bookmarkEnd w:id="3"/>
    </w:p>
    <w:p w14:paraId="1E3249B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为实现公司可持续发展战略，保障软件运维服务业务的人才供给，优化人才结构，形成动态、有序的人才梯队，降低关键岗位空缺风险，特制定本制度。</w:t>
      </w:r>
    </w:p>
    <w:p w14:paraId="53602BA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6992"/>
      <w:r>
        <w:rPr>
          <w:rFonts w:hint="default"/>
          <w:lang w:val="en-US" w:eastAsia="zh-CN"/>
        </w:rPr>
        <w:t>目标</w:t>
      </w:r>
      <w:bookmarkEnd w:id="4"/>
    </w:p>
    <w:p w14:paraId="7D650CD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建立并完善系统化的人员储备机制，确保公司关键及紧缺岗位能及时获得合格人才补充，保障业务连续性。</w:t>
      </w:r>
    </w:p>
    <w:p w14:paraId="4CE6EBA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识别与培养高潜力员工，打通内部晋升通道，激励员工成长，提升组织整体能力与员工忠诚度。</w:t>
      </w:r>
    </w:p>
    <w:p w14:paraId="1CB59C9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应对外部人才市场波动及内部人员流动，形成良性的人才循环，支持公司业务的稳定与扩张。</w:t>
      </w:r>
    </w:p>
    <w:p w14:paraId="2639B63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2633"/>
      <w:r>
        <w:rPr>
          <w:rFonts w:hint="default"/>
          <w:lang w:val="en-US" w:eastAsia="zh-CN"/>
        </w:rPr>
        <w:t>适用范围</w:t>
      </w:r>
      <w:bookmarkEnd w:id="5"/>
    </w:p>
    <w:p w14:paraId="08EFC46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本制度适用于公司所有与软件运维服务相关的岗位及全体员工。</w:t>
      </w:r>
    </w:p>
    <w:p w14:paraId="1D918D3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6978"/>
      <w:r>
        <w:rPr>
          <w:rFonts w:hint="default"/>
          <w:lang w:val="en-US" w:eastAsia="zh-CN"/>
        </w:rPr>
        <w:t>职责分工</w:t>
      </w:r>
      <w:bookmarkEnd w:id="6"/>
    </w:p>
    <w:p w14:paraId="72A5366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32090"/>
      <w:r>
        <w:rPr>
          <w:rFonts w:hint="default"/>
          <w:lang w:val="en-US" w:eastAsia="zh-CN"/>
        </w:rPr>
        <w:t>人力部</w:t>
      </w:r>
      <w:bookmarkEnd w:id="7"/>
    </w:p>
    <w:p w14:paraId="3627C73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作为本制度的归口管理部门，负责人力资源规划与储备策略的制定。</w:t>
      </w:r>
    </w:p>
    <w:p w14:paraId="26E6E29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负责组织各部门进行人才盘点与需求分析，汇总制定年度储备人员招聘与培养计划。</w:t>
      </w:r>
    </w:p>
    <w:p w14:paraId="6E985A9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负责开拓并维护多元化招聘渠道，组织实施外部招聘与内部选拔。</w:t>
      </w:r>
    </w:p>
    <w:p w14:paraId="5BA67D0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负责统筹新员工入职培训、岗位认知及核心人才的发展培养项目。</w:t>
      </w:r>
    </w:p>
    <w:p w14:paraId="7CE0400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负责建立与维护核心人才库与员工发展档案。</w:t>
      </w:r>
    </w:p>
    <w:p w14:paraId="42E8924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负责制定并推动落实相关的激励、保留与发展政策。</w:t>
      </w:r>
    </w:p>
    <w:p w14:paraId="62CE7BF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9895"/>
      <w:r>
        <w:rPr>
          <w:rFonts w:hint="default"/>
          <w:lang w:val="en-US" w:eastAsia="zh-CN"/>
        </w:rPr>
        <w:t>各业务与职能部门（数智运营部、研究总院、质量管理部、应急管理部等）</w:t>
      </w:r>
      <w:bookmarkEnd w:id="8"/>
    </w:p>
    <w:p w14:paraId="1532BEF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负责根据业务规划与项目预测，向人力部提报本部门的人才储备需求。</w:t>
      </w:r>
    </w:p>
    <w:p w14:paraId="6E5AE65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参与本部门关键岗位储备人选的推荐、选拔与评估。</w:t>
      </w:r>
    </w:p>
    <w:p w14:paraId="5345FC1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负责储备人员（含新员工）在岗期间的技能培训、导师安排与日常工作指导。</w:t>
      </w:r>
    </w:p>
    <w:p w14:paraId="1778A8D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配合人力部实施跨部门的岗位认知与轮岗计划。</w:t>
      </w:r>
    </w:p>
    <w:p w14:paraId="7DE5C46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落实“人员备份机制”，确保关键工作不因人员临时缺位而中断。</w:t>
      </w:r>
    </w:p>
    <w:p w14:paraId="5AF6506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1761"/>
      <w:r>
        <w:rPr>
          <w:rFonts w:hint="default"/>
          <w:lang w:val="en-US" w:eastAsia="zh-CN"/>
        </w:rPr>
        <w:t>储备制度建立</w:t>
      </w:r>
      <w:bookmarkEnd w:id="9"/>
    </w:p>
    <w:p w14:paraId="0C59CB0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5989"/>
      <w:r>
        <w:rPr>
          <w:rFonts w:hint="default"/>
          <w:lang w:val="en-US" w:eastAsia="zh-CN"/>
        </w:rPr>
        <w:t>储备岗位分析</w:t>
      </w:r>
      <w:bookmarkEnd w:id="10"/>
    </w:p>
    <w:p w14:paraId="47AE927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人力部应协同各业务部门，定期（通常为年度）识别与分析以下两类需建立储备的岗位：</w:t>
      </w:r>
    </w:p>
    <w:p w14:paraId="15ACFEA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关键性岗位： 对公司运维服务稳定性、技术核心竞争力或客户关系有重大影响的岗位（如：技术架构师、核心系统专家、高级项目经理、部门负责人等）。此类岗位人员流失可能对公司造成显著影响。</w:t>
      </w:r>
    </w:p>
    <w:p w14:paraId="56CBE6C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高流动性岗位： 根据历史数据分析，主动离职率较高的基础性或特定技能岗位（如：一线运维工程师、特定技术栈工程师等）。需同步分析流动原因并制定保留措施。</w:t>
      </w:r>
    </w:p>
    <w:p w14:paraId="051A064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771"/>
      <w:r>
        <w:rPr>
          <w:rFonts w:hint="default"/>
          <w:lang w:val="en-US" w:eastAsia="zh-CN"/>
        </w:rPr>
        <w:t>建立人员需求库</w:t>
      </w:r>
      <w:bookmarkEnd w:id="11"/>
    </w:p>
    <w:p w14:paraId="0AF9D14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各部门根据业务发展预测及人员现状，提报年度储备人员需求（包括岗位、数量、能力要求、到位时间等）。</w:t>
      </w:r>
    </w:p>
    <w:p w14:paraId="3EEDD64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人力部审核汇总，结合公司整体战略与编制规划，形成公司年度《人才储备需求计划》，纳入“人员需求库”进行动态管理。</w:t>
      </w:r>
    </w:p>
    <w:p w14:paraId="75B7625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储备人员编制参考公式：</w:t>
      </w:r>
    </w:p>
    <w:p w14:paraId="190E7D3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m:oMathPara>
        <m:oMath>
          <m:r>
            <m:rPr>
              <m:sty m:val="p"/>
            </m:rPr>
            <w:rPr>
              <w:rFonts w:hint="default"/>
              <w:lang w:val="en-US" w:eastAsia="zh-CN"/>
            </w:rPr>
            <m:t>年度储备基数=各职级总人数×年平均离职率+各职级总人数×年度合同额增长率（具体系数由人力部根据实际情况调整）</m:t>
          </m:r>
        </m:oMath>
      </m:oMathPara>
    </w:p>
    <w:p w14:paraId="4417777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14202"/>
      <w:r>
        <w:rPr>
          <w:rFonts w:hint="default"/>
          <w:lang w:val="en-US" w:eastAsia="zh-CN"/>
        </w:rPr>
        <w:t>储备人员来源与确定</w:t>
      </w:r>
      <w:bookmarkEnd w:id="12"/>
    </w:p>
    <w:p w14:paraId="482E9A1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4449"/>
      <w:r>
        <w:rPr>
          <w:rFonts w:hint="default"/>
          <w:lang w:val="en-US" w:eastAsia="zh-CN"/>
        </w:rPr>
        <w:t>外部招聘储备</w:t>
      </w:r>
      <w:bookmarkEnd w:id="13"/>
    </w:p>
    <w:p w14:paraId="74A3C1F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招聘渠道：以主流网络招聘平台为主，结合校园招聘、内部推荐、行业专场、与培训机构/高校合作等多种渠道。</w:t>
      </w:r>
    </w:p>
    <w:p w14:paraId="3C6FC4E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招聘流程：人力部根据《人才储备需求计划》发布职位、筛选简历、组织笔试与面试（专业技术面试由用人部门主导）。</w:t>
      </w:r>
    </w:p>
    <w:p w14:paraId="5E82B81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录用与试用：储备人员一经录用，按《劳动合同法》签订劳动合同，设定试用期（通常为3个月，最长不超过6个月）。试用期包含系统的入职培训和岗位实践。</w:t>
      </w:r>
    </w:p>
    <w:p w14:paraId="7DFA278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11321"/>
      <w:r>
        <w:rPr>
          <w:rFonts w:hint="default"/>
          <w:lang w:val="en-US" w:eastAsia="zh-CN"/>
        </w:rPr>
        <w:t>内部储备与选拔</w:t>
      </w:r>
      <w:bookmarkEnd w:id="14"/>
    </w:p>
    <w:p w14:paraId="769B0AD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建立核心人才库：通过绩效评估、能力测评、上级推荐等方式，选拔高绩效、高潜力员工进入公司核心人才库，并建立个人发展档案。</w:t>
      </w:r>
    </w:p>
    <w:p w14:paraId="06A398A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内部竞聘与晋升：对于出现的岗位空缺或新设岗位，优先通过内部公开竞聘的方式进行补充，为内部员工提供发展机会。</w:t>
      </w:r>
    </w:p>
    <w:p w14:paraId="31787BA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岗位备份机制（A/B角）：对关键操作或流程节点，明确A角（主办）与B角（协办/备份）。B角需熟悉A角业务，确保在A角临时缺位时工作无缝衔接。此机制既是风险控制，也是培养多能工的有效途径。</w:t>
      </w:r>
    </w:p>
    <w:p w14:paraId="781054C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701"/>
      <w:r>
        <w:rPr>
          <w:rFonts w:hint="default"/>
          <w:lang w:val="en-US" w:eastAsia="zh-CN"/>
        </w:rPr>
        <w:t>培养、发展与保留</w:t>
      </w:r>
      <w:bookmarkEnd w:id="15"/>
    </w:p>
    <w:p w14:paraId="2FF91BC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0617"/>
      <w:r>
        <w:rPr>
          <w:rFonts w:hint="default"/>
          <w:lang w:val="en-US" w:eastAsia="zh-CN"/>
        </w:rPr>
        <w:t>培养体系</w:t>
      </w:r>
      <w:bookmarkEnd w:id="16"/>
    </w:p>
    <w:p w14:paraId="50CF625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对新入职储备人员及内部储备人才，建立分层分类的培养体系：</w:t>
      </w:r>
    </w:p>
    <w:p w14:paraId="397AAA5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入职培训： 由人力部组织，涵盖公司文化、规章制度、安全教育、基础流程等，促进快速融入。</w:t>
      </w:r>
    </w:p>
    <w:p w14:paraId="241A7B6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岗位认知与技能培训：由用人部门主导，通过导师制、在岗培训、项目实践等方式，使储备人员掌握岗位必备技能。</w:t>
      </w:r>
    </w:p>
    <w:p w14:paraId="38A9D37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发展性培训：针对核心人才库成员，提供领导力、项目管理、专业技术进阶等专项培训，或安排跨部门轮岗以拓宽视野。</w:t>
      </w:r>
    </w:p>
    <w:p w14:paraId="73DD594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0795"/>
      <w:r>
        <w:rPr>
          <w:rFonts w:hint="default"/>
          <w:lang w:val="en-US" w:eastAsia="zh-CN"/>
        </w:rPr>
        <w:t>考核与评估</w:t>
      </w:r>
      <w:bookmarkEnd w:id="17"/>
    </w:p>
    <w:p w14:paraId="20653B9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试用期储备人员须通过入职培训考核与岗位实践评估。综合评估不合格者，将延长试用期、调整岗位或终止劳动关系。</w:t>
      </w:r>
    </w:p>
    <w:p w14:paraId="5EC068D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对内部储备人才（含A/B角）的备份能力、学习成长情况，应纳入日常绩效沟通与定期评估。</w:t>
      </w:r>
    </w:p>
    <w:p w14:paraId="7A881E9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1815"/>
      <w:r>
        <w:rPr>
          <w:rFonts w:hint="default"/>
          <w:lang w:val="en-US" w:eastAsia="zh-CN"/>
        </w:rPr>
        <w:t>保留机制</w:t>
      </w:r>
      <w:bookmarkEnd w:id="18"/>
    </w:p>
    <w:p w14:paraId="74FE638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发展留人：明确清晰的职业发展通道（技术序列、管理序列），确保内部晋升的公平、公正、公开。</w:t>
      </w:r>
    </w:p>
    <w:p w14:paraId="3E13940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激励留人：建立具有竞争力的薪酬福利体系，并将培训机会、项目参与、轮岗锻炼等非物质激励与个人发展紧密结合。</w:t>
      </w:r>
    </w:p>
    <w:p w14:paraId="4EB3639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文化留人：营造尊重人才、积极向上、团队协作的工作氛围，增强员工的归属感与认同感。</w:t>
      </w:r>
    </w:p>
    <w:p w14:paraId="5F000F4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9" w:name="_Toc29869"/>
      <w:r>
        <w:rPr>
          <w:rFonts w:hint="eastAsia"/>
          <w:lang w:val="en-US" w:eastAsia="zh-CN"/>
        </w:rPr>
        <w:t>考核指标</w:t>
      </w:r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888"/>
        <w:gridCol w:w="3552"/>
        <w:gridCol w:w="1308"/>
      </w:tblGrid>
      <w:tr w14:paraId="16475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ED74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KPI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1432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目标值</w:t>
            </w:r>
          </w:p>
        </w:tc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3975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计算公式/方法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F6E4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频度</w:t>
            </w:r>
          </w:p>
        </w:tc>
      </w:tr>
      <w:tr w14:paraId="38874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391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bookmarkStart w:id="20" w:name="_GoBack" w:colFirst="0" w:colLast="3"/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储备计划完成率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0B85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≥95%</w:t>
            </w:r>
          </w:p>
        </w:tc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C65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实际完成储备人员数量/应储备人员总数量*100%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E36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季度</w:t>
            </w:r>
          </w:p>
        </w:tc>
      </w:tr>
      <w:bookmarkEnd w:id="20"/>
    </w:tbl>
    <w:p w14:paraId="28D82B0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附则</w:t>
      </w:r>
      <w:bookmarkEnd w:id="19"/>
    </w:p>
    <w:p w14:paraId="622F395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本制度由人力部负责解释、修订与推动实施。</w:t>
      </w:r>
    </w:p>
    <w:p w14:paraId="7E2B2CA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本制度自发布之日起执行。</w:t>
      </w:r>
    </w:p>
    <w:p w14:paraId="0C9B22A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人力部可根据本制度制定具体的实施细则与配套表单（如《储备人员需求表》、《个人发展档案》、《岗位备份表》等）。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FCD5F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C5140B"/>
    <w:rsid w:val="08003556"/>
    <w:rsid w:val="0A911A78"/>
    <w:rsid w:val="0BDE6F3F"/>
    <w:rsid w:val="0BEB340A"/>
    <w:rsid w:val="0E910299"/>
    <w:rsid w:val="104D4694"/>
    <w:rsid w:val="162C6AF9"/>
    <w:rsid w:val="21997739"/>
    <w:rsid w:val="23384D2F"/>
    <w:rsid w:val="24003DBA"/>
    <w:rsid w:val="28D86F33"/>
    <w:rsid w:val="2EC55241"/>
    <w:rsid w:val="2FAB548A"/>
    <w:rsid w:val="30662EDC"/>
    <w:rsid w:val="343A7E32"/>
    <w:rsid w:val="38D4638D"/>
    <w:rsid w:val="3AA7481D"/>
    <w:rsid w:val="3E94330A"/>
    <w:rsid w:val="3FB05F21"/>
    <w:rsid w:val="46712183"/>
    <w:rsid w:val="48E004AD"/>
    <w:rsid w:val="49D46CB0"/>
    <w:rsid w:val="58F809A6"/>
    <w:rsid w:val="5A121942"/>
    <w:rsid w:val="5C50666A"/>
    <w:rsid w:val="61077826"/>
    <w:rsid w:val="645D6BF5"/>
    <w:rsid w:val="68D23A24"/>
    <w:rsid w:val="79DF284E"/>
    <w:rsid w:val="7A34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link w:val="43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character" w:customStyle="1" w:styleId="43">
    <w:name w:val="柴_标题2 Char"/>
    <w:link w:val="30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2145</Words>
  <Characters>2251</Characters>
  <Lines>0</Lines>
  <Paragraphs>0</Paragraphs>
  <TotalTime>12</TotalTime>
  <ScaleCrop>false</ScaleCrop>
  <LinksUpToDate>false</LinksUpToDate>
  <CharactersWithSpaces>2332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2026-01-20T12:30:55Z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54A65974A673417C968626C1D4D3C8DF_13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