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B7E14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315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6CE4A0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854"/>
      <w:r>
        <w:rPr>
          <w:rFonts w:hint="eastAsia"/>
          <w:lang w:val="en-US" w:eastAsia="zh-CN"/>
        </w:rPr>
        <w:t>人员入离职管理制度</w:t>
      </w:r>
      <w:bookmarkEnd w:id="1"/>
    </w:p>
    <w:p w14:paraId="2AAC728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07</w:t>
      </w:r>
      <w:bookmarkStart w:id="22" w:name="_GoBack"/>
      <w:bookmarkEnd w:id="22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6D5C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8602D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47B37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9AAC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D989D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B7F51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44A3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97ACD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9F8E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115BA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1D606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42DCE2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43858E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39A671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_Toc13159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_Toc13159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AF937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_Toc27854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_Toc27854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61CC5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_Toc27985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_Toc27985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B89AB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_Toc10452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_Toc10452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0F185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_Toc13723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_Toc13723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AE8A9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_Toc11783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_Toc11783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41779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_Toc4715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_Toc4715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E0A4F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_Toc15983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2.1. 人力部</w:t>
          </w:r>
          <w:r>
            <w:tab/>
          </w:r>
          <w:r>
            <w:fldChar w:fldCharType="begin"/>
          </w:r>
          <w:r>
            <w:instrText xml:space="preserve"> PAGEREF _Toc15983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74190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_Toc10309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2.2. 各用人部门</w:t>
          </w:r>
          <w:r>
            <w:tab/>
          </w:r>
          <w:r>
            <w:fldChar w:fldCharType="begin"/>
          </w:r>
          <w:r>
            <w:instrText xml:space="preserve"> PAGEREF _Toc10309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E3BD4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_Toc29904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2.3. 数智运营部</w:t>
          </w:r>
          <w:r>
            <w:tab/>
          </w:r>
          <w:r>
            <w:fldChar w:fldCharType="begin"/>
          </w:r>
          <w:r>
            <w:instrText xml:space="preserve"> PAGEREF _Toc29904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02542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_Toc13817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入职管理</w:t>
          </w:r>
          <w:r>
            <w:tab/>
          </w:r>
          <w:r>
            <w:fldChar w:fldCharType="begin"/>
          </w:r>
          <w:r>
            <w:instrText xml:space="preserve"> PAGEREF _Toc13817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232AB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_Toc28495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入职前准备</w:t>
          </w:r>
          <w:r>
            <w:tab/>
          </w:r>
          <w:r>
            <w:fldChar w:fldCharType="begin"/>
          </w:r>
          <w:r>
            <w:instrText xml:space="preserve"> PAGEREF _Toc28495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FCB1F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_Toc14669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报到手续办理</w:t>
          </w:r>
          <w:r>
            <w:tab/>
          </w:r>
          <w:r>
            <w:fldChar w:fldCharType="begin"/>
          </w:r>
          <w:r>
            <w:instrText xml:space="preserve"> PAGEREF _Toc14669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39C24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_Toc29703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入职引导与培训</w:t>
          </w:r>
          <w:r>
            <w:tab/>
          </w:r>
          <w:r>
            <w:fldChar w:fldCharType="begin"/>
          </w:r>
          <w:r>
            <w:instrText xml:space="preserve"> PAGEREF _Toc29703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6F8F5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_Toc18863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3.4. 试用期管理</w:t>
          </w:r>
          <w:r>
            <w:tab/>
          </w:r>
          <w:r>
            <w:fldChar w:fldCharType="begin"/>
          </w:r>
          <w:r>
            <w:instrText xml:space="preserve"> PAGEREF _Toc18863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603DF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_Toc1891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离职管理</w:t>
          </w:r>
          <w:r>
            <w:tab/>
          </w:r>
          <w:r>
            <w:fldChar w:fldCharType="begin"/>
          </w:r>
          <w:r>
            <w:instrText xml:space="preserve"> PAGEREF _Toc1891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11092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_Toc25006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离职类型与申请</w:t>
          </w:r>
          <w:r>
            <w:tab/>
          </w:r>
          <w:r>
            <w:fldChar w:fldCharType="begin"/>
          </w:r>
          <w:r>
            <w:instrText xml:space="preserve"> PAGEREF _Toc25006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734EB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_Toc27203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离职审批流程</w:t>
          </w:r>
          <w:r>
            <w:tab/>
          </w:r>
          <w:r>
            <w:fldChar w:fldCharType="begin"/>
          </w:r>
          <w:r>
            <w:instrText xml:space="preserve"> PAGEREF _Toc27203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BB569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_Toc21779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工作交接（核心环节）</w:t>
          </w:r>
          <w:r>
            <w:tab/>
          </w:r>
          <w:r>
            <w:fldChar w:fldCharType="begin"/>
          </w:r>
          <w:r>
            <w:instrText xml:space="preserve"> PAGEREF _Toc21779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41D5C7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_Toc26154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离职手续会签</w:t>
          </w:r>
          <w:r>
            <w:tab/>
          </w:r>
          <w:r>
            <w:fldChar w:fldCharType="begin"/>
          </w:r>
          <w:r>
            <w:instrText xml:space="preserve"> PAGEREF _Toc26154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8C9EC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_Toc24771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离职后管理</w:t>
          </w:r>
          <w:r>
            <w:tab/>
          </w:r>
          <w:r>
            <w:fldChar w:fldCharType="begin"/>
          </w:r>
          <w:r>
            <w:instrText xml:space="preserve"> PAGEREF _Toc24771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D0F1E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_Toc16397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_Toc16397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38629C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730DEA7E">
      <w:r>
        <w:rPr>
          <w:rFonts w:hint="eastAsia"/>
          <w:lang w:val="en-US" w:eastAsia="zh-CN"/>
        </w:rPr>
        <w:br w:type="page"/>
      </w:r>
    </w:p>
    <w:p w14:paraId="596C1DFC">
      <w:pPr>
        <w:pStyle w:val="28"/>
        <w:bidi w:val="0"/>
        <w:rPr>
          <w:rFonts w:hint="default"/>
          <w:lang w:val="en-US" w:eastAsia="zh-CN"/>
        </w:rPr>
      </w:pPr>
      <w:bookmarkStart w:id="2" w:name="_Toc27985"/>
      <w:r>
        <w:rPr>
          <w:rFonts w:hint="default"/>
          <w:lang w:val="en-US" w:eastAsia="zh-CN"/>
        </w:rPr>
        <w:t>总则</w:t>
      </w:r>
      <w:bookmarkEnd w:id="2"/>
    </w:p>
    <w:p w14:paraId="7B51C47A">
      <w:pPr>
        <w:pStyle w:val="30"/>
        <w:bidi w:val="0"/>
        <w:rPr>
          <w:rFonts w:hint="default"/>
          <w:lang w:val="en-US" w:eastAsia="zh-CN"/>
        </w:rPr>
      </w:pPr>
      <w:bookmarkStart w:id="3" w:name="_Toc10452"/>
      <w:r>
        <w:rPr>
          <w:rFonts w:hint="default"/>
          <w:lang w:val="en-US" w:eastAsia="zh-CN"/>
        </w:rPr>
        <w:t>目的</w:t>
      </w:r>
      <w:bookmarkEnd w:id="3"/>
    </w:p>
    <w:p w14:paraId="2AF754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为规范公司员工入职、离职管理工作流程，明确各部门职责，确保人员有序、平稳地融入及退出组织，保障公司软件运维服务的业务连续性与核心知识资产的保全，特制定本制度。</w:t>
      </w:r>
    </w:p>
    <w:p w14:paraId="5BC561E2">
      <w:pPr>
        <w:pStyle w:val="30"/>
        <w:bidi w:val="0"/>
        <w:rPr>
          <w:rFonts w:hint="default"/>
          <w:lang w:val="en-US" w:eastAsia="zh-CN"/>
        </w:rPr>
      </w:pPr>
      <w:bookmarkStart w:id="4" w:name="_Toc13723"/>
      <w:r>
        <w:rPr>
          <w:rFonts w:hint="default"/>
          <w:lang w:val="en-US" w:eastAsia="zh-CN"/>
        </w:rPr>
        <w:t>适用范围</w:t>
      </w:r>
      <w:bookmarkEnd w:id="4"/>
    </w:p>
    <w:p w14:paraId="1B7355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本制度适用于与公司建立劳动关系的所有正式员工（含试用期员工）的入职、离职（含辞职、辞退、合同终止等）管理活动。</w:t>
      </w:r>
    </w:p>
    <w:p w14:paraId="69E778DD">
      <w:pPr>
        <w:pStyle w:val="30"/>
        <w:bidi w:val="0"/>
        <w:rPr>
          <w:rFonts w:hint="default"/>
          <w:lang w:val="en-US" w:eastAsia="zh-CN"/>
        </w:rPr>
      </w:pPr>
      <w:bookmarkStart w:id="5" w:name="_Toc11783"/>
      <w:r>
        <w:rPr>
          <w:rFonts w:hint="default"/>
          <w:lang w:val="en-US" w:eastAsia="zh-CN"/>
        </w:rPr>
        <w:t>原则</w:t>
      </w:r>
      <w:bookmarkEnd w:id="5"/>
    </w:p>
    <w:p w14:paraId="653F97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合法合规原则：所有入离职操作必须严格遵守《中华人民共和国劳动合同法》等国家相关法律法规。</w:t>
      </w:r>
    </w:p>
    <w:p w14:paraId="5CA433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程序规范原则：遵循既定的管理流程，确保手续完备、权责清晰、记录完整。</w:t>
      </w:r>
    </w:p>
    <w:p w14:paraId="582BA9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风险控制原则：重点防控因关键岗位人员变动带来的业务中断、信息安全及商业秘密泄露风险。</w:t>
      </w:r>
    </w:p>
    <w:p w14:paraId="129E9E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人性化操作原则：在规范流程的基础上，体现公司对员工的尊重与关怀，维护和谐劳动关系。</w:t>
      </w:r>
    </w:p>
    <w:p w14:paraId="3BDEDAB7">
      <w:pPr>
        <w:pStyle w:val="28"/>
        <w:bidi w:val="0"/>
        <w:rPr>
          <w:rFonts w:hint="default"/>
          <w:lang w:val="en-US" w:eastAsia="zh-CN"/>
        </w:rPr>
      </w:pPr>
      <w:bookmarkStart w:id="6" w:name="_Toc4715"/>
      <w:r>
        <w:rPr>
          <w:rFonts w:hint="default"/>
          <w:lang w:val="en-US" w:eastAsia="zh-CN"/>
        </w:rPr>
        <w:t>职责分工</w:t>
      </w:r>
      <w:bookmarkEnd w:id="6"/>
    </w:p>
    <w:p w14:paraId="0F6BCF0E">
      <w:pPr>
        <w:pStyle w:val="30"/>
        <w:bidi w:val="0"/>
        <w:rPr>
          <w:rFonts w:hint="default"/>
          <w:lang w:val="en-US" w:eastAsia="zh-CN"/>
        </w:rPr>
      </w:pPr>
      <w:bookmarkStart w:id="7" w:name="_Toc15983"/>
      <w:r>
        <w:rPr>
          <w:rFonts w:hint="default"/>
          <w:lang w:val="en-US" w:eastAsia="zh-CN"/>
        </w:rPr>
        <w:t>人力部</w:t>
      </w:r>
      <w:bookmarkEnd w:id="7"/>
    </w:p>
    <w:p w14:paraId="0E7836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作为本制度的归口管理部门，负责制度的解释、修订与监督执行。</w:t>
      </w:r>
    </w:p>
    <w:p w14:paraId="0963BC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负责统筹入职手续办理、合同签订、档案建立及离职手续审批流转。</w:t>
      </w:r>
    </w:p>
    <w:p w14:paraId="6398ED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组织新员工公司级入职培训。</w:t>
      </w:r>
    </w:p>
    <w:p w14:paraId="002527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负责离职面谈（HR层面），分析离职原因，提交改进报告。</w:t>
      </w:r>
    </w:p>
    <w:p w14:paraId="6ECDDB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负责员工劳动合同、保密协议等法律文件的归档与管理。</w:t>
      </w:r>
    </w:p>
    <w:p w14:paraId="506BB1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负责员工离职后的薪资结算、社保公积金停缴等事宜。</w:t>
      </w:r>
    </w:p>
    <w:p w14:paraId="0E056CDF">
      <w:pPr>
        <w:pStyle w:val="30"/>
        <w:bidi w:val="0"/>
        <w:rPr>
          <w:rFonts w:hint="default"/>
          <w:lang w:val="en-US" w:eastAsia="zh-CN"/>
        </w:rPr>
      </w:pPr>
      <w:bookmarkStart w:id="8" w:name="_Toc10309"/>
      <w:r>
        <w:rPr>
          <w:rFonts w:hint="default"/>
          <w:lang w:val="en-US" w:eastAsia="zh-CN"/>
        </w:rPr>
        <w:t>各用人部门</w:t>
      </w:r>
      <w:bookmarkEnd w:id="8"/>
    </w:p>
    <w:p w14:paraId="5F0048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负责新员工到部门后的工作安排、岗位引导及导师指定。</w:t>
      </w:r>
    </w:p>
    <w:p w14:paraId="4AA0ED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负责组织实施部门级岗前业务培训和技能辅导。</w:t>
      </w:r>
    </w:p>
    <w:p w14:paraId="0ADFF0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负责员工在岗期间的日常管理与绩效考核。</w:t>
      </w:r>
    </w:p>
    <w:p w14:paraId="335E74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提出员工辞退、合同不续签等建议，并提供事实依据。</w:t>
      </w:r>
    </w:p>
    <w:p w14:paraId="659FBB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全面负责离职员工的工作交接监督与验收，确保所有运维资料、账号权限、项目信息等顺利移交。</w:t>
      </w:r>
    </w:p>
    <w:p w14:paraId="6776F6BD">
      <w:pPr>
        <w:pStyle w:val="30"/>
        <w:bidi w:val="0"/>
        <w:rPr>
          <w:rFonts w:hint="default"/>
          <w:lang w:val="en-US" w:eastAsia="zh-CN"/>
        </w:rPr>
      </w:pPr>
      <w:bookmarkStart w:id="9" w:name="_Toc29904"/>
      <w:r>
        <w:rPr>
          <w:rFonts w:hint="default"/>
          <w:lang w:val="en-US" w:eastAsia="zh-CN"/>
        </w:rPr>
        <w:t>数智运营部</w:t>
      </w:r>
      <w:bookmarkEnd w:id="9"/>
    </w:p>
    <w:p w14:paraId="414F08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负责公司邮箱、OA、统一身份认证、核心运维平台等通用系统账号的开设、调整与注销。</w:t>
      </w:r>
    </w:p>
    <w:p w14:paraId="5E217C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负责回收公司配发的标准电脑、并依据安全规定对存储设备进行处理。</w:t>
      </w:r>
    </w:p>
    <w:p w14:paraId="0B0A57B6">
      <w:pPr>
        <w:pStyle w:val="28"/>
        <w:bidi w:val="0"/>
        <w:rPr>
          <w:rFonts w:hint="default"/>
          <w:lang w:val="en-US" w:eastAsia="zh-CN"/>
        </w:rPr>
      </w:pPr>
      <w:bookmarkStart w:id="10" w:name="_Toc13817"/>
      <w:r>
        <w:rPr>
          <w:rFonts w:hint="default"/>
          <w:lang w:val="en-US" w:eastAsia="zh-CN"/>
        </w:rPr>
        <w:t>入职管理</w:t>
      </w:r>
      <w:bookmarkEnd w:id="10"/>
    </w:p>
    <w:p w14:paraId="36656999">
      <w:pPr>
        <w:pStyle w:val="30"/>
        <w:bidi w:val="0"/>
        <w:rPr>
          <w:rFonts w:hint="default"/>
          <w:lang w:val="en-US" w:eastAsia="zh-CN"/>
        </w:rPr>
      </w:pPr>
      <w:bookmarkStart w:id="11" w:name="_Toc28495"/>
      <w:r>
        <w:rPr>
          <w:rFonts w:hint="default"/>
          <w:lang w:val="en-US" w:eastAsia="zh-CN"/>
        </w:rPr>
        <w:t>入职前准备</w:t>
      </w:r>
      <w:bookmarkEnd w:id="11"/>
    </w:p>
    <w:p w14:paraId="2B8E06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录用审批：人力部在完成招聘流程后，将经审批的《员工录用审批表》存档，并向录用者发送《录用通知书》。</w:t>
      </w:r>
    </w:p>
    <w:p w14:paraId="503A4B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部门准备：人力部提前通知用人部门新员工报到信息。用人部门应提前准备办公条件、安排导师、拟定初期工作任务。</w:t>
      </w:r>
    </w:p>
    <w:p w14:paraId="662D749B">
      <w:pPr>
        <w:pStyle w:val="30"/>
        <w:bidi w:val="0"/>
        <w:rPr>
          <w:rFonts w:hint="default"/>
          <w:lang w:val="en-US" w:eastAsia="zh-CN"/>
        </w:rPr>
      </w:pPr>
      <w:bookmarkStart w:id="12" w:name="_Toc14669"/>
      <w:r>
        <w:rPr>
          <w:rFonts w:hint="default"/>
          <w:lang w:val="en-US" w:eastAsia="zh-CN"/>
        </w:rPr>
        <w:t>报到手续办理</w:t>
      </w:r>
      <w:bookmarkEnd w:id="12"/>
    </w:p>
    <w:p w14:paraId="1DF455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资料提交：新员工按约定时间至人力部报到，提交身份证、学历学位证书、离职证明、体检报告等原件及复印件。</w:t>
      </w:r>
    </w:p>
    <w:p w14:paraId="5B154B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文件签署：人力部指导新员工签署《劳动合同》、《保密协议》、《知识产权归属协议》等法律文件。</w:t>
      </w:r>
    </w:p>
    <w:p w14:paraId="13D15C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信息录入：人力部将员工信息录入人事系统，建立个人档案。</w:t>
      </w:r>
    </w:p>
    <w:p w14:paraId="53A85B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用品领用：凭人力部开具的《报到通知单》，至综合管理部领取办公用品、门禁卡等。</w:t>
      </w:r>
    </w:p>
    <w:p w14:paraId="1714CF05">
      <w:pPr>
        <w:pStyle w:val="30"/>
        <w:bidi w:val="0"/>
        <w:rPr>
          <w:rFonts w:hint="default"/>
          <w:lang w:val="en-US" w:eastAsia="zh-CN"/>
        </w:rPr>
      </w:pPr>
      <w:bookmarkStart w:id="13" w:name="_Toc29703"/>
      <w:r>
        <w:rPr>
          <w:rFonts w:hint="default"/>
          <w:lang w:val="en-US" w:eastAsia="zh-CN"/>
        </w:rPr>
        <w:t>入职引导与培训</w:t>
      </w:r>
      <w:bookmarkEnd w:id="13"/>
    </w:p>
    <w:p w14:paraId="3A807D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公司级培训：由人力部组织，内容涵盖公司文化、发展历程、规章制度、考勤休假、薪酬福利、安全与保密教育等。</w:t>
      </w:r>
    </w:p>
    <w:p w14:paraId="0FF432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部门级引导：用人部门负责人或指定导师向新员工介绍部门职能、团队成员、岗位职责、工作流程、近期目标及绩效考核方式。</w:t>
      </w:r>
    </w:p>
    <w:p w14:paraId="4F7BED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系统权限开通：由用人部门发起申请，IT支持部门在确保安全合规的前提下，为新员工开通必要的工作系统账号与操作权限。</w:t>
      </w:r>
    </w:p>
    <w:p w14:paraId="6E771102">
      <w:pPr>
        <w:pStyle w:val="30"/>
        <w:bidi w:val="0"/>
        <w:rPr>
          <w:rFonts w:hint="default"/>
          <w:lang w:val="en-US" w:eastAsia="zh-CN"/>
        </w:rPr>
      </w:pPr>
      <w:bookmarkStart w:id="14" w:name="_Toc18863"/>
      <w:r>
        <w:rPr>
          <w:rFonts w:hint="default"/>
          <w:lang w:val="en-US" w:eastAsia="zh-CN"/>
        </w:rPr>
        <w:t>试用期管理</w:t>
      </w:r>
      <w:bookmarkEnd w:id="14"/>
    </w:p>
    <w:p w14:paraId="0A32B6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试用期限：依据《劳动合同法》及合同约定执行，通常为1-3个月。</w:t>
      </w:r>
    </w:p>
    <w:p w14:paraId="619F0D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过程跟进：导师及部门负责人需定期（如每周/每月）与新员工沟通，了解其工作状态与困难，给予指导。</w:t>
      </w:r>
    </w:p>
    <w:p w14:paraId="5B7A1A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转正考核：试用期结束前，由人力部发起转正流程。用人部门根据《试用期考核表》对新员工的工作表现进行评估，提出转正、延长试用或不予录用的建议，并按权限报批。</w:t>
      </w:r>
    </w:p>
    <w:p w14:paraId="68230586">
      <w:pPr>
        <w:pStyle w:val="28"/>
        <w:bidi w:val="0"/>
        <w:rPr>
          <w:rFonts w:hint="default"/>
          <w:lang w:val="en-US" w:eastAsia="zh-CN"/>
        </w:rPr>
      </w:pPr>
      <w:bookmarkStart w:id="15" w:name="_Toc1891"/>
      <w:r>
        <w:rPr>
          <w:rFonts w:hint="default"/>
          <w:lang w:val="en-US" w:eastAsia="zh-CN"/>
        </w:rPr>
        <w:t>离职管理</w:t>
      </w:r>
      <w:bookmarkEnd w:id="15"/>
    </w:p>
    <w:p w14:paraId="6E626BA8">
      <w:pPr>
        <w:pStyle w:val="30"/>
        <w:bidi w:val="0"/>
        <w:rPr>
          <w:rFonts w:hint="default"/>
          <w:lang w:val="en-US" w:eastAsia="zh-CN"/>
        </w:rPr>
      </w:pPr>
      <w:bookmarkStart w:id="16" w:name="_Toc25006"/>
      <w:r>
        <w:rPr>
          <w:rFonts w:hint="default"/>
          <w:lang w:val="en-US" w:eastAsia="zh-CN"/>
        </w:rPr>
        <w:t>离职类型与申请</w:t>
      </w:r>
      <w:bookmarkEnd w:id="16"/>
    </w:p>
    <w:p w14:paraId="43BAD8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辞职：员工主动提出解除劳动关系。正式员工需提前30日（试用期员工提前3日）提交书面《辞职申请书》。</w:t>
      </w:r>
    </w:p>
    <w:p w14:paraId="752002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辞退：公司因员工严重违纪、试用期不合格、不胜任工作等原因提出解除劳动关系。用人部门需提供详实事由及依据，与人力部协商后执行。</w:t>
      </w:r>
    </w:p>
    <w:p w14:paraId="60C30B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合同终止：劳动合同期满，公司或员工一方决定不再续签。</w:t>
      </w:r>
    </w:p>
    <w:p w14:paraId="78D3B418">
      <w:pPr>
        <w:pStyle w:val="30"/>
        <w:bidi w:val="0"/>
        <w:rPr>
          <w:rFonts w:hint="default"/>
          <w:lang w:val="en-US" w:eastAsia="zh-CN"/>
        </w:rPr>
      </w:pPr>
      <w:bookmarkStart w:id="17" w:name="_Toc27203"/>
      <w:r>
        <w:rPr>
          <w:rFonts w:hint="default"/>
          <w:lang w:val="en-US" w:eastAsia="zh-CN"/>
        </w:rPr>
        <w:t>离职审批流程</w:t>
      </w:r>
      <w:bookmarkEnd w:id="17"/>
    </w:p>
    <w:p w14:paraId="4F1E2C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员工提交《辞职申请书》或部门提交《员工辞退建议表》。</w:t>
      </w:r>
    </w:p>
    <w:p w14:paraId="21056D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用人部门负责人审核并签署意见。</w:t>
      </w:r>
    </w:p>
    <w:p w14:paraId="1F0922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人力部与离职员工/用人部门沟通，了解情况，进行离职面谈（HR层面），审核离职性质与合法性，签署意见。</w:t>
      </w:r>
    </w:p>
    <w:p w14:paraId="12F89C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根据公司授权体系，报请相关领导审批。</w:t>
      </w:r>
    </w:p>
    <w:p w14:paraId="42438E2C">
      <w:pPr>
        <w:pStyle w:val="30"/>
        <w:bidi w:val="0"/>
        <w:rPr>
          <w:rFonts w:hint="default"/>
          <w:lang w:val="en-US" w:eastAsia="zh-CN"/>
        </w:rPr>
      </w:pPr>
      <w:bookmarkStart w:id="18" w:name="_Toc21779"/>
      <w:r>
        <w:rPr>
          <w:rFonts w:hint="default"/>
          <w:lang w:val="en-US" w:eastAsia="zh-CN"/>
        </w:rPr>
        <w:t>工作交接（核心环节）</w:t>
      </w:r>
      <w:bookmarkEnd w:id="18"/>
    </w:p>
    <w:p w14:paraId="73C5CA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离职审批通过后，进入工作交接期，原则上不超过离职生效前的最后工作日。</w:t>
      </w:r>
    </w:p>
    <w:p w14:paraId="6DC6A1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交接内容：</w:t>
      </w:r>
    </w:p>
    <w:p w14:paraId="2408E5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工作事项：当前负责的所有运维项目、工作任务、待办事项、未决问题。</w:t>
      </w:r>
    </w:p>
    <w:p w14:paraId="485801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文件资料：技术文档、运维手册、客户资料、报告、图纸等所有电子及纸质文件。</w:t>
      </w:r>
    </w:p>
    <w:p w14:paraId="7F8A5C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资产与权限：公司配发的电脑、设备、软件、账号密码、门禁卡、密钥等。</w:t>
      </w:r>
    </w:p>
    <w:p w14:paraId="56CC58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客户及外部联系人：对接的客户接口人、供应商等信息及关系状态。</w:t>
      </w:r>
    </w:p>
    <w:p w14:paraId="151210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交接流程：</w:t>
      </w:r>
    </w:p>
    <w:p w14:paraId="7F82D6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离职员工填写《工作交接清单》，逐项与接替人（部门负责人指定）进行交接。</w:t>
      </w:r>
    </w:p>
    <w:p w14:paraId="3C8B84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接替人及部门负责人对交接内容进行核实与验收，确认无误后在清单上签字。</w:t>
      </w:r>
    </w:p>
    <w:p w14:paraId="701406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《工作交接清单》作为离职手续办理的必需文件，未完成有效交接者，不予办理后续手续。</w:t>
      </w:r>
    </w:p>
    <w:p w14:paraId="62849482">
      <w:pPr>
        <w:pStyle w:val="30"/>
        <w:bidi w:val="0"/>
        <w:rPr>
          <w:rFonts w:hint="default"/>
          <w:lang w:val="en-US" w:eastAsia="zh-CN"/>
        </w:rPr>
      </w:pPr>
      <w:bookmarkStart w:id="19" w:name="_Toc26154"/>
      <w:r>
        <w:rPr>
          <w:rFonts w:hint="default"/>
          <w:lang w:val="en-US" w:eastAsia="zh-CN"/>
        </w:rPr>
        <w:t>离职手续会签</w:t>
      </w:r>
      <w:bookmarkEnd w:id="19"/>
    </w:p>
    <w:p w14:paraId="3936AE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工作交接完成后，离职员工持《工作交接清单》及《员工离职手续办理表》，依次至各部门办理会签：</w:t>
      </w:r>
    </w:p>
    <w:p w14:paraId="12B085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用人部门：确认工作交接完成，物资回收。</w:t>
      </w:r>
    </w:p>
    <w:p w14:paraId="4B7089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IT支持部门：注销所有系统账号、邮箱、回收IT资产。</w:t>
      </w:r>
    </w:p>
    <w:p w14:paraId="25CEB3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综合管理部：回收门禁卡、办公用品、结清公务借款等。</w:t>
      </w:r>
    </w:p>
    <w:p w14:paraId="0F16BA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财务部：结算薪资、报销、违约金等费用。</w:t>
      </w:r>
    </w:p>
    <w:p w14:paraId="3C764E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人力部：回收签批完整的表格，结算最终工资，办理社保/公积金停缴，出具《离职证明》。</w:t>
      </w:r>
    </w:p>
    <w:p w14:paraId="46D6F509">
      <w:pPr>
        <w:pStyle w:val="30"/>
        <w:bidi w:val="0"/>
        <w:rPr>
          <w:rFonts w:hint="default"/>
          <w:lang w:val="en-US" w:eastAsia="zh-CN"/>
        </w:rPr>
      </w:pPr>
      <w:bookmarkStart w:id="20" w:name="_Toc24771"/>
      <w:r>
        <w:rPr>
          <w:rFonts w:hint="default"/>
          <w:lang w:val="en-US" w:eastAsia="zh-CN"/>
        </w:rPr>
        <w:t>离职后管理</w:t>
      </w:r>
      <w:bookmarkEnd w:id="20"/>
    </w:p>
    <w:p w14:paraId="43B6AA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档案封存：人力部将员工离职全套资料归入离职档案，按规定期限保存。</w:t>
      </w:r>
    </w:p>
    <w:p w14:paraId="1ECBC5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知识管理：用人部门确保从离职员工处交接的关键知识已纳入部门知识库。</w:t>
      </w:r>
    </w:p>
    <w:p w14:paraId="17EE1D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竞业限制与保密：对负有保密义务或签订了竞业限制协议的员工，人力部需在离职后定期跟进协议履行情况。</w:t>
      </w:r>
    </w:p>
    <w:p w14:paraId="29600B3D">
      <w:pPr>
        <w:pStyle w:val="28"/>
        <w:bidi w:val="0"/>
        <w:rPr>
          <w:rFonts w:hint="default"/>
          <w:lang w:val="en-US" w:eastAsia="zh-CN"/>
        </w:rPr>
      </w:pPr>
      <w:bookmarkStart w:id="21" w:name="_Toc16397"/>
      <w:r>
        <w:rPr>
          <w:rFonts w:hint="default"/>
          <w:lang w:val="en-US" w:eastAsia="zh-CN"/>
        </w:rPr>
        <w:t>附则</w:t>
      </w:r>
      <w:bookmarkEnd w:id="21"/>
    </w:p>
    <w:p w14:paraId="070554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本制度由人力部负责解释与修订。</w:t>
      </w:r>
    </w:p>
    <w:p w14:paraId="1123BB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本制度自发布之日起执行，原有相关规定与本制度不符的，以本制度为准。</w:t>
      </w:r>
    </w:p>
    <w:p w14:paraId="1B2B1B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本制度涉及的《员工录用审批表》、《工作交接清单》、《员工离职手续办理表》等相关记录表单，由人力部负责设计与管理。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EA4F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B3097E"/>
    <w:rsid w:val="0AED6137"/>
    <w:rsid w:val="262D735C"/>
    <w:rsid w:val="2C0E1B0E"/>
    <w:rsid w:val="304D5BE0"/>
    <w:rsid w:val="49E8420F"/>
    <w:rsid w:val="4BAE52DF"/>
    <w:rsid w:val="4F8C26EE"/>
    <w:rsid w:val="555F2BDC"/>
    <w:rsid w:val="615E4968"/>
    <w:rsid w:val="7783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2484</Words>
  <Characters>2597</Characters>
  <Lines>0</Lines>
  <Paragraphs>0</Paragraphs>
  <TotalTime>0</TotalTime>
  <ScaleCrop>false</ScaleCrop>
  <LinksUpToDate>false</LinksUpToDate>
  <CharactersWithSpaces>2683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2026-01-20T08:55:46Z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