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B16190">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3825"/>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26675EC1">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5089"/>
      <w:r>
        <w:rPr>
          <w:rFonts w:hint="eastAsia"/>
          <w:lang w:val="en-US" w:eastAsia="zh-CN"/>
        </w:rPr>
        <w:t>服务报告管理制度</w:t>
      </w:r>
      <w:bookmarkEnd w:id="1"/>
    </w:p>
    <w:p w14:paraId="77BED8DA">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3</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F839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2432" w:type="dxa"/>
          </w:tcPr>
          <w:p w14:paraId="38FF6AD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数智运营部</w:t>
            </w:r>
          </w:p>
        </w:tc>
        <w:tc>
          <w:tcPr>
            <w:tcW w:w="2708" w:type="dxa"/>
          </w:tcPr>
          <w:p w14:paraId="496EA3F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869D8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3E1954C7">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3118E753">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6A90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78B393D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02DFE34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1116A929">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238678FC">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徐超超</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17106CDC">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41C2AE5">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5BA14CB9">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_Toc23825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_Toc23825 \h </w:instrText>
          </w:r>
          <w:r>
            <w:fldChar w:fldCharType="separate"/>
          </w:r>
          <w:r>
            <w:t>1</w:t>
          </w:r>
          <w:r>
            <w:fldChar w:fldCharType="end"/>
          </w:r>
          <w:r>
            <w:rPr>
              <w:rFonts w:hint="eastAsia" w:ascii="宋体" w:hAnsi="宋体" w:eastAsia="宋体" w:cs="宋体"/>
              <w:szCs w:val="24"/>
            </w:rPr>
            <w:fldChar w:fldCharType="end"/>
          </w:r>
        </w:p>
        <w:p w14:paraId="66AB501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_Toc25089 </w:instrText>
          </w:r>
          <w:r>
            <w:rPr>
              <w:rFonts w:hint="eastAsia" w:ascii="宋体" w:hAnsi="宋体" w:eastAsia="宋体" w:cs="宋体"/>
              <w:szCs w:val="24"/>
            </w:rPr>
            <w:fldChar w:fldCharType="separate"/>
          </w:r>
          <w:r>
            <w:rPr>
              <w:rFonts w:hint="eastAsia"/>
              <w:lang w:val="en-US" w:eastAsia="zh-CN"/>
            </w:rPr>
            <w:t>服务报告管理制度</w:t>
          </w:r>
          <w:r>
            <w:tab/>
          </w:r>
          <w:r>
            <w:fldChar w:fldCharType="begin"/>
          </w:r>
          <w:r>
            <w:instrText xml:space="preserve"> PAGEREF _Toc25089 \h </w:instrText>
          </w:r>
          <w:r>
            <w:fldChar w:fldCharType="separate"/>
          </w:r>
          <w:r>
            <w:t>1</w:t>
          </w:r>
          <w:r>
            <w:fldChar w:fldCharType="end"/>
          </w:r>
          <w:r>
            <w:rPr>
              <w:rFonts w:hint="eastAsia" w:ascii="宋体" w:hAnsi="宋体" w:eastAsia="宋体" w:cs="宋体"/>
              <w:szCs w:val="24"/>
            </w:rPr>
            <w:fldChar w:fldCharType="end"/>
          </w:r>
        </w:p>
        <w:p w14:paraId="77F7CD5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_Toc13113 </w:instrText>
          </w:r>
          <w:r>
            <w:rPr>
              <w:rFonts w:hint="eastAsia" w:ascii="宋体" w:hAnsi="宋体" w:eastAsia="宋体" w:cs="宋体"/>
              <w:szCs w:val="24"/>
            </w:rPr>
            <w:fldChar w:fldCharType="separate"/>
          </w:r>
          <w:r>
            <w:rPr>
              <w:rFonts w:hint="default"/>
              <w:lang w:val="en-US" w:eastAsia="zh-CN"/>
            </w:rPr>
            <w:t>1. 总则</w:t>
          </w:r>
          <w:r>
            <w:tab/>
          </w:r>
          <w:r>
            <w:fldChar w:fldCharType="begin"/>
          </w:r>
          <w:r>
            <w:instrText xml:space="preserve"> PAGEREF _Toc13113 \h </w:instrText>
          </w:r>
          <w:r>
            <w:fldChar w:fldCharType="separate"/>
          </w:r>
          <w:r>
            <w:t>4</w:t>
          </w:r>
          <w:r>
            <w:fldChar w:fldCharType="end"/>
          </w:r>
          <w:r>
            <w:rPr>
              <w:rFonts w:hint="eastAsia" w:ascii="宋体" w:hAnsi="宋体" w:eastAsia="宋体" w:cs="宋体"/>
              <w:szCs w:val="24"/>
            </w:rPr>
            <w:fldChar w:fldCharType="end"/>
          </w:r>
        </w:p>
        <w:p w14:paraId="126A3B1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_Toc12905 </w:instrText>
          </w:r>
          <w:r>
            <w:rPr>
              <w:rFonts w:hint="eastAsia" w:ascii="宋体" w:hAnsi="宋体" w:eastAsia="宋体" w:cs="宋体"/>
              <w:szCs w:val="24"/>
            </w:rPr>
            <w:fldChar w:fldCharType="separate"/>
          </w:r>
          <w:r>
            <w:rPr>
              <w:rFonts w:hint="default"/>
              <w:lang w:val="en-US" w:eastAsia="zh-CN"/>
            </w:rPr>
            <w:t>1.1. 目的</w:t>
          </w:r>
          <w:r>
            <w:tab/>
          </w:r>
          <w:r>
            <w:fldChar w:fldCharType="begin"/>
          </w:r>
          <w:r>
            <w:instrText xml:space="preserve"> PAGEREF _Toc12905 \h </w:instrText>
          </w:r>
          <w:r>
            <w:fldChar w:fldCharType="separate"/>
          </w:r>
          <w:r>
            <w:t>4</w:t>
          </w:r>
          <w:r>
            <w:fldChar w:fldCharType="end"/>
          </w:r>
          <w:r>
            <w:rPr>
              <w:rFonts w:hint="eastAsia" w:ascii="宋体" w:hAnsi="宋体" w:eastAsia="宋体" w:cs="宋体"/>
              <w:szCs w:val="24"/>
            </w:rPr>
            <w:fldChar w:fldCharType="end"/>
          </w:r>
        </w:p>
        <w:p w14:paraId="301D071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_Toc25472 </w:instrText>
          </w:r>
          <w:r>
            <w:rPr>
              <w:rFonts w:hint="eastAsia" w:ascii="宋体" w:hAnsi="宋体" w:eastAsia="宋体" w:cs="宋体"/>
              <w:szCs w:val="24"/>
            </w:rPr>
            <w:fldChar w:fldCharType="separate"/>
          </w:r>
          <w:r>
            <w:rPr>
              <w:rFonts w:hint="default"/>
              <w:lang w:val="en-US" w:eastAsia="zh-CN"/>
            </w:rPr>
            <w:t>1.2. 适用范围</w:t>
          </w:r>
          <w:r>
            <w:tab/>
          </w:r>
          <w:r>
            <w:fldChar w:fldCharType="begin"/>
          </w:r>
          <w:r>
            <w:instrText xml:space="preserve"> PAGEREF _Toc25472 \h </w:instrText>
          </w:r>
          <w:r>
            <w:fldChar w:fldCharType="separate"/>
          </w:r>
          <w:r>
            <w:t>4</w:t>
          </w:r>
          <w:r>
            <w:fldChar w:fldCharType="end"/>
          </w:r>
          <w:r>
            <w:rPr>
              <w:rFonts w:hint="eastAsia" w:ascii="宋体" w:hAnsi="宋体" w:eastAsia="宋体" w:cs="宋体"/>
              <w:szCs w:val="24"/>
            </w:rPr>
            <w:fldChar w:fldCharType="end"/>
          </w:r>
        </w:p>
        <w:p w14:paraId="0A33495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_Toc28341 </w:instrText>
          </w:r>
          <w:r>
            <w:rPr>
              <w:rFonts w:hint="eastAsia" w:ascii="宋体" w:hAnsi="宋体" w:eastAsia="宋体" w:cs="宋体"/>
              <w:szCs w:val="24"/>
            </w:rPr>
            <w:fldChar w:fldCharType="separate"/>
          </w:r>
          <w:r>
            <w:rPr>
              <w:rFonts w:hint="default"/>
              <w:lang w:val="en-US" w:eastAsia="zh-CN"/>
            </w:rPr>
            <w:t>2. 职责分工</w:t>
          </w:r>
          <w:r>
            <w:tab/>
          </w:r>
          <w:r>
            <w:fldChar w:fldCharType="begin"/>
          </w:r>
          <w:r>
            <w:instrText xml:space="preserve"> PAGEREF _Toc28341 \h </w:instrText>
          </w:r>
          <w:r>
            <w:fldChar w:fldCharType="separate"/>
          </w:r>
          <w:r>
            <w:t>4</w:t>
          </w:r>
          <w:r>
            <w:fldChar w:fldCharType="end"/>
          </w:r>
          <w:r>
            <w:rPr>
              <w:rFonts w:hint="eastAsia" w:ascii="宋体" w:hAnsi="宋体" w:eastAsia="宋体" w:cs="宋体"/>
              <w:szCs w:val="24"/>
            </w:rPr>
            <w:fldChar w:fldCharType="end"/>
          </w:r>
        </w:p>
        <w:p w14:paraId="7A543B7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_Toc12893 </w:instrText>
          </w:r>
          <w:r>
            <w:rPr>
              <w:rFonts w:hint="eastAsia" w:ascii="宋体" w:hAnsi="宋体" w:eastAsia="宋体" w:cs="宋体"/>
              <w:szCs w:val="24"/>
            </w:rPr>
            <w:fldChar w:fldCharType="separate"/>
          </w:r>
          <w:r>
            <w:rPr>
              <w:rFonts w:hint="default"/>
              <w:lang w:val="en-US" w:eastAsia="zh-CN"/>
            </w:rPr>
            <w:t>2.1. 报告编制人</w:t>
          </w:r>
          <w:r>
            <w:tab/>
          </w:r>
          <w:r>
            <w:fldChar w:fldCharType="begin"/>
          </w:r>
          <w:r>
            <w:instrText xml:space="preserve"> PAGEREF _Toc12893 \h </w:instrText>
          </w:r>
          <w:r>
            <w:fldChar w:fldCharType="separate"/>
          </w:r>
          <w:r>
            <w:t>4</w:t>
          </w:r>
          <w:r>
            <w:fldChar w:fldCharType="end"/>
          </w:r>
          <w:r>
            <w:rPr>
              <w:rFonts w:hint="eastAsia" w:ascii="宋体" w:hAnsi="宋体" w:eastAsia="宋体" w:cs="宋体"/>
              <w:szCs w:val="24"/>
            </w:rPr>
            <w:fldChar w:fldCharType="end"/>
          </w:r>
        </w:p>
        <w:p w14:paraId="4831D7C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_Toc13696 </w:instrText>
          </w:r>
          <w:r>
            <w:rPr>
              <w:rFonts w:hint="eastAsia" w:ascii="宋体" w:hAnsi="宋体" w:eastAsia="宋体" w:cs="宋体"/>
              <w:szCs w:val="24"/>
            </w:rPr>
            <w:fldChar w:fldCharType="separate"/>
          </w:r>
          <w:r>
            <w:rPr>
              <w:rFonts w:hint="default"/>
              <w:lang w:val="en-US" w:eastAsia="zh-CN"/>
            </w:rPr>
            <w:t>2.2. 报告审核人</w:t>
          </w:r>
          <w:r>
            <w:tab/>
          </w:r>
          <w:r>
            <w:fldChar w:fldCharType="begin"/>
          </w:r>
          <w:r>
            <w:instrText xml:space="preserve"> PAGEREF _Toc13696 \h </w:instrText>
          </w:r>
          <w:r>
            <w:fldChar w:fldCharType="separate"/>
          </w:r>
          <w:r>
            <w:t>4</w:t>
          </w:r>
          <w:r>
            <w:fldChar w:fldCharType="end"/>
          </w:r>
          <w:r>
            <w:rPr>
              <w:rFonts w:hint="eastAsia" w:ascii="宋体" w:hAnsi="宋体" w:eastAsia="宋体" w:cs="宋体"/>
              <w:szCs w:val="24"/>
            </w:rPr>
            <w:fldChar w:fldCharType="end"/>
          </w:r>
        </w:p>
        <w:p w14:paraId="3203907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_Toc2036 </w:instrText>
          </w:r>
          <w:r>
            <w:rPr>
              <w:rFonts w:hint="eastAsia" w:ascii="宋体" w:hAnsi="宋体" w:eastAsia="宋体" w:cs="宋体"/>
              <w:szCs w:val="24"/>
            </w:rPr>
            <w:fldChar w:fldCharType="separate"/>
          </w:r>
          <w:r>
            <w:rPr>
              <w:rFonts w:hint="default"/>
              <w:lang w:val="en-US" w:eastAsia="zh-CN"/>
            </w:rPr>
            <w:t>2.3. 报告归档与管理方</w:t>
          </w:r>
          <w:r>
            <w:tab/>
          </w:r>
          <w:r>
            <w:fldChar w:fldCharType="begin"/>
          </w:r>
          <w:r>
            <w:instrText xml:space="preserve"> PAGEREF _Toc2036 \h </w:instrText>
          </w:r>
          <w:r>
            <w:fldChar w:fldCharType="separate"/>
          </w:r>
          <w:r>
            <w:t>4</w:t>
          </w:r>
          <w:r>
            <w:fldChar w:fldCharType="end"/>
          </w:r>
          <w:r>
            <w:rPr>
              <w:rFonts w:hint="eastAsia" w:ascii="宋体" w:hAnsi="宋体" w:eastAsia="宋体" w:cs="宋体"/>
              <w:szCs w:val="24"/>
            </w:rPr>
            <w:fldChar w:fldCharType="end"/>
          </w:r>
        </w:p>
        <w:p w14:paraId="508CB1F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_Toc27249 </w:instrText>
          </w:r>
          <w:r>
            <w:rPr>
              <w:rFonts w:hint="eastAsia" w:ascii="宋体" w:hAnsi="宋体" w:eastAsia="宋体" w:cs="宋体"/>
              <w:szCs w:val="24"/>
            </w:rPr>
            <w:fldChar w:fldCharType="separate"/>
          </w:r>
          <w:r>
            <w:rPr>
              <w:rFonts w:hint="default"/>
              <w:lang w:val="en-US" w:eastAsia="zh-CN"/>
            </w:rPr>
            <w:t>3. 报告分类与提交计划</w:t>
          </w:r>
          <w:r>
            <w:tab/>
          </w:r>
          <w:r>
            <w:fldChar w:fldCharType="begin"/>
          </w:r>
          <w:r>
            <w:instrText xml:space="preserve"> PAGEREF _Toc27249 \h </w:instrText>
          </w:r>
          <w:r>
            <w:fldChar w:fldCharType="separate"/>
          </w:r>
          <w:r>
            <w:t>5</w:t>
          </w:r>
          <w:r>
            <w:fldChar w:fldCharType="end"/>
          </w:r>
          <w:r>
            <w:rPr>
              <w:rFonts w:hint="eastAsia" w:ascii="宋体" w:hAnsi="宋体" w:eastAsia="宋体" w:cs="宋体"/>
              <w:szCs w:val="24"/>
            </w:rPr>
            <w:fldChar w:fldCharType="end"/>
          </w:r>
        </w:p>
        <w:p w14:paraId="612A908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_Toc11548 </w:instrText>
          </w:r>
          <w:r>
            <w:rPr>
              <w:rFonts w:hint="eastAsia" w:ascii="宋体" w:hAnsi="宋体" w:eastAsia="宋体" w:cs="宋体"/>
              <w:szCs w:val="24"/>
            </w:rPr>
            <w:fldChar w:fldCharType="separate"/>
          </w:r>
          <w:r>
            <w:rPr>
              <w:rFonts w:hint="default"/>
              <w:lang w:val="en-US" w:eastAsia="zh-CN"/>
            </w:rPr>
            <w:t>4. 报告管理策略</w:t>
          </w:r>
          <w:r>
            <w:tab/>
          </w:r>
          <w:r>
            <w:fldChar w:fldCharType="begin"/>
          </w:r>
          <w:r>
            <w:instrText xml:space="preserve"> PAGEREF _Toc11548 \h </w:instrText>
          </w:r>
          <w:r>
            <w:fldChar w:fldCharType="separate"/>
          </w:r>
          <w:r>
            <w:t>5</w:t>
          </w:r>
          <w:r>
            <w:fldChar w:fldCharType="end"/>
          </w:r>
          <w:r>
            <w:rPr>
              <w:rFonts w:hint="eastAsia" w:ascii="宋体" w:hAnsi="宋体" w:eastAsia="宋体" w:cs="宋体"/>
              <w:szCs w:val="24"/>
            </w:rPr>
            <w:fldChar w:fldCharType="end"/>
          </w:r>
        </w:p>
        <w:p w14:paraId="2145131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_Toc32678 </w:instrText>
          </w:r>
          <w:r>
            <w:rPr>
              <w:rFonts w:hint="eastAsia" w:ascii="宋体" w:hAnsi="宋体" w:eastAsia="宋体" w:cs="宋体"/>
              <w:szCs w:val="24"/>
            </w:rPr>
            <w:fldChar w:fldCharType="separate"/>
          </w:r>
          <w:r>
            <w:rPr>
              <w:rFonts w:hint="default"/>
              <w:lang w:val="en-US" w:eastAsia="zh-CN"/>
            </w:rPr>
            <w:t>5. 报告核心内容要求</w:t>
          </w:r>
          <w:r>
            <w:tab/>
          </w:r>
          <w:r>
            <w:fldChar w:fldCharType="begin"/>
          </w:r>
          <w:r>
            <w:instrText xml:space="preserve"> PAGEREF _Toc32678 \h </w:instrText>
          </w:r>
          <w:r>
            <w:fldChar w:fldCharType="separate"/>
          </w:r>
          <w:r>
            <w:t>5</w:t>
          </w:r>
          <w:r>
            <w:fldChar w:fldCharType="end"/>
          </w:r>
          <w:r>
            <w:rPr>
              <w:rFonts w:hint="eastAsia" w:ascii="宋体" w:hAnsi="宋体" w:eastAsia="宋体" w:cs="宋体"/>
              <w:szCs w:val="24"/>
            </w:rPr>
            <w:fldChar w:fldCharType="end"/>
          </w:r>
        </w:p>
        <w:p w14:paraId="52ED52E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_Toc28054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外部服务报告</w:t>
          </w:r>
          <w:r>
            <w:tab/>
          </w:r>
          <w:r>
            <w:fldChar w:fldCharType="begin"/>
          </w:r>
          <w:r>
            <w:instrText xml:space="preserve"> PAGEREF _Toc28054 \h </w:instrText>
          </w:r>
          <w:r>
            <w:fldChar w:fldCharType="separate"/>
          </w:r>
          <w:r>
            <w:t>5</w:t>
          </w:r>
          <w:r>
            <w:fldChar w:fldCharType="end"/>
          </w:r>
          <w:r>
            <w:rPr>
              <w:rFonts w:hint="eastAsia" w:ascii="宋体" w:hAnsi="宋体" w:eastAsia="宋体" w:cs="宋体"/>
              <w:szCs w:val="24"/>
            </w:rPr>
            <w:fldChar w:fldCharType="end"/>
          </w:r>
        </w:p>
        <w:p w14:paraId="56F3D49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_Toc5007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内部服务报告</w:t>
          </w:r>
          <w:r>
            <w:tab/>
          </w:r>
          <w:r>
            <w:fldChar w:fldCharType="begin"/>
          </w:r>
          <w:r>
            <w:instrText xml:space="preserve"> PAGEREF _Toc5007 \h </w:instrText>
          </w:r>
          <w:r>
            <w:fldChar w:fldCharType="separate"/>
          </w:r>
          <w:r>
            <w:t>6</w:t>
          </w:r>
          <w:r>
            <w:fldChar w:fldCharType="end"/>
          </w:r>
          <w:r>
            <w:rPr>
              <w:rFonts w:hint="eastAsia" w:ascii="宋体" w:hAnsi="宋体" w:eastAsia="宋体" w:cs="宋体"/>
              <w:szCs w:val="24"/>
            </w:rPr>
            <w:fldChar w:fldCharType="end"/>
          </w:r>
        </w:p>
        <w:p w14:paraId="1BADEE4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_Toc12540 </w:instrText>
          </w:r>
          <w:r>
            <w:rPr>
              <w:rFonts w:hint="eastAsia" w:ascii="宋体" w:hAnsi="宋体" w:eastAsia="宋体" w:cs="宋体"/>
              <w:szCs w:val="24"/>
            </w:rPr>
            <w:fldChar w:fldCharType="separate"/>
          </w:r>
          <w:r>
            <w:rPr>
              <w:rFonts w:hint="default"/>
              <w:lang w:val="en-US" w:eastAsia="zh-CN"/>
            </w:rPr>
            <w:t>6. 报告管理流程</w:t>
          </w:r>
          <w:r>
            <w:tab/>
          </w:r>
          <w:r>
            <w:fldChar w:fldCharType="begin"/>
          </w:r>
          <w:r>
            <w:instrText xml:space="preserve"> PAGEREF _Toc12540 \h </w:instrText>
          </w:r>
          <w:r>
            <w:fldChar w:fldCharType="separate"/>
          </w:r>
          <w:r>
            <w:t>6</w:t>
          </w:r>
          <w:r>
            <w:fldChar w:fldCharType="end"/>
          </w:r>
          <w:r>
            <w:rPr>
              <w:rFonts w:hint="eastAsia" w:ascii="宋体" w:hAnsi="宋体" w:eastAsia="宋体" w:cs="宋体"/>
              <w:szCs w:val="24"/>
            </w:rPr>
            <w:fldChar w:fldCharType="end"/>
          </w:r>
        </w:p>
        <w:p w14:paraId="4796283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_Toc20124 </w:instrText>
          </w:r>
          <w:r>
            <w:rPr>
              <w:rFonts w:hint="eastAsia" w:ascii="宋体" w:hAnsi="宋体" w:eastAsia="宋体" w:cs="宋体"/>
              <w:szCs w:val="24"/>
            </w:rPr>
            <w:fldChar w:fldCharType="separate"/>
          </w:r>
          <w:r>
            <w:rPr>
              <w:rFonts w:hint="default"/>
              <w:lang w:val="en-US" w:eastAsia="zh-CN"/>
            </w:rPr>
            <w:t>7. 附则</w:t>
          </w:r>
          <w:r>
            <w:tab/>
          </w:r>
          <w:r>
            <w:fldChar w:fldCharType="begin"/>
          </w:r>
          <w:r>
            <w:instrText xml:space="preserve"> PAGEREF _Toc20124 \h </w:instrText>
          </w:r>
          <w:r>
            <w:fldChar w:fldCharType="separate"/>
          </w:r>
          <w:r>
            <w:t>7</w:t>
          </w:r>
          <w:r>
            <w:fldChar w:fldCharType="end"/>
          </w:r>
          <w:r>
            <w:rPr>
              <w:rFonts w:hint="eastAsia" w:ascii="宋体" w:hAnsi="宋体" w:eastAsia="宋体" w:cs="宋体"/>
              <w:szCs w:val="24"/>
            </w:rPr>
            <w:fldChar w:fldCharType="end"/>
          </w:r>
        </w:p>
        <w:p w14:paraId="218702BD">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2D44F95">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65C260C">
      <w:pPr>
        <w:pStyle w:val="28"/>
        <w:bidi w:val="0"/>
        <w:rPr>
          <w:rFonts w:hint="default"/>
          <w:lang w:val="en-US" w:eastAsia="zh-CN"/>
        </w:rPr>
      </w:pPr>
      <w:bookmarkStart w:id="2" w:name="_Toc13113"/>
      <w:r>
        <w:rPr>
          <w:rFonts w:hint="default"/>
          <w:lang w:val="en-US" w:eastAsia="zh-CN"/>
        </w:rPr>
        <w:t>总则</w:t>
      </w:r>
      <w:bookmarkEnd w:id="2"/>
    </w:p>
    <w:p w14:paraId="0ADFD9E6">
      <w:pPr>
        <w:pStyle w:val="30"/>
        <w:bidi w:val="0"/>
        <w:rPr>
          <w:rFonts w:hint="default"/>
          <w:lang w:val="en-US" w:eastAsia="zh-CN"/>
        </w:rPr>
      </w:pPr>
      <w:bookmarkStart w:id="3" w:name="_Toc12905"/>
      <w:r>
        <w:rPr>
          <w:rFonts w:hint="default"/>
          <w:lang w:val="en-US" w:eastAsia="zh-CN"/>
        </w:rPr>
        <w:t>目的</w:t>
      </w:r>
      <w:bookmarkEnd w:id="3"/>
    </w:p>
    <w:p w14:paraId="4F17968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规范公司软件运维服务过程中各类报告与总结的生成、审核、发布与归档管理，确保服务过程透明、绩效可衡量、信息可追溯，并通过对服务数据的系统分析，为服务质量持续改进、管理决策及客户沟通提供可靠依据，特制定本制度。</w:t>
      </w:r>
    </w:p>
    <w:p w14:paraId="35F45FF8">
      <w:pPr>
        <w:pStyle w:val="30"/>
        <w:bidi w:val="0"/>
        <w:rPr>
          <w:rFonts w:hint="default"/>
          <w:lang w:val="en-US" w:eastAsia="zh-CN"/>
        </w:rPr>
      </w:pPr>
      <w:bookmarkStart w:id="4" w:name="_Toc25472"/>
      <w:r>
        <w:rPr>
          <w:rFonts w:hint="default"/>
          <w:lang w:val="en-US" w:eastAsia="zh-CN"/>
        </w:rPr>
        <w:t>适用范围</w:t>
      </w:r>
      <w:bookmarkEnd w:id="4"/>
    </w:p>
    <w:p w14:paraId="50FE291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本制度适用于公司为提供软件运维服务而产生的所有服务报告与服务总结，包括但不限于向客户提交的外部报告及用于内部管理的总结报告。</w:t>
      </w:r>
    </w:p>
    <w:p w14:paraId="6A9ADD2B">
      <w:pPr>
        <w:pStyle w:val="28"/>
        <w:bidi w:val="0"/>
        <w:rPr>
          <w:rFonts w:hint="default"/>
          <w:lang w:val="en-US" w:eastAsia="zh-CN"/>
        </w:rPr>
      </w:pPr>
      <w:bookmarkStart w:id="5" w:name="_Toc28341"/>
      <w:r>
        <w:rPr>
          <w:rFonts w:hint="default"/>
          <w:lang w:val="en-US" w:eastAsia="zh-CN"/>
        </w:rPr>
        <w:t>职责分工</w:t>
      </w:r>
      <w:bookmarkEnd w:id="5"/>
    </w:p>
    <w:p w14:paraId="6F764CED">
      <w:pPr>
        <w:pStyle w:val="30"/>
        <w:bidi w:val="0"/>
        <w:rPr>
          <w:rFonts w:hint="default"/>
          <w:lang w:val="en-US" w:eastAsia="zh-CN"/>
        </w:rPr>
      </w:pPr>
      <w:bookmarkStart w:id="6" w:name="_Toc12893"/>
      <w:r>
        <w:rPr>
          <w:rFonts w:hint="default"/>
          <w:lang w:val="en-US" w:eastAsia="zh-CN"/>
        </w:rPr>
        <w:t>报告编制人</w:t>
      </w:r>
      <w:bookmarkEnd w:id="6"/>
    </w:p>
    <w:p w14:paraId="69EFFE0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责任人：各项目运维项目经理。</w:t>
      </w:r>
    </w:p>
    <w:p w14:paraId="7654DB5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职责：负责依据本制度及合同约定，按时、保质编制《服务报告》与《服务总结》；确保报告数据真实、准确、完整；对报告内容的客观性负责。</w:t>
      </w:r>
    </w:p>
    <w:p w14:paraId="6F578889">
      <w:pPr>
        <w:pStyle w:val="30"/>
        <w:bidi w:val="0"/>
        <w:rPr>
          <w:rFonts w:hint="default"/>
          <w:lang w:val="en-US" w:eastAsia="zh-CN"/>
        </w:rPr>
      </w:pPr>
      <w:bookmarkStart w:id="7" w:name="_Toc13696"/>
      <w:r>
        <w:rPr>
          <w:rFonts w:hint="default"/>
          <w:lang w:val="en-US" w:eastAsia="zh-CN"/>
        </w:rPr>
        <w:t>报告审核人</w:t>
      </w:r>
      <w:bookmarkEnd w:id="7"/>
    </w:p>
    <w:p w14:paraId="6131096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责任人：数智运营部经理。</w:t>
      </w:r>
    </w:p>
    <w:p w14:paraId="010C6CD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职责：负责审核报告内容的规范性、准确性与合规性；审批报告中涉及的改进措施及资源需求；对报告中出现的重大异常情况予以关注并决策。</w:t>
      </w:r>
    </w:p>
    <w:p w14:paraId="21B1752A">
      <w:pPr>
        <w:pStyle w:val="30"/>
        <w:bidi w:val="0"/>
        <w:rPr>
          <w:rFonts w:hint="default"/>
          <w:lang w:val="en-US" w:eastAsia="zh-CN"/>
        </w:rPr>
      </w:pPr>
      <w:bookmarkStart w:id="8" w:name="_Toc2036"/>
      <w:r>
        <w:rPr>
          <w:rFonts w:hint="default"/>
          <w:lang w:val="en-US" w:eastAsia="zh-CN"/>
        </w:rPr>
        <w:t>报告归档与管理方</w:t>
      </w:r>
      <w:bookmarkEnd w:id="8"/>
    </w:p>
    <w:p w14:paraId="636C26B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责任人：数智运营部（协同质量管理部）。</w:t>
      </w:r>
    </w:p>
    <w:p w14:paraId="51030DA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职责：负责制定和维护报告模板；监督报告按时提交；统一归档所有正式报告；定期对报告质量进行抽查；分析报告趋势，为部门及公司级改进提供输入。</w:t>
      </w:r>
    </w:p>
    <w:p w14:paraId="227C1CC2">
      <w:pPr>
        <w:pStyle w:val="28"/>
        <w:bidi w:val="0"/>
        <w:rPr>
          <w:rFonts w:hint="default"/>
          <w:lang w:val="en-US" w:eastAsia="zh-CN"/>
        </w:rPr>
      </w:pPr>
      <w:bookmarkStart w:id="9" w:name="_Toc27249"/>
      <w:r>
        <w:rPr>
          <w:rFonts w:hint="default"/>
          <w:lang w:val="en-US" w:eastAsia="zh-CN"/>
        </w:rPr>
        <w:t>报告分类与提交计划</w:t>
      </w:r>
      <w:bookmarkEnd w:id="9"/>
    </w:p>
    <w:p w14:paraId="298598C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服务报告根据汇报对象与用途，主要分为两类：</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603"/>
        <w:gridCol w:w="790"/>
        <w:gridCol w:w="3258"/>
        <w:gridCol w:w="1864"/>
        <w:gridCol w:w="1983"/>
      </w:tblGrid>
      <w:tr w14:paraId="2BBD9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14:paraId="46D7FA6D">
            <w:pPr>
              <w:keepNext w:val="0"/>
              <w:keepLines w:val="0"/>
              <w:widowControl/>
              <w:suppressLineNumbers w:val="0"/>
              <w:spacing w:line="300" w:lineRule="atLeast"/>
              <w:ind w:left="0" w:leftChars="0" w:right="0" w:rightChars="0" w:firstLine="0" w:firstLineChars="0"/>
              <w:jc w:val="center"/>
              <w:rPr>
                <w:rStyle w:val="23"/>
                <w:rFonts w:hint="default" w:ascii="Segoe UI" w:hAnsi="Segoe UI" w:eastAsia="Segoe UI" w:cs="Segoe UI"/>
                <w:b/>
                <w:bCs/>
                <w:i w:val="0"/>
                <w:iCs w:val="0"/>
                <w:caps w:val="0"/>
                <w:snapToGrid w:val="0"/>
                <w:color w:val="000000"/>
                <w:spacing w:val="0"/>
                <w:kern w:val="0"/>
                <w:sz w:val="18"/>
                <w:szCs w:val="18"/>
                <w:lang w:val="en-US" w:eastAsia="zh-CN" w:bidi="ar"/>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报告类型</w:t>
            </w:r>
          </w:p>
        </w:tc>
        <w:tc>
          <w:tcPr>
            <w:tcW w:w="0" w:type="auto"/>
            <w:shd w:val="clear" w:color="auto" w:fill="auto"/>
            <w:tcMar>
              <w:top w:w="120" w:type="dxa"/>
              <w:left w:w="192" w:type="dxa"/>
              <w:bottom w:w="120" w:type="dxa"/>
              <w:right w:w="192" w:type="dxa"/>
            </w:tcMar>
            <w:vAlign w:val="center"/>
          </w:tcPr>
          <w:p w14:paraId="2D8B1C09">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主要对象</w:t>
            </w:r>
          </w:p>
        </w:tc>
        <w:tc>
          <w:tcPr>
            <w:tcW w:w="3258" w:type="dxa"/>
            <w:shd w:val="clear" w:color="auto" w:fill="auto"/>
            <w:tcMar>
              <w:top w:w="120" w:type="dxa"/>
              <w:left w:w="192" w:type="dxa"/>
              <w:bottom w:w="120" w:type="dxa"/>
              <w:right w:w="192" w:type="dxa"/>
            </w:tcMar>
            <w:vAlign w:val="center"/>
          </w:tcPr>
          <w:p w14:paraId="59273605">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核心目的</w:t>
            </w:r>
          </w:p>
        </w:tc>
        <w:tc>
          <w:tcPr>
            <w:tcW w:w="1864" w:type="dxa"/>
            <w:shd w:val="clear" w:color="auto" w:fill="auto"/>
            <w:tcMar>
              <w:top w:w="120" w:type="dxa"/>
              <w:left w:w="192" w:type="dxa"/>
              <w:bottom w:w="120" w:type="dxa"/>
              <w:right w:w="192" w:type="dxa"/>
            </w:tcMar>
            <w:vAlign w:val="center"/>
          </w:tcPr>
          <w:p w14:paraId="252DC34F">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提交频率</w:t>
            </w:r>
          </w:p>
        </w:tc>
        <w:tc>
          <w:tcPr>
            <w:tcW w:w="0" w:type="auto"/>
            <w:shd w:val="clear" w:color="auto" w:fill="auto"/>
            <w:tcMar>
              <w:top w:w="120" w:type="dxa"/>
              <w:left w:w="192" w:type="dxa"/>
              <w:bottom w:w="120" w:type="dxa"/>
              <w:right w:w="192" w:type="dxa"/>
            </w:tcMar>
            <w:vAlign w:val="center"/>
          </w:tcPr>
          <w:p w14:paraId="63F12B3C">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分发范围</w:t>
            </w:r>
          </w:p>
        </w:tc>
      </w:tr>
      <w:tr w14:paraId="26654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28DBA47D">
            <w:pPr>
              <w:keepNext w:val="0"/>
              <w:keepLines w:val="0"/>
              <w:widowControl/>
              <w:suppressLineNumbers w:val="0"/>
              <w:spacing w:line="300" w:lineRule="atLeast"/>
              <w:ind w:left="0" w:leftChars="0" w:right="0" w:rightChars="0" w:firstLine="0" w:firstLineChars="0"/>
              <w:jc w:val="center"/>
              <w:rPr>
                <w:rStyle w:val="23"/>
                <w:rFonts w:hint="default" w:ascii="Segoe UI" w:hAnsi="Segoe UI" w:eastAsia="Segoe UI" w:cs="Segoe UI"/>
                <w:b/>
                <w:bCs/>
                <w:i w:val="0"/>
                <w:iCs w:val="0"/>
                <w:caps w:val="0"/>
                <w:snapToGrid w:val="0"/>
                <w:color w:val="000000"/>
                <w:spacing w:val="0"/>
                <w:kern w:val="0"/>
                <w:sz w:val="18"/>
                <w:szCs w:val="18"/>
                <w:lang w:val="en-US" w:eastAsia="zh-CN" w:bidi="ar"/>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服务报告</w:t>
            </w:r>
          </w:p>
        </w:tc>
        <w:tc>
          <w:tcPr>
            <w:tcW w:w="0" w:type="auto"/>
            <w:shd w:val="clear" w:color="auto" w:fill="auto"/>
            <w:tcMar>
              <w:top w:w="120" w:type="dxa"/>
              <w:left w:w="192" w:type="dxa"/>
              <w:bottom w:w="120" w:type="dxa"/>
              <w:right w:w="192" w:type="dxa"/>
            </w:tcMar>
            <w:vAlign w:val="center"/>
          </w:tcPr>
          <w:p w14:paraId="6A27ECD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客户</w:t>
            </w:r>
          </w:p>
        </w:tc>
        <w:tc>
          <w:tcPr>
            <w:tcW w:w="3258" w:type="dxa"/>
            <w:shd w:val="clear" w:color="auto" w:fill="auto"/>
            <w:tcMar>
              <w:top w:w="120" w:type="dxa"/>
              <w:left w:w="192" w:type="dxa"/>
              <w:bottom w:w="120" w:type="dxa"/>
              <w:right w:w="192" w:type="dxa"/>
            </w:tcMar>
            <w:vAlign w:val="center"/>
          </w:tcPr>
          <w:p w14:paraId="7F8F75A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向客户透明化展示服务绩效、工作量、SLA达成情况及改进计划，提升客户满意度与信任度。</w:t>
            </w:r>
          </w:p>
        </w:tc>
        <w:tc>
          <w:tcPr>
            <w:tcW w:w="1864" w:type="dxa"/>
            <w:shd w:val="clear" w:color="auto" w:fill="auto"/>
            <w:tcMar>
              <w:top w:w="120" w:type="dxa"/>
              <w:left w:w="192" w:type="dxa"/>
              <w:bottom w:w="120" w:type="dxa"/>
              <w:right w:w="192" w:type="dxa"/>
            </w:tcMar>
            <w:vAlign w:val="center"/>
          </w:tcPr>
          <w:p w14:paraId="25A6C8E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月度/按SLA约定</w:t>
            </w:r>
          </w:p>
        </w:tc>
        <w:tc>
          <w:tcPr>
            <w:tcW w:w="0" w:type="auto"/>
            <w:shd w:val="clear" w:color="auto" w:fill="auto"/>
            <w:tcMar>
              <w:top w:w="120" w:type="dxa"/>
              <w:left w:w="192" w:type="dxa"/>
              <w:bottom w:w="120" w:type="dxa"/>
              <w:right w:w="0" w:type="dxa"/>
            </w:tcMar>
            <w:vAlign w:val="center"/>
          </w:tcPr>
          <w:p w14:paraId="1CD5E02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客户接口人、公司数智运营部、质量管理部备案</w:t>
            </w:r>
          </w:p>
        </w:tc>
      </w:tr>
      <w:tr w14:paraId="251E9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553A338F">
            <w:pPr>
              <w:keepNext w:val="0"/>
              <w:keepLines w:val="0"/>
              <w:widowControl/>
              <w:suppressLineNumbers w:val="0"/>
              <w:spacing w:line="300" w:lineRule="atLeast"/>
              <w:ind w:left="0" w:leftChars="0" w:right="0" w:rightChars="0" w:firstLine="0" w:firstLineChars="0"/>
              <w:jc w:val="center"/>
              <w:rPr>
                <w:rStyle w:val="23"/>
                <w:rFonts w:hint="default" w:ascii="Segoe UI" w:hAnsi="Segoe UI" w:eastAsia="Segoe UI" w:cs="Segoe UI"/>
                <w:b/>
                <w:bCs/>
                <w:i w:val="0"/>
                <w:iCs w:val="0"/>
                <w:caps w:val="0"/>
                <w:snapToGrid w:val="0"/>
                <w:color w:val="000000"/>
                <w:spacing w:val="0"/>
                <w:kern w:val="0"/>
                <w:sz w:val="18"/>
                <w:szCs w:val="18"/>
                <w:lang w:val="en-US" w:eastAsia="zh-CN" w:bidi="ar"/>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服务总结</w:t>
            </w:r>
          </w:p>
        </w:tc>
        <w:tc>
          <w:tcPr>
            <w:tcW w:w="0" w:type="auto"/>
            <w:shd w:val="clear" w:color="auto" w:fill="auto"/>
            <w:tcMar>
              <w:top w:w="120" w:type="dxa"/>
              <w:left w:w="192" w:type="dxa"/>
              <w:bottom w:w="120" w:type="dxa"/>
              <w:right w:w="192" w:type="dxa"/>
            </w:tcMar>
            <w:vAlign w:val="center"/>
          </w:tcPr>
          <w:p w14:paraId="1610DAB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内部管理</w:t>
            </w:r>
          </w:p>
        </w:tc>
        <w:tc>
          <w:tcPr>
            <w:tcW w:w="3258" w:type="dxa"/>
            <w:shd w:val="clear" w:color="auto" w:fill="auto"/>
            <w:tcMar>
              <w:top w:w="120" w:type="dxa"/>
              <w:left w:w="192" w:type="dxa"/>
              <w:bottom w:w="120" w:type="dxa"/>
              <w:right w:w="192" w:type="dxa"/>
            </w:tcMar>
            <w:vAlign w:val="center"/>
          </w:tcPr>
          <w:p w14:paraId="48684C5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项目内部复盘，分析服务指标、资源效率、流程合规性，为内部考核、能力提升及资源规划提供依据。</w:t>
            </w:r>
          </w:p>
        </w:tc>
        <w:tc>
          <w:tcPr>
            <w:tcW w:w="1864" w:type="dxa"/>
            <w:shd w:val="clear" w:color="auto" w:fill="auto"/>
            <w:tcMar>
              <w:top w:w="120" w:type="dxa"/>
              <w:left w:w="192" w:type="dxa"/>
              <w:bottom w:w="120" w:type="dxa"/>
              <w:right w:w="192" w:type="dxa"/>
            </w:tcMar>
            <w:vAlign w:val="center"/>
          </w:tcPr>
          <w:p w14:paraId="7EB1E7F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月度/年度</w:t>
            </w:r>
          </w:p>
        </w:tc>
        <w:tc>
          <w:tcPr>
            <w:tcW w:w="0" w:type="auto"/>
            <w:shd w:val="clear" w:color="auto" w:fill="auto"/>
            <w:tcMar>
              <w:top w:w="120" w:type="dxa"/>
              <w:left w:w="192" w:type="dxa"/>
              <w:bottom w:w="120" w:type="dxa"/>
              <w:right w:w="0" w:type="dxa"/>
            </w:tcMar>
            <w:vAlign w:val="center"/>
          </w:tcPr>
          <w:p w14:paraId="0BDAC4E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数智运营部、质量管理部、相关项目组成员</w:t>
            </w:r>
          </w:p>
        </w:tc>
      </w:tr>
    </w:tbl>
    <w:p w14:paraId="2AD064F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注：具体提交周期、方式及详细范围应在《服务级别协议》或项目计划中明确。</w:t>
      </w:r>
    </w:p>
    <w:p w14:paraId="7F83D909">
      <w:pPr>
        <w:pStyle w:val="28"/>
        <w:bidi w:val="0"/>
        <w:rPr>
          <w:rFonts w:hint="default"/>
          <w:lang w:val="en-US" w:eastAsia="zh-CN"/>
        </w:rPr>
      </w:pPr>
      <w:bookmarkStart w:id="10" w:name="_Toc11548"/>
      <w:r>
        <w:rPr>
          <w:rFonts w:hint="default"/>
          <w:lang w:val="en-US" w:eastAsia="zh-CN"/>
        </w:rPr>
        <w:t>报告管理策略</w:t>
      </w:r>
      <w:bookmarkEnd w:id="10"/>
    </w:p>
    <w:p w14:paraId="3F01E07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服务报告的管理应遵循以下策略：</w:t>
      </w:r>
    </w:p>
    <w:p w14:paraId="6A1D8211">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需求导向：报告内容与格式需预先与客户及内部管理层沟通确认，满足其决策与监督需求。</w:t>
      </w:r>
    </w:p>
    <w:p w14:paraId="35D7612F">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数据驱动：报告中的关键绩效指标（KPI）必须可测量、可验证，并提供历史趋势对比分析。</w:t>
      </w:r>
    </w:p>
    <w:p w14:paraId="33CBBDA0">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质量保证：确保报告的及时性、准确性、可靠性与一致性。报告应经过审核流程后方可发布。</w:t>
      </w:r>
    </w:p>
    <w:p w14:paraId="22F6495B">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呈现清晰：采用图表等直观形式呈现数据，语言应简洁、专业、避免歧义，便于不同背景的读者理解。</w:t>
      </w:r>
    </w:p>
    <w:p w14:paraId="29476E35">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持续改进：报告不仅反映现状，更应分析根因，提出切实可行的改进建议或行动计划。</w:t>
      </w:r>
    </w:p>
    <w:p w14:paraId="57CFE0DC">
      <w:pPr>
        <w:pStyle w:val="28"/>
        <w:bidi w:val="0"/>
        <w:rPr>
          <w:rFonts w:hint="default"/>
          <w:lang w:val="en-US" w:eastAsia="zh-CN"/>
        </w:rPr>
      </w:pPr>
      <w:bookmarkStart w:id="11" w:name="_Toc32678"/>
      <w:r>
        <w:rPr>
          <w:rFonts w:hint="default"/>
          <w:lang w:val="en-US" w:eastAsia="zh-CN"/>
        </w:rPr>
        <w:t>报告核心内容要求</w:t>
      </w:r>
      <w:bookmarkEnd w:id="11"/>
    </w:p>
    <w:p w14:paraId="2785CC96">
      <w:pPr>
        <w:pStyle w:val="30"/>
        <w:bidi w:val="0"/>
        <w:rPr>
          <w:rFonts w:hint="default"/>
          <w:lang w:val="en-US" w:eastAsia="zh-CN"/>
        </w:rPr>
      </w:pPr>
      <w:bookmarkStart w:id="12" w:name="_Toc28054"/>
      <w:r>
        <w:rPr>
          <w:rFonts w:hint="eastAsia"/>
          <w:lang w:val="en-US" w:eastAsia="zh-CN"/>
        </w:rPr>
        <w:t>外部服务报告</w:t>
      </w:r>
      <w:bookmarkEnd w:id="12"/>
    </w:p>
    <w:p w14:paraId="780A4C7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执行摘要：本期核心绩效、重大成就与关键问题的概述。</w:t>
      </w:r>
    </w:p>
    <w:p w14:paraId="314E668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服务级别达成分析：对照SLA，逐项说明各项指标（如可用性、响应时间、解决时间等）的达成情况，对未达标项进行根本原因分析。</w:t>
      </w:r>
    </w:p>
    <w:p w14:paraId="76205D0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服务工作量综述：处理的事件、服务请求、变更的数量统计与分类分析。</w:t>
      </w:r>
    </w:p>
    <w:p w14:paraId="1C5D556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重大事件回顾：重大故障或变更的实施过程、影响、解决措施及经验教训。</w:t>
      </w:r>
    </w:p>
    <w:p w14:paraId="2CE36C9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客户满意度反馈：本期收集到的客户反馈摘要及处理情况。</w:t>
      </w:r>
    </w:p>
    <w:p w14:paraId="5EAC176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改进计划与建议：针对本期问题的改进措施，以及为提升服务价值提出的优化建议。</w:t>
      </w:r>
    </w:p>
    <w:p w14:paraId="5C294DA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下阶段工作计划：下一报告周期内的主要工作计划与承诺。</w:t>
      </w:r>
    </w:p>
    <w:p w14:paraId="240D8010">
      <w:pPr>
        <w:pStyle w:val="30"/>
        <w:bidi w:val="0"/>
        <w:rPr>
          <w:rFonts w:hint="eastAsia"/>
          <w:lang w:val="en-US" w:eastAsia="zh-CN"/>
        </w:rPr>
      </w:pPr>
      <w:bookmarkStart w:id="13" w:name="_Toc5007"/>
      <w:r>
        <w:rPr>
          <w:rFonts w:hint="eastAsia"/>
          <w:lang w:val="en-US" w:eastAsia="zh-CN"/>
        </w:rPr>
        <w:t>内部服务报告</w:t>
      </w:r>
      <w:bookmarkEnd w:id="13"/>
    </w:p>
    <w:p w14:paraId="363047B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项目绩效深度分析：SLA达成趋势、资源（人力/工具）利用率、成本效率分析。</w:t>
      </w:r>
    </w:p>
    <w:p w14:paraId="02BC613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流程合规性检查：总结事件、问题、变更、配置等流程的执行是否符合公司质量体系与ITSS标准。</w:t>
      </w:r>
    </w:p>
    <w:p w14:paraId="6595AF3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团队能力与知识管理：技能培训效果、知识库贡献、典型案例积累情况。</w:t>
      </w:r>
    </w:p>
    <w:p w14:paraId="456B083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风险与问题汇总：识别出的运营风险、重复发生的问题及长期改进项。</w:t>
      </w:r>
    </w:p>
    <w:p w14:paraId="651092A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内部改进计划：针对内部流程、工具、技能的优化措施与行动计划。</w:t>
      </w:r>
    </w:p>
    <w:p w14:paraId="4FAB33E1">
      <w:pPr>
        <w:pStyle w:val="28"/>
        <w:bidi w:val="0"/>
        <w:rPr>
          <w:rFonts w:hint="default"/>
          <w:lang w:val="en-US" w:eastAsia="zh-CN"/>
        </w:rPr>
      </w:pPr>
      <w:bookmarkStart w:id="14" w:name="_Toc12540"/>
      <w:r>
        <w:rPr>
          <w:rFonts w:hint="default"/>
          <w:lang w:val="en-US" w:eastAsia="zh-CN"/>
        </w:rPr>
        <w:t>报告管理流程</w:t>
      </w:r>
      <w:bookmarkEnd w:id="14"/>
    </w:p>
    <w:p w14:paraId="0E1AF4D8">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计划与准备：数智运营部根据SLA要求，制定年度/季度报告计划。运维项目经理负责日常数据收集与记录。</w:t>
      </w:r>
    </w:p>
    <w:p w14:paraId="34E49B19">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编制：报告周期结束后，运维项目经理依据模板在规定时间内完成报告编制。</w:t>
      </w:r>
    </w:p>
    <w:p w14:paraId="791FF67E">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审核：编制完成的报告提交至数智运营部经理审核。审核重点包括数据准确性、结论客观性、改进措施可行性等。涉及重大事项需报更高层级审批。</w:t>
      </w:r>
    </w:p>
    <w:p w14:paraId="41FC7CD3">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发布与提交：审核通过后的《服务报告》按约定方式提交给客户；《服务总结》提交至相关部门及管理层。</w:t>
      </w:r>
    </w:p>
    <w:p w14:paraId="07632339">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归档：数智运营部负责将最终版报告进行统一归档，确保版本受控、便于查阅。</w:t>
      </w:r>
    </w:p>
    <w:p w14:paraId="08AFC4BD">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回顾与利用：质量管理部及数智运营部管理层定期回顾报告内容，将其作为管理评审、流程优化和年度规划的重要输入。</w:t>
      </w:r>
    </w:p>
    <w:p w14:paraId="5F000F4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20124"/>
      <w:r>
        <w:rPr>
          <w:rFonts w:hint="eastAsia"/>
          <w:lang w:val="en-US" w:eastAsia="zh-CN"/>
        </w:rPr>
        <w:t>考核指标</w:t>
      </w:r>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27"/>
        <w:gridCol w:w="1092"/>
        <w:gridCol w:w="3300"/>
        <w:gridCol w:w="1056"/>
      </w:tblGrid>
      <w:tr w14:paraId="16475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ED74F2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KPI</w:t>
            </w:r>
          </w:p>
        </w:tc>
        <w:tc>
          <w:tcPr>
            <w:tcW w:w="109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1432508">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目标值</w:t>
            </w:r>
          </w:p>
        </w:tc>
        <w:tc>
          <w:tcPr>
            <w:tcW w:w="3300"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3975C5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计算公式/方法</w:t>
            </w:r>
          </w:p>
        </w:tc>
        <w:tc>
          <w:tcPr>
            <w:tcW w:w="105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F6E471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频度</w:t>
            </w:r>
          </w:p>
        </w:tc>
      </w:tr>
      <w:tr w14:paraId="38874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539196">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bookmarkStart w:id="16" w:name="_GoBack" w:colFirst="0" w:colLast="3"/>
            <w:r>
              <w:rPr>
                <w:rFonts w:hint="eastAsia" w:ascii="宋体" w:hAnsi="宋体" w:eastAsia="宋体" w:cs="宋体"/>
                <w:i w:val="0"/>
                <w:iCs w:val="0"/>
                <w:snapToGrid w:val="0"/>
                <w:color w:val="000000"/>
                <w:kern w:val="0"/>
                <w:sz w:val="21"/>
                <w:szCs w:val="21"/>
                <w:u w:val="none"/>
                <w:lang w:val="en-US" w:eastAsia="zh-CN" w:bidi="ar"/>
              </w:rPr>
              <w:t>服务报告交付及时率</w:t>
            </w:r>
          </w:p>
        </w:tc>
        <w:tc>
          <w:tcPr>
            <w:tcW w:w="10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0B85C7">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≥90%</w:t>
            </w:r>
          </w:p>
        </w:tc>
        <w:tc>
          <w:tcPr>
            <w:tcW w:w="33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FC6539">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（服务报告按时提交的数量/服务报告总数量）*100%</w:t>
            </w:r>
          </w:p>
        </w:tc>
        <w:tc>
          <w:tcPr>
            <w:tcW w:w="10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3E3678">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季度</w:t>
            </w:r>
          </w:p>
        </w:tc>
      </w:tr>
      <w:bookmarkEnd w:id="16"/>
    </w:tbl>
    <w:p w14:paraId="647199FA">
      <w:pPr>
        <w:pStyle w:val="28"/>
        <w:bidi w:val="0"/>
        <w:rPr>
          <w:rFonts w:hint="default"/>
          <w:lang w:val="en-US" w:eastAsia="zh-CN"/>
        </w:rPr>
      </w:pPr>
      <w:r>
        <w:rPr>
          <w:rFonts w:hint="default"/>
          <w:lang w:val="en-US" w:eastAsia="zh-CN"/>
        </w:rPr>
        <w:t>附则</w:t>
      </w:r>
      <w:bookmarkEnd w:id="15"/>
    </w:p>
    <w:p w14:paraId="56F2D29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本制度由数智运营部负责解释与修订。</w:t>
      </w:r>
    </w:p>
    <w:p w14:paraId="4B3CEB6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本制度自发布之日起生效。原相关管理规定与本制度不一致的，以本制度为准。</w:t>
      </w:r>
    </w:p>
    <w:p w14:paraId="365C644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本制度涉及的《服务报告模板》、《服务总结模板》等，由数智运营部负责制定与更新。</w:t>
      </w:r>
    </w:p>
    <w:p w14:paraId="6D235B9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F406C">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A19CC06"/>
    <w:multiLevelType w:val="singleLevel"/>
    <w:tmpl w:val="9A19CC06"/>
    <w:lvl w:ilvl="0" w:tentative="0">
      <w:start w:val="1"/>
      <w:numFmt w:val="decimal"/>
      <w:lvlText w:val="%1."/>
      <w:lvlJc w:val="left"/>
      <w:pPr>
        <w:ind w:left="425" w:hanging="425"/>
      </w:pPr>
      <w:rPr>
        <w:rFonts w:hint="default"/>
      </w:rPr>
    </w:lvl>
  </w:abstractNum>
  <w:abstractNum w:abstractNumId="2">
    <w:nsid w:val="A10A99EF"/>
    <w:multiLevelType w:val="singleLevel"/>
    <w:tmpl w:val="A10A99EF"/>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160F0D"/>
    <w:rsid w:val="11862688"/>
    <w:rsid w:val="12D50EF2"/>
    <w:rsid w:val="14E530ED"/>
    <w:rsid w:val="1B9A62B3"/>
    <w:rsid w:val="1D097B94"/>
    <w:rsid w:val="1E3F0699"/>
    <w:rsid w:val="227269ED"/>
    <w:rsid w:val="272E1AD7"/>
    <w:rsid w:val="2B0D37FF"/>
    <w:rsid w:val="3715405D"/>
    <w:rsid w:val="461D3BE5"/>
    <w:rsid w:val="4CA0731E"/>
    <w:rsid w:val="4CE36076"/>
    <w:rsid w:val="50681F00"/>
    <w:rsid w:val="51A30364"/>
    <w:rsid w:val="584329C2"/>
    <w:rsid w:val="5934151A"/>
    <w:rsid w:val="5CDD77D2"/>
    <w:rsid w:val="6165658D"/>
    <w:rsid w:val="6AAE69E4"/>
    <w:rsid w:val="6C0054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1925</Words>
  <Characters>2022</Characters>
  <Lines>0</Lines>
  <Paragraphs>0</Paragraphs>
  <TotalTime>1</TotalTime>
  <ScaleCrop>false</ScaleCrop>
  <LinksUpToDate>false</LinksUpToDate>
  <CharactersWithSpaces>2084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2026-01-20T13:05:03Z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