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6CBA0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852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C8972A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543"/>
      <w:r>
        <w:rPr>
          <w:rFonts w:hint="eastAsia"/>
          <w:lang w:val="en-US" w:eastAsia="zh-CN"/>
        </w:rPr>
        <w:t>事件管理制度</w:t>
      </w:r>
      <w:bookmarkEnd w:id="1"/>
    </w:p>
    <w:p w14:paraId="6396E2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A21E6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1AFBF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0A56F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07DA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5FD1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27889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21E6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AF3D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B7693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828469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06A370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4EACAF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B7A4A0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31D3E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_Toc8528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D2DD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_Toc5543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5AFC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_Toc28718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C57E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_Toc10404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CDAB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_Toc6928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FAE2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_Toc21657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7A5C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4E5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事件经理</w:t>
          </w:r>
          <w:r>
            <w:tab/>
          </w:r>
          <w:r>
            <w:fldChar w:fldCharType="begin"/>
          </w:r>
          <w:r>
            <w:instrText xml:space="preserve"> PAGEREF _Toc20069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EE1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_Toc1363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212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_Toc32383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61AB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_Toc24452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EE2DD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管理原则</w:t>
          </w:r>
          <w:r>
            <w:tab/>
          </w:r>
          <w:r>
            <w:fldChar w:fldCharType="begin"/>
          </w:r>
          <w:r>
            <w:instrText xml:space="preserve"> PAGEREF _Toc9092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212B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事件关闭原则</w:t>
          </w:r>
          <w:r>
            <w:tab/>
          </w:r>
          <w:r>
            <w:fldChar w:fldCharType="begin"/>
          </w:r>
          <w:r>
            <w:instrText xml:space="preserve"> PAGEREF _Toc31819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9713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流程关联原则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AEBA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事件管理流程</w:t>
          </w:r>
          <w:r>
            <w:tab/>
          </w:r>
          <w:r>
            <w:fldChar w:fldCharType="begin"/>
          </w:r>
          <w:r>
            <w:instrText xml:space="preserve"> PAGEREF _Toc26393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06C8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流程输入与输出</w:t>
          </w:r>
          <w:r>
            <w:tab/>
          </w:r>
          <w:r>
            <w:fldChar w:fldCharType="begin"/>
          </w:r>
          <w:r>
            <w:instrText xml:space="preserve"> PAGEREF _Toc32094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7E5F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流程活动说明</w:t>
          </w:r>
          <w:r>
            <w:tab/>
          </w:r>
          <w:r>
            <w:fldChar w:fldCharType="begin"/>
          </w:r>
          <w:r>
            <w:instrText xml:space="preserve"> PAGEREF _Toc12596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E5689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事件处理与升级子流程</w:t>
          </w:r>
          <w:r>
            <w:tab/>
          </w:r>
          <w:r>
            <w:fldChar w:fldCharType="begin"/>
          </w:r>
          <w:r>
            <w:instrText xml:space="preserve"> PAGEREF _Toc4846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580F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事件分类、分级与升级</w:t>
          </w:r>
          <w:r>
            <w:tab/>
          </w:r>
          <w:r>
            <w:fldChar w:fldCharType="begin"/>
          </w:r>
          <w:r>
            <w:instrText xml:space="preserve"> PAGEREF _Toc4731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C10B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事件等级划分</w:t>
          </w:r>
          <w:r>
            <w:tab/>
          </w:r>
          <w:r>
            <w:fldChar w:fldCharType="begin"/>
          </w:r>
          <w:r>
            <w:instrText xml:space="preserve"> PAGEREF _Toc4181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4F74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事件升级机制</w:t>
          </w:r>
          <w:r>
            <w:tab/>
          </w:r>
          <w:r>
            <w:fldChar w:fldCharType="begin"/>
          </w:r>
          <w:r>
            <w:instrText xml:space="preserve"> PAGEREF _Toc8504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5F22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常见事件类别（软件运维聚焦）</w:t>
          </w:r>
          <w:r>
            <w:tab/>
          </w:r>
          <w:r>
            <w:fldChar w:fldCharType="begin"/>
          </w:r>
          <w:r>
            <w:instrText xml:space="preserve"> PAGEREF _Toc3945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07EEC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_Toc25019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F4E92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3F791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1A9FBA6">
      <w:pPr>
        <w:pStyle w:val="28"/>
        <w:bidi w:val="0"/>
        <w:rPr>
          <w:rFonts w:hint="eastAsia"/>
          <w:lang w:val="en-US" w:eastAsia="zh-CN"/>
        </w:rPr>
      </w:pPr>
      <w:bookmarkStart w:id="2" w:name="_Toc28718"/>
      <w:r>
        <w:rPr>
          <w:rFonts w:hint="eastAsia"/>
          <w:lang w:val="en-US" w:eastAsia="zh-CN"/>
        </w:rPr>
        <w:t>1. 总则</w:t>
      </w:r>
      <w:bookmarkEnd w:id="2"/>
    </w:p>
    <w:p w14:paraId="5BE90C70">
      <w:pPr>
        <w:pStyle w:val="30"/>
        <w:bidi w:val="0"/>
        <w:rPr>
          <w:rFonts w:hint="eastAsia"/>
          <w:lang w:val="en-US" w:eastAsia="zh-CN"/>
        </w:rPr>
      </w:pPr>
      <w:bookmarkStart w:id="3" w:name="_Toc10404"/>
      <w:r>
        <w:rPr>
          <w:rFonts w:hint="eastAsia"/>
          <w:lang w:val="en-US" w:eastAsia="zh-CN"/>
        </w:rPr>
        <w:t>目的</w:t>
      </w:r>
      <w:bookmarkEnd w:id="3"/>
    </w:p>
    <w:p w14:paraId="34369A7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运维服务事件的管理，建立快速响应与高效解决机制，以最小化事件对客户业务的影响，保障服务的连续性与稳定性，提升客户满意度，并为问题管理、知识管理等流程提供有效输入，特制定本制度。</w:t>
      </w:r>
    </w:p>
    <w:p w14:paraId="4485D66D">
      <w:pPr>
        <w:pStyle w:val="30"/>
        <w:bidi w:val="0"/>
        <w:rPr>
          <w:rFonts w:hint="eastAsia"/>
          <w:lang w:val="en-US" w:eastAsia="zh-CN"/>
        </w:rPr>
      </w:pPr>
      <w:bookmarkStart w:id="4" w:name="_Toc6928"/>
      <w:r>
        <w:rPr>
          <w:rFonts w:hint="eastAsia"/>
          <w:lang w:val="en-US" w:eastAsia="zh-CN"/>
        </w:rPr>
        <w:t>适用范围</w:t>
      </w:r>
      <w:bookmarkEnd w:id="4"/>
    </w:p>
    <w:p w14:paraId="60B437F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本制度适用于公司为客户提供软件运维服务过程中，所有通过服务台、监控系统或其他渠道接收到的服务事件，包括但不限于系统故障、服务请求、信息咨询等。</w:t>
      </w:r>
    </w:p>
    <w:p w14:paraId="592F9251">
      <w:pPr>
        <w:pStyle w:val="28"/>
        <w:bidi w:val="0"/>
        <w:rPr>
          <w:rFonts w:hint="eastAsia"/>
          <w:lang w:val="en-US" w:eastAsia="zh-CN"/>
        </w:rPr>
      </w:pPr>
      <w:bookmarkStart w:id="5" w:name="_Toc21657"/>
      <w:r>
        <w:rPr>
          <w:rFonts w:hint="eastAsia"/>
          <w:lang w:val="en-US" w:eastAsia="zh-CN"/>
        </w:rPr>
        <w:t>术语与定义</w:t>
      </w:r>
      <w:bookmarkEnd w:id="5"/>
    </w:p>
    <w:p w14:paraId="737C9B5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事件：在服务合同范围内，任何导致或可能导致客户软件系统服务中断、服务质量下降或影响用户正常使用的非计划性情形，包括故障申告、服务请求、咨询等。</w:t>
      </w:r>
    </w:p>
    <w:p w14:paraId="6273C33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事件管理：通过一系列标准化活动，对事件进行记录、分类、优先级排序、诊断、升级、解决、关闭和回顾，旨在尽快恢复服务，减少对业务的干扰。</w:t>
      </w:r>
    </w:p>
    <w:p w14:paraId="07588F3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服务请求：客户提出的标准、低风险、预先定义的请求，如信息查询、账户重置、软件安装（标准版）等。</w:t>
      </w:r>
    </w:p>
    <w:p w14:paraId="2A08082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事件升级：当事件在规定时限内无法解决或需要更高级别资源介入时，将事件移交至更高权限人员或团队的过程。</w:t>
      </w:r>
    </w:p>
    <w:p w14:paraId="26B9C49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重复事件：在相同或相似环境下，由同一根本原因引发的、具有相同症状的多次事件。</w:t>
      </w:r>
    </w:p>
    <w:p w14:paraId="67C0D49A">
      <w:pPr>
        <w:pStyle w:val="28"/>
        <w:bidi w:val="0"/>
        <w:rPr>
          <w:rFonts w:hint="eastAsia"/>
          <w:lang w:val="en-US" w:eastAsia="zh-CN"/>
        </w:rPr>
      </w:pPr>
      <w:bookmarkStart w:id="6" w:name="_Toc2307"/>
      <w:r>
        <w:rPr>
          <w:rFonts w:hint="eastAsia"/>
          <w:lang w:val="en-US" w:eastAsia="zh-CN"/>
        </w:rPr>
        <w:t>角色与职责</w:t>
      </w:r>
      <w:bookmarkEnd w:id="6"/>
    </w:p>
    <w:p w14:paraId="10D414A1">
      <w:pPr>
        <w:pStyle w:val="30"/>
        <w:bidi w:val="0"/>
        <w:rPr>
          <w:rFonts w:hint="eastAsia"/>
          <w:lang w:val="en-US" w:eastAsia="zh-CN"/>
        </w:rPr>
      </w:pPr>
      <w:bookmarkStart w:id="7" w:name="_Toc20069"/>
      <w:r>
        <w:rPr>
          <w:rFonts w:hint="eastAsia"/>
          <w:lang w:val="en-US" w:eastAsia="zh-CN"/>
        </w:rPr>
        <w:t>事件经理</w:t>
      </w:r>
      <w:bookmarkEnd w:id="7"/>
    </w:p>
    <w:p w14:paraId="2F34CF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由数智运营部经理担任，负责：</w:t>
      </w:r>
    </w:p>
    <w:p w14:paraId="6AF26B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监督整体事件管理流程的效率与效果，确保客户满意度。</w:t>
      </w:r>
    </w:p>
    <w:p w14:paraId="2EEC0F9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审批重大事件的应急与处理方案，协调跨部门资源。</w:t>
      </w:r>
    </w:p>
    <w:p w14:paraId="6A103D9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监控事件处理进度，对即将超时或重大事件进行强制升级与协调。</w:t>
      </w:r>
    </w:p>
    <w:p w14:paraId="680C926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定期分析事件数据，识别趋势，为服务改进提供决策依据。</w:t>
      </w:r>
    </w:p>
    <w:p w14:paraId="1E09B68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确保事件管理与问题、变更等流程的有效衔接。</w:t>
      </w:r>
    </w:p>
    <w:p w14:paraId="5AE6F5DF">
      <w:pPr>
        <w:pStyle w:val="30"/>
        <w:bidi w:val="0"/>
        <w:rPr>
          <w:rFonts w:hint="eastAsia"/>
          <w:lang w:val="en-US" w:eastAsia="zh-CN"/>
        </w:rPr>
      </w:pPr>
      <w:bookmarkStart w:id="8" w:name="_Toc1363"/>
      <w:r>
        <w:rPr>
          <w:rFonts w:hint="eastAsia"/>
          <w:lang w:val="en-US" w:eastAsia="zh-CN"/>
        </w:rPr>
        <w:t>服务台专员</w:t>
      </w:r>
      <w:bookmarkEnd w:id="8"/>
    </w:p>
    <w:p w14:paraId="449B755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作为事件的统一接入点，负责：</w:t>
      </w:r>
    </w:p>
    <w:p w14:paraId="3C686FC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接听客户电话、接收邮件/工单，事件记录率达到100%。</w:t>
      </w:r>
    </w:p>
    <w:p w14:paraId="1BD7DA1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对事件进行初步分类、优先级判定并分派。</w:t>
      </w:r>
    </w:p>
    <w:p w14:paraId="2B9986E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处理简单的咨询类或可通过知识库直接解决的服务请求。</w:t>
      </w:r>
    </w:p>
    <w:p w14:paraId="583517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跟踪事件状态，及时向客户沟通进展。</w:t>
      </w:r>
    </w:p>
    <w:p w14:paraId="319C87F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在事件解决后回访客户，确认关闭并获得满意度反馈。</w:t>
      </w:r>
    </w:p>
    <w:p w14:paraId="1003E677">
      <w:pPr>
        <w:pStyle w:val="30"/>
        <w:bidi w:val="0"/>
        <w:rPr>
          <w:rFonts w:hint="eastAsia"/>
          <w:lang w:val="en-US" w:eastAsia="zh-CN"/>
        </w:rPr>
      </w:pPr>
      <w:bookmarkStart w:id="9" w:name="_Toc32383"/>
      <w:r>
        <w:rPr>
          <w:rFonts w:hint="eastAsia"/>
          <w:lang w:val="en-US" w:eastAsia="zh-CN"/>
        </w:rPr>
        <w:t>运维工程师</w:t>
      </w:r>
      <w:bookmarkEnd w:id="9"/>
    </w:p>
    <w:p w14:paraId="3FE2C39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</w:t>
      </w:r>
    </w:p>
    <w:p w14:paraId="0834483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接收并处理服务台分派的专业技术事件。</w:t>
      </w:r>
    </w:p>
    <w:p w14:paraId="777386E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在规定时限内诊断并解决事件，详细记录解决方案与过程。</w:t>
      </w:r>
    </w:p>
    <w:p w14:paraId="1B582BA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对于无法独立解决的事件，按流程及时升级至运维项目经理或更高技术专家。</w:t>
      </w:r>
    </w:p>
    <w:p w14:paraId="16A8D88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将典型解决方案整理提交至知识库。</w:t>
      </w:r>
    </w:p>
    <w:p w14:paraId="1459C933">
      <w:pPr>
        <w:pStyle w:val="30"/>
        <w:bidi w:val="0"/>
        <w:rPr>
          <w:rFonts w:hint="eastAsia"/>
          <w:lang w:val="en-US" w:eastAsia="zh-CN"/>
        </w:rPr>
      </w:pPr>
      <w:bookmarkStart w:id="10" w:name="_Toc24452"/>
      <w:r>
        <w:rPr>
          <w:rFonts w:hint="eastAsia"/>
          <w:lang w:val="en-US" w:eastAsia="zh-CN"/>
        </w:rPr>
        <w:t>运维项目经理</w:t>
      </w:r>
      <w:bookmarkEnd w:id="10"/>
    </w:p>
    <w:p w14:paraId="45C8FCC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</w:t>
      </w:r>
    </w:p>
    <w:p w14:paraId="6E610E3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处理运维工程师升级的复杂事件，组织技术分析与攻关。</w:t>
      </w:r>
    </w:p>
    <w:p w14:paraId="39C785A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作为与客户沟通的技术接口人，对重大事件进行解释与方案汇报。</w:t>
      </w:r>
    </w:p>
    <w:p w14:paraId="7531F53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协调研究总院、质量管理部等内部资源，推动事件解决。</w:t>
      </w:r>
    </w:p>
    <w:p w14:paraId="48C7D88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判断事件是否需要转化为问题或触发变更流程，并负责跟进。</w:t>
      </w:r>
    </w:p>
    <w:p w14:paraId="0E0DD418">
      <w:pPr>
        <w:pStyle w:val="28"/>
        <w:bidi w:val="0"/>
        <w:rPr>
          <w:rFonts w:hint="eastAsia"/>
          <w:lang w:val="en-US" w:eastAsia="zh-CN"/>
        </w:rPr>
      </w:pPr>
      <w:bookmarkStart w:id="11" w:name="_Toc9092"/>
      <w:r>
        <w:rPr>
          <w:rFonts w:hint="eastAsia"/>
          <w:lang w:val="en-US" w:eastAsia="zh-CN"/>
        </w:rPr>
        <w:t>管理原则</w:t>
      </w:r>
      <w:bookmarkEnd w:id="11"/>
    </w:p>
    <w:p w14:paraId="79D5339F">
      <w:pPr>
        <w:pStyle w:val="30"/>
        <w:bidi w:val="0"/>
        <w:rPr>
          <w:rFonts w:hint="eastAsia"/>
          <w:lang w:val="en-US" w:eastAsia="zh-CN"/>
        </w:rPr>
      </w:pPr>
      <w:bookmarkStart w:id="12" w:name="_Toc31819"/>
      <w:r>
        <w:rPr>
          <w:rFonts w:hint="eastAsia"/>
          <w:lang w:val="en-US" w:eastAsia="zh-CN"/>
        </w:rPr>
        <w:t>事件关闭原则</w:t>
      </w:r>
      <w:bookmarkEnd w:id="12"/>
    </w:p>
    <w:p w14:paraId="1E2A732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所有由客户申告的事件，关闭前必须获得客户确认。</w:t>
      </w:r>
    </w:p>
    <w:p w14:paraId="29D5E25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已关闭的事件单原则上不允许重开。若同一事件复发，应创建新事件单并关联历史记录。</w:t>
      </w:r>
    </w:p>
    <w:p w14:paraId="0D9881B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若采取临时措施恢复服务，事件状态应为“处理中”；待根本性解决方案实施并经客户确认后，方可“关闭”。</w:t>
      </w:r>
    </w:p>
    <w:p w14:paraId="33612E2C">
      <w:pPr>
        <w:pStyle w:val="30"/>
        <w:bidi w:val="0"/>
        <w:rPr>
          <w:rFonts w:hint="eastAsia"/>
          <w:lang w:val="en-US" w:eastAsia="zh-CN"/>
        </w:rPr>
      </w:pPr>
      <w:bookmarkStart w:id="13" w:name="_Toc13778"/>
      <w:r>
        <w:rPr>
          <w:rFonts w:hint="eastAsia"/>
          <w:lang w:val="en-US" w:eastAsia="zh-CN"/>
        </w:rPr>
        <w:t>流程关联原则</w:t>
      </w:r>
      <w:bookmarkEnd w:id="13"/>
    </w:p>
    <w:p w14:paraId="664EC9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与问题管理：事件管理旨在快速恢复服务，问题管理旨在查找并根除根本原因。频繁发生或重大事件应触发问题管理流程。</w:t>
      </w:r>
    </w:p>
    <w:p w14:paraId="44E4C0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与变更管理：为解决事件而需对生产环境进行的任何修改，必须遵循变更管理流程。</w:t>
      </w:r>
    </w:p>
    <w:p w14:paraId="599AA32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与配置管理：事件诊断与解决需依赖准确的配置信息；事件解决过程中如发现配置信息不准确，应触发配置项更新。</w:t>
      </w:r>
    </w:p>
    <w:p w14:paraId="3881070E">
      <w:pPr>
        <w:pStyle w:val="28"/>
        <w:bidi w:val="0"/>
        <w:rPr>
          <w:rFonts w:hint="eastAsia"/>
          <w:lang w:val="en-US" w:eastAsia="zh-CN"/>
        </w:rPr>
      </w:pPr>
      <w:bookmarkStart w:id="14" w:name="_Toc26393"/>
      <w:r>
        <w:rPr>
          <w:rFonts w:hint="eastAsia"/>
          <w:lang w:val="en-US" w:eastAsia="zh-CN"/>
        </w:rPr>
        <w:t>事件管理流程</w:t>
      </w:r>
      <w:bookmarkEnd w:id="14"/>
    </w:p>
    <w:p w14:paraId="39BB34D2">
      <w:pPr>
        <w:pStyle w:val="30"/>
        <w:bidi w:val="0"/>
        <w:rPr>
          <w:rFonts w:hint="eastAsia"/>
          <w:lang w:val="en-US" w:eastAsia="zh-CN"/>
        </w:rPr>
      </w:pPr>
      <w:bookmarkStart w:id="15" w:name="_Toc32094"/>
      <w:r>
        <w:rPr>
          <w:rFonts w:hint="eastAsia"/>
          <w:lang w:val="en-US" w:eastAsia="zh-CN"/>
        </w:rPr>
        <w:t>流程输入与输出</w:t>
      </w:r>
      <w:bookmarkEnd w:id="15"/>
    </w:p>
    <w:p w14:paraId="3DD88B2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输入：客户故障申告、服务请求、监控告警、服务报告反馈等。</w:t>
      </w:r>
    </w:p>
    <w:p w14:paraId="404B398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输出：已解决的事件记录、关联的问题记录或变更请求、知识库条目、事件分析报告。</w:t>
      </w:r>
    </w:p>
    <w:p w14:paraId="5FF0AE4F">
      <w:pPr>
        <w:pStyle w:val="30"/>
        <w:bidi w:val="0"/>
        <w:rPr>
          <w:rFonts w:hint="eastAsia"/>
          <w:lang w:val="en-US" w:eastAsia="zh-CN"/>
        </w:rPr>
      </w:pPr>
      <w:bookmarkStart w:id="16" w:name="_Toc12596"/>
      <w:r>
        <w:rPr>
          <w:rFonts w:hint="eastAsia"/>
          <w:lang w:val="en-US" w:eastAsia="zh-CN"/>
        </w:rPr>
        <w:t>流程活动说明</w:t>
      </w:r>
      <w:bookmarkEnd w:id="16"/>
    </w:p>
    <w:p w14:paraId="25FE2CD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事件受理与记录：服务台专员统一受理，在运维管理平台创建事件工单，记录详细信息。</w:t>
      </w:r>
    </w:p>
    <w:p w14:paraId="2B8A9DA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分类与初步支持：根据事件类型和影响进行分级分类。服务台尝试利用知识库提供即时解决或标准答复。</w:t>
      </w:r>
    </w:p>
    <w:p w14:paraId="4F45289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调查与诊断：分派至运维工程师进行技术调查与诊断。</w:t>
      </w:r>
    </w:p>
    <w:p w14:paraId="485822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解决与恢复：实施解决方案（临时或永久性），恢复服务。</w:t>
      </w:r>
    </w:p>
    <w:p w14:paraId="01C24F2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升级：若不能在约定时限内解决或超出职责范围，则按升级机制上报。</w:t>
      </w:r>
    </w:p>
    <w:p w14:paraId="4199490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关闭与回访：解决方案经客户验证确认后，关闭事件工单，并进行客户满意度回访。</w:t>
      </w:r>
    </w:p>
    <w:p w14:paraId="1D598FD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总结与转化：对重大或重复事件进行简要分析，判断是否需转为问题记录。</w:t>
      </w:r>
    </w:p>
    <w:p w14:paraId="725D9A71">
      <w:pPr>
        <w:pStyle w:val="30"/>
        <w:bidi w:val="0"/>
        <w:rPr>
          <w:rFonts w:hint="eastAsia"/>
          <w:lang w:val="en-US" w:eastAsia="zh-CN"/>
        </w:rPr>
      </w:pPr>
      <w:bookmarkStart w:id="17" w:name="_Toc4846"/>
      <w:r>
        <w:rPr>
          <w:rFonts w:hint="eastAsia"/>
          <w:lang w:val="en-US" w:eastAsia="zh-CN"/>
        </w:rPr>
        <w:t>事件处理与升级子流程</w:t>
      </w:r>
      <w:bookmarkEnd w:id="17"/>
    </w:p>
    <w:p w14:paraId="429A3F3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一线处理流程：服务台专员/运维工程师处理常规事件，查询知识库，寻求快速解决方案。</w:t>
      </w:r>
    </w:p>
    <w:p w14:paraId="59D8B25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二线/专家升级流程：运维工程师无法解决时，升级至运维项目经理。项目经理评估后，可组建虚拟专家小组或协调研究总院资源进行支持。</w:t>
      </w:r>
    </w:p>
    <w:p w14:paraId="5037B36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管理升级流程：涉及重大业务影响、需高层协调资源或可能引发客户投诉时，事件经理需介入并上报公司管理层。</w:t>
      </w:r>
    </w:p>
    <w:p w14:paraId="5BCA9E5B">
      <w:pPr>
        <w:pStyle w:val="28"/>
        <w:bidi w:val="0"/>
        <w:rPr>
          <w:rFonts w:hint="eastAsia"/>
          <w:lang w:val="en-US" w:eastAsia="zh-CN"/>
        </w:rPr>
      </w:pPr>
      <w:bookmarkStart w:id="18" w:name="_Toc4731"/>
      <w:r>
        <w:rPr>
          <w:rFonts w:hint="eastAsia"/>
          <w:lang w:val="en-US" w:eastAsia="zh-CN"/>
        </w:rPr>
        <w:t>事件分类、分级与升级</w:t>
      </w:r>
      <w:bookmarkEnd w:id="18"/>
    </w:p>
    <w:p w14:paraId="583196D1">
      <w:pPr>
        <w:pStyle w:val="30"/>
        <w:bidi w:val="0"/>
        <w:rPr>
          <w:rFonts w:hint="eastAsia"/>
          <w:lang w:val="en-US" w:eastAsia="zh-CN"/>
        </w:rPr>
      </w:pPr>
      <w:bookmarkStart w:id="19" w:name="_Toc4181"/>
      <w:r>
        <w:rPr>
          <w:rFonts w:hint="eastAsia"/>
          <w:lang w:val="en-US" w:eastAsia="zh-CN"/>
        </w:rPr>
        <w:t>事件等级划分</w:t>
      </w:r>
      <w:bookmarkEnd w:id="19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4"/>
        <w:gridCol w:w="950"/>
        <w:gridCol w:w="2885"/>
        <w:gridCol w:w="2278"/>
        <w:gridCol w:w="1931"/>
      </w:tblGrid>
      <w:tr w14:paraId="06AEA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C429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等级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558C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6DA5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核心影响与紧迫性定义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2E8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软件运维场景示例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03A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关键特征</w:t>
            </w:r>
          </w:p>
        </w:tc>
      </w:tr>
      <w:tr w14:paraId="566F4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04A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916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重大灾难事件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CED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全网性/核心业务完全中断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，造成重大经济损失或严重品牌声誉危机，需立即启动公司级应急响应。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750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核心生产系统全面瘫痪，所有用户无法访问。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核心数据库损坏或丢失，导致业务停摆。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大规模数据泄露或恶意攻击，导致服务不可用且合规风险极高。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313E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公司级应急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；可能触发业务连续性计划（BCP）。</w:t>
            </w:r>
          </w:p>
        </w:tc>
      </w:tr>
      <w:tr w14:paraId="5AA36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0A27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E66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严重故障事件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CC44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关键业务功能严重中断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，影响大部分用户或重要业务线，造成显著经济损失，需紧急处理。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8FA9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核心交易/支付流程失败。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影响全局的关键服务（如登录、认证）不可用。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影响重要客户群体的核心功能模块故障。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88FD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跨部门紧急协作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；需高级别技术专家立即介入。</w:t>
            </w:r>
          </w:p>
        </w:tc>
      </w:tr>
      <w:tr w14:paraId="0E83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69100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083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CE36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重要功能部分受损或性能严重下降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，对部分用户或业务流程造成明显影响，需高优先级处理。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E3D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非核心但重要的功能模块（如报表系统）不可用。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系统性能严重下降（如API响应时间&gt;10秒），影响用户体验。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批量数据处理任务失败，影响次日业务。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56F3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需限时解决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；通常由二线/专项团队负责。</w:t>
            </w:r>
          </w:p>
        </w:tc>
      </w:tr>
      <w:tr w14:paraId="1BC6D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8890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6C5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一般故障事件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9A7F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非核心功能异常或轻微性能问题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，影响个别用户或辅助性操作，需在约定服务时间内解决。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0111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页面UI显示错乱、非关键字段无法保存。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辅助性查询或导出功能异常。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第三方集成接口偶发性失败，有降级方案。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863A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标准处理流程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；通常由一线工程师解决。</w:t>
            </w:r>
          </w:p>
        </w:tc>
      </w:tr>
      <w:tr w14:paraId="66404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3E6B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2D2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服务请求/轻微咨询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B7C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不影响系统运行的标准化请求或轻微咨询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，需按约定流程履行。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47D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用户账号、权限管理类请求。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非关键数据查询与提取。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产品使用、操作流程咨询。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D4C3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预定义流程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；可通过知识库或脚本自动化处理。</w:t>
            </w:r>
          </w:p>
        </w:tc>
      </w:tr>
      <w:tr w14:paraId="58A5B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BC8C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0AF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信息性事件/新需求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606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不构成故障的报告、通知或新功能需求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，用于信息记录或转入需求管理流程。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1B8D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监控系统发出的预警性提示（资源使用率趋高）。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用户提出的用户体验优化建议。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经确认为非Bug的功能增强需求。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CB1CF7">
            <w:pP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  <w:r>
              <w:rPr>
                <w:rStyle w:val="23"/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记录与转办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；不占用紧急事件处理资源。</w:t>
            </w:r>
          </w:p>
        </w:tc>
      </w:tr>
    </w:tbl>
    <w:p w14:paraId="1D62A087">
      <w:pPr>
        <w:pStyle w:val="30"/>
        <w:bidi w:val="0"/>
        <w:rPr>
          <w:rFonts w:hint="eastAsia"/>
          <w:lang w:val="en-US" w:eastAsia="zh-CN"/>
        </w:rPr>
      </w:pPr>
      <w:bookmarkStart w:id="20" w:name="_Toc8504"/>
      <w:r>
        <w:rPr>
          <w:rFonts w:hint="eastAsia"/>
          <w:lang w:val="en-US" w:eastAsia="zh-CN"/>
        </w:rPr>
        <w:t>事件升级机制</w:t>
      </w:r>
      <w:bookmarkEnd w:id="20"/>
    </w:p>
    <w:p w14:paraId="465ED94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升级机制与事件等级强关联，确保问题按需逐级或越级上报。</w:t>
      </w:r>
    </w:p>
    <w:p w14:paraId="0FEBB3B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时限升级：任何等级事件在处理时限达到约定阈值的50%、80%、100% 时，系统自动向当前处理人、其直属上级及事件经理发出预警。</w:t>
      </w:r>
    </w:p>
    <w:p w14:paraId="2264010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技术升级：</w:t>
      </w:r>
    </w:p>
    <w:p w14:paraId="36FEB78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P3/P4事件：一线工程师无法解决时，升级至二线技术支持或运维项目经理。</w:t>
      </w:r>
    </w:p>
    <w:p w14:paraId="002C2BA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P1/P2事件：自动要求运维项目经理及研究总院对口技术专家同步介入。</w:t>
      </w:r>
    </w:p>
    <w:p w14:paraId="79460B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P0事件：立即建立包含事件经理、运维项目经理、研究总院技术负责人及公司管理层的应急指挥群，并启动战时沟通机制。</w:t>
      </w:r>
    </w:p>
    <w:p w14:paraId="164C3FC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管理升级：</w:t>
      </w:r>
    </w:p>
    <w:p w14:paraId="2E2AA53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所有P0/P1事件必须立即电话通知事件经理与分管副总经理。</w:t>
      </w:r>
    </w:p>
    <w:p w14:paraId="6D83AA8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事件预计将导致SLA重大违约、引发客户高层投诉或涉及重大法律合规风险时，无论当前等级，事件经理均有权直接升级至公司总经理。</w:t>
      </w:r>
    </w:p>
    <w:p w14:paraId="3BD94EE9">
      <w:pPr>
        <w:pStyle w:val="30"/>
        <w:bidi w:val="0"/>
        <w:rPr>
          <w:rFonts w:hint="eastAsia"/>
          <w:lang w:val="en-US" w:eastAsia="zh-CN"/>
        </w:rPr>
      </w:pPr>
      <w:bookmarkStart w:id="21" w:name="_Toc3945"/>
      <w:r>
        <w:rPr>
          <w:rFonts w:hint="eastAsia"/>
          <w:lang w:val="en-US" w:eastAsia="zh-CN"/>
        </w:rPr>
        <w:t>常见事件类别（软件运维聚焦）</w:t>
      </w:r>
      <w:bookmarkEnd w:id="21"/>
    </w:p>
    <w:p w14:paraId="3E984CE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应用功能缺陷：业务逻辑错误、UI/UX故障、流程中断。</w:t>
      </w:r>
    </w:p>
    <w:p w14:paraId="7BE35C2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性能与可用性：应用响应超时、吞吐量下降、服务可用性波动。</w:t>
      </w:r>
    </w:p>
    <w:p w14:paraId="60A83E2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数据问题：数据不一致、计算错误、数据同步延迟或丢失。</w:t>
      </w:r>
    </w:p>
    <w:p w14:paraId="03EA06C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集成与接口故障：API调用失败、消息队列堆积、第三方服务依赖中断。</w:t>
      </w:r>
    </w:p>
    <w:p w14:paraId="1361719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安全与合规事件：漏洞被利用、未授权访问尝试、敏感数据泄露风险、合规审计不合规项。</w:t>
      </w:r>
    </w:p>
    <w:p w14:paraId="671630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配置与发布问题：错误配置推送、版本发布回滚、环境配置不一致。</w:t>
      </w:r>
    </w:p>
    <w:p w14:paraId="49F82A8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监控与预警：基于阈值的性能预警、容量预警、业务指标异常告警。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25019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660"/>
        <w:gridCol w:w="69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事件解决率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成功解决事件数/已关闭事件总数</w:t>
            </w:r>
          </w:p>
        </w:tc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月度</w:t>
            </w:r>
          </w:p>
        </w:tc>
      </w:tr>
      <w:tr w14:paraId="7B128F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46D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事件解决用户满意度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B2BF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3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FAEF9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（调查结果为满意、非常满意的用户数量/调查满意度用户总数）*100%</w:t>
            </w:r>
          </w:p>
        </w:tc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21B9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5CA34D3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附则</w:t>
      </w:r>
      <w:bookmarkEnd w:id="22"/>
    </w:p>
    <w:p w14:paraId="22A4206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本制度由数智运营部负责解释与修订。</w:t>
      </w:r>
    </w:p>
    <w:p w14:paraId="0BC660C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本制度自发布之日起生效。所有相关员工必须遵照执行。</w:t>
      </w:r>
    </w:p>
    <w:p w14:paraId="6456EC2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本制度涉及的《事件记录单》、《事件升级记录表》等操作模板，由数智运营部负责制定与维护。</w:t>
      </w:r>
    </w:p>
    <w:p w14:paraId="5F1907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事件管理流程的具体绩效指标与目标值，由数智运营部协同质量管理部，依据各项目《服务级别协议》及公司质量目标另行制定与考核。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E15F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210631"/>
    <w:rsid w:val="079262EF"/>
    <w:rsid w:val="07EA590F"/>
    <w:rsid w:val="11FD1510"/>
    <w:rsid w:val="1B1A68A3"/>
    <w:rsid w:val="1F8756D4"/>
    <w:rsid w:val="2B14398C"/>
    <w:rsid w:val="33B421B0"/>
    <w:rsid w:val="3FE85D7B"/>
    <w:rsid w:val="4DC42B98"/>
    <w:rsid w:val="4F3D2C02"/>
    <w:rsid w:val="57911D3D"/>
    <w:rsid w:val="59B07142"/>
    <w:rsid w:val="61AD1ED8"/>
    <w:rsid w:val="6E1319F0"/>
    <w:rsid w:val="6F5E2C53"/>
    <w:rsid w:val="75114567"/>
    <w:rsid w:val="755322C0"/>
    <w:rsid w:val="78926076"/>
    <w:rsid w:val="7CC00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2159</Words>
  <Characters>2273</Characters>
  <Lines>0</Lines>
  <Paragraphs>0</Paragraphs>
  <TotalTime>2</TotalTime>
  <ScaleCrop>false</ScaleCrop>
  <LinksUpToDate>false</LinksUpToDate>
  <CharactersWithSpaces>2368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2026-01-20T13:10:07Z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