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0DC24D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31412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10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061CBE5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1736"/>
      <w:r>
        <w:rPr>
          <w:rFonts w:hint="eastAsia"/>
          <w:lang w:val="en-US" w:eastAsia="zh-CN"/>
        </w:rPr>
        <w:t>问题管理制度</w:t>
      </w:r>
      <w:bookmarkEnd w:id="1"/>
    </w:p>
    <w:p w14:paraId="62959C1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5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6102A8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7F77AE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2708" w:type="dxa"/>
          </w:tcPr>
          <w:p w14:paraId="73BF45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7BC450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3F2FA6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262990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72532C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32B36D9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3BF1D6A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12F8C35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5FF5624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徐超超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7E0ED5F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5FFD63ED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1C7C2B9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_Toc31412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_Toc31412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F18FB0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_Toc21736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问题管理制度</w:t>
          </w:r>
          <w:r>
            <w:tab/>
          </w:r>
          <w:r>
            <w:fldChar w:fldCharType="begin"/>
          </w:r>
          <w:r>
            <w:instrText xml:space="preserve"> PAGEREF _Toc21736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D42AD5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_Toc22788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_Toc22788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4BFBFE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_Toc24501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_Toc24501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673D21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_Toc28931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_Toc28931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4A0B96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_Toc29093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术语与定义</w:t>
          </w:r>
          <w:r>
            <w:tab/>
          </w:r>
          <w:r>
            <w:fldChar w:fldCharType="begin"/>
          </w:r>
          <w:r>
            <w:instrText xml:space="preserve"> PAGEREF _Toc29093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46BDFF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_Toc9227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角色与职责</w:t>
          </w:r>
          <w:r>
            <w:tab/>
          </w:r>
          <w:r>
            <w:fldChar w:fldCharType="begin"/>
          </w:r>
          <w:r>
            <w:instrText xml:space="preserve"> PAGEREF _Toc9227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7B428F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_Toc14883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问题经理</w:t>
          </w:r>
          <w:r>
            <w:tab/>
          </w:r>
          <w:r>
            <w:fldChar w:fldCharType="begin"/>
          </w:r>
          <w:r>
            <w:instrText xml:space="preserve"> PAGEREF _Toc14883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A5827E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_Toc20849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问题处理专家组</w:t>
          </w:r>
          <w:r>
            <w:tab/>
          </w:r>
          <w:r>
            <w:fldChar w:fldCharType="begin"/>
          </w:r>
          <w:r>
            <w:instrText xml:space="preserve"> PAGEREF _Toc20849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B3268F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_Toc6781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问题管理流程</w:t>
          </w:r>
          <w:r>
            <w:tab/>
          </w:r>
          <w:r>
            <w:fldChar w:fldCharType="begin"/>
          </w:r>
          <w:r>
            <w:instrText xml:space="preserve"> PAGEREF _Toc6781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DAB9DA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_Toc32612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流程概述</w:t>
          </w:r>
          <w:r>
            <w:tab/>
          </w:r>
          <w:r>
            <w:fldChar w:fldCharType="begin"/>
          </w:r>
          <w:r>
            <w:instrText xml:space="preserve"> PAGEREF _Toc32612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277D82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_Toc2490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管理原则</w:t>
          </w:r>
          <w:r>
            <w:tab/>
          </w:r>
          <w:r>
            <w:fldChar w:fldCharType="begin"/>
          </w:r>
          <w:r>
            <w:instrText xml:space="preserve"> PAGEREF _Toc2490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E10F12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_Toc5128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流程活动说明</w:t>
          </w:r>
          <w:r>
            <w:tab/>
          </w:r>
          <w:r>
            <w:fldChar w:fldCharType="begin"/>
          </w:r>
          <w:r>
            <w:instrText xml:space="preserve"> PAGEREF _Toc5128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4A5273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_Toc15324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问题相关定义</w:t>
          </w:r>
          <w:r>
            <w:tab/>
          </w:r>
          <w:r>
            <w:fldChar w:fldCharType="begin"/>
          </w:r>
          <w:r>
            <w:instrText xml:space="preserve"> PAGEREF _Toc15324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FDF611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_Toc26648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问题分类</w:t>
          </w:r>
          <w:r>
            <w:tab/>
          </w:r>
          <w:r>
            <w:fldChar w:fldCharType="begin"/>
          </w:r>
          <w:r>
            <w:instrText xml:space="preserve"> PAGEREF _Toc26648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0C0DB5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_Toc20587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问题优先级定义</w:t>
          </w:r>
          <w:r>
            <w:tab/>
          </w:r>
          <w:r>
            <w:fldChar w:fldCharType="begin"/>
          </w:r>
          <w:r>
            <w:instrText xml:space="preserve"> PAGEREF _Toc20587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AC40EF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_Toc1996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5.3. 问题状态定义</w:t>
          </w:r>
          <w:r>
            <w:tab/>
          </w:r>
          <w:r>
            <w:fldChar w:fldCharType="begin"/>
          </w:r>
          <w:r>
            <w:instrText xml:space="preserve"> PAGEREF _Toc1996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A84BF8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_Toc10824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问题管理事项</w:t>
          </w:r>
          <w:r>
            <w:tab/>
          </w:r>
          <w:r>
            <w:fldChar w:fldCharType="begin"/>
          </w:r>
          <w:r>
            <w:instrText xml:space="preserve"> PAGEREF _Toc10824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9B653F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_Toc23524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6.1. 问题评审</w:t>
          </w:r>
          <w:r>
            <w:tab/>
          </w:r>
          <w:r>
            <w:fldChar w:fldCharType="begin"/>
          </w:r>
          <w:r>
            <w:instrText xml:space="preserve"> PAGEREF _Toc23524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B34F3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_Toc25361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6.2. 问题归档与知识管理</w:t>
          </w:r>
          <w:r>
            <w:tab/>
          </w:r>
          <w:r>
            <w:fldChar w:fldCharType="begin"/>
          </w:r>
          <w:r>
            <w:instrText xml:space="preserve"> PAGEREF _Toc25361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004A7A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_Toc1020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6.3. </w:t>
          </w:r>
          <w:r>
            <w:rPr>
              <w:rFonts w:hint="eastAsia"/>
              <w:lang w:val="en-US" w:eastAsia="zh-CN"/>
            </w:rPr>
            <w:t>与其他</w:t>
          </w:r>
          <w:r>
            <w:rPr>
              <w:rFonts w:hint="default"/>
              <w:lang w:val="en-US" w:eastAsia="zh-CN"/>
            </w:rPr>
            <w:t>流程关系</w:t>
          </w:r>
          <w:r>
            <w:tab/>
          </w:r>
          <w:r>
            <w:fldChar w:fldCharType="begin"/>
          </w:r>
          <w:r>
            <w:instrText xml:space="preserve"> PAGEREF _Toc1020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77FD75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_Toc7831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附则</w:t>
          </w:r>
          <w:r>
            <w:tab/>
          </w:r>
          <w:r>
            <w:fldChar w:fldCharType="begin"/>
          </w:r>
          <w:r>
            <w:instrText xml:space="preserve"> PAGEREF _Toc7831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651750A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70F83DF3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" w:name="_Toc22788"/>
      <w:r>
        <w:rPr>
          <w:rFonts w:hint="default"/>
          <w:lang w:val="en-US" w:eastAsia="zh-CN"/>
        </w:rPr>
        <w:t>总则</w:t>
      </w:r>
      <w:bookmarkEnd w:id="2"/>
    </w:p>
    <w:p w14:paraId="54D9971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" w:name="_Toc24501"/>
      <w:r>
        <w:rPr>
          <w:rFonts w:hint="default"/>
          <w:lang w:val="en-US" w:eastAsia="zh-CN"/>
        </w:rPr>
        <w:t>目的</w:t>
      </w:r>
      <w:bookmarkEnd w:id="3"/>
    </w:p>
    <w:p w14:paraId="5BA0EC6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软件运维服务中的问题管理活动，系统化地识别、分析并根除导致服务事件发生的根本原因，防止同类事件重复发生，提升软件系统稳定性与可靠性，降低运维成本，并最终提高客户满意度与公司服务声誉，特制定本制度。</w:t>
      </w:r>
    </w:p>
    <w:p w14:paraId="5F6D6F5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" w:name="_Toc28931"/>
      <w:r>
        <w:rPr>
          <w:rFonts w:hint="default"/>
          <w:lang w:val="en-US" w:eastAsia="zh-CN"/>
        </w:rPr>
        <w:t>适用范围</w:t>
      </w:r>
      <w:bookmarkEnd w:id="4"/>
    </w:p>
    <w:p w14:paraId="150EAA6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本制度适用于公司数智运营部在为客户提供软件运维服务过程中，对所有“问题”进行识别、调查、诊断、解决和回顾的全过程管理。</w:t>
      </w:r>
    </w:p>
    <w:p w14:paraId="1A84A2B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29093"/>
      <w:r>
        <w:rPr>
          <w:rFonts w:hint="default"/>
          <w:lang w:val="en-US" w:eastAsia="zh-CN"/>
        </w:rPr>
        <w:t>术语与定义</w:t>
      </w:r>
      <w:bookmarkEnd w:id="5"/>
    </w:p>
    <w:p w14:paraId="0B8126F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问题：指导致一起或多起服务事件发生的、未知的潜在根本原因。</w:t>
      </w:r>
    </w:p>
    <w:p w14:paraId="4D9ECB8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问题管理：通过系统化的流程，识别并分析问题的根本原因，制定解决方案或预防措施，并跟踪至关闭，以消除或减少事件发生的管理活动。</w:t>
      </w:r>
    </w:p>
    <w:p w14:paraId="5FA56D2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已知错误：指经过诊断已确定根本原因及解决方案（临时或永久）的问题状态。在此状态下，可提出变更请求以实施永久性修复。</w:t>
      </w:r>
    </w:p>
    <w:p w14:paraId="6DE8876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主动问题管理：通过对系统日志、性能趋势、事件模式的持续分析，在事件发生前主动识别并解决潜在风险的活动。</w:t>
      </w:r>
    </w:p>
    <w:p w14:paraId="1BFCC32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根本原因分析：通过结构化方法，深入探究导致问题发生的底层因素，而非表面症状。</w:t>
      </w:r>
    </w:p>
    <w:p w14:paraId="77A505B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9227"/>
      <w:r>
        <w:rPr>
          <w:rFonts w:hint="default"/>
          <w:lang w:val="en-US" w:eastAsia="zh-CN"/>
        </w:rPr>
        <w:t>角色与职责</w:t>
      </w:r>
      <w:bookmarkEnd w:id="6"/>
    </w:p>
    <w:p w14:paraId="766864A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14883"/>
      <w:r>
        <w:rPr>
          <w:rFonts w:hint="default"/>
          <w:lang w:val="en-US" w:eastAsia="zh-CN"/>
        </w:rPr>
        <w:t>问题经理</w:t>
      </w:r>
      <w:bookmarkEnd w:id="7"/>
    </w:p>
    <w:p w14:paraId="13F5598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由数智运营部经理或其指定人员担任，负责：</w:t>
      </w:r>
    </w:p>
    <w:p w14:paraId="61E9C142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作为问题管理流程的负责人，监督流程的整体执行与效能。</w:t>
      </w:r>
    </w:p>
    <w:p w14:paraId="494DED7E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审核并确认由事件升级或主动分析产生的问题，决定是否正式立案。</w:t>
      </w:r>
    </w:p>
    <w:p w14:paraId="5B3E740E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对问题进行分类、设定优先级并进行分派。</w:t>
      </w:r>
    </w:p>
    <w:p w14:paraId="5D2188E3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组织问题分析会议，跟踪问题处理进度，协调跨部门（如研究总院）资源。</w:t>
      </w:r>
    </w:p>
    <w:p w14:paraId="0D895CF2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负责问题解决方案的评审、关闭审批及知识转化督导。</w:t>
      </w:r>
    </w:p>
    <w:p w14:paraId="5D569FE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20849"/>
      <w:r>
        <w:rPr>
          <w:rFonts w:hint="default"/>
          <w:lang w:val="en-US" w:eastAsia="zh-CN"/>
        </w:rPr>
        <w:t>问题处理专家组</w:t>
      </w:r>
      <w:bookmarkEnd w:id="8"/>
    </w:p>
    <w:p w14:paraId="042AD09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由研究总院的资深开发工程师及数智运营部的高级运维工程师组成，负责：</w:t>
      </w:r>
    </w:p>
    <w:p w14:paraId="4E7C474C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接收问题经理分派的复杂问题，进行深入的技术分析与根本原因诊断。</w:t>
      </w:r>
    </w:p>
    <w:p w14:paraId="5591778D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制定根本性解决方案、临时变通措施或长期优化建议。</w:t>
      </w:r>
    </w:p>
    <w:p w14:paraId="345E1CCA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评估解决方案的影响与实施成本，对于需要代码修改的，主导或协助制定开发计划。</w:t>
      </w:r>
    </w:p>
    <w:p w14:paraId="22E0B1A6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参与问题回顾会议，提供技术评估与分析报告。</w:t>
      </w:r>
    </w:p>
    <w:p w14:paraId="478D95D2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将分析过程与解决方案转化为技术知识，提交至知识库。</w:t>
      </w:r>
    </w:p>
    <w:p w14:paraId="360EB463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6781"/>
      <w:r>
        <w:rPr>
          <w:rFonts w:hint="default"/>
          <w:lang w:val="en-US" w:eastAsia="zh-CN"/>
        </w:rPr>
        <w:t>问题管理流程</w:t>
      </w:r>
      <w:bookmarkEnd w:id="9"/>
    </w:p>
    <w:p w14:paraId="7B6F9AF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32612"/>
      <w:r>
        <w:rPr>
          <w:rFonts w:hint="default"/>
          <w:lang w:val="en-US" w:eastAsia="zh-CN"/>
        </w:rPr>
        <w:t>流程概述</w:t>
      </w:r>
      <w:bookmarkEnd w:id="10"/>
    </w:p>
    <w:p w14:paraId="1DFE81B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管理流程是事件管理流程的深化与延伸，其核心目标是从根源上消除故障隐患，而非仅解决表面症状。流程通过分析重复发生的事件、重大事件及主动发现的系统隐患，识别“问题”，并通过系统化的分析、解决、回顾，实现服务质量的主动提升。</w:t>
      </w:r>
    </w:p>
    <w:p w14:paraId="7AA3506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2490"/>
      <w:r>
        <w:rPr>
          <w:rFonts w:hint="default"/>
          <w:lang w:val="en-US" w:eastAsia="zh-CN"/>
        </w:rPr>
        <w:t>管理原则</w:t>
      </w:r>
      <w:bookmarkEnd w:id="11"/>
    </w:p>
    <w:p w14:paraId="4353B45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源头控制原则：优先处理可能导致重复事件或重大影响的问题。</w:t>
      </w:r>
    </w:p>
    <w:p w14:paraId="4C7B215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权责清晰原则：每个问题在任何阶段均有明确的责任人（问题经理或指定专家）。</w:t>
      </w:r>
    </w:p>
    <w:p w14:paraId="208ED95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闭环管理原则：问题从创建到关闭需经历完整的分析、解决、验证和回顾环节。</w:t>
      </w:r>
    </w:p>
    <w:p w14:paraId="5C6D833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知识转化原则：所有问题的分析过程与最终解决方案必须沉淀至公司知识库。</w:t>
      </w:r>
    </w:p>
    <w:p w14:paraId="32F8182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2" w:name="_Toc5128"/>
      <w:r>
        <w:rPr>
          <w:rFonts w:hint="default"/>
          <w:lang w:val="en-US" w:eastAsia="zh-CN"/>
        </w:rPr>
        <w:t>流程活动说明</w:t>
      </w:r>
      <w:bookmarkEnd w:id="12"/>
    </w:p>
    <w:p w14:paraId="56396697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问题识别与创建</w:t>
      </w:r>
    </w:p>
    <w:p w14:paraId="0ED9530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来源：频繁发生（如同一原因事件≥3次）或重大（P1/P2级）事件；趋势分析发现的系统性能劣化或潜在风险；日常巡检发现的架构或代码缺陷。</w:t>
      </w:r>
    </w:p>
    <w:p w14:paraId="234058D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创建：由运维项目经理或事件经理提出，问题经理审核后正式创建《问题记录单》。</w:t>
      </w:r>
    </w:p>
    <w:p w14:paraId="5A836158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问题分类与分派</w:t>
      </w:r>
    </w:p>
    <w:p w14:paraId="67170FE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问题经理根据问题性质（如应用缺陷、架构问题、数据逻辑等）和优先级，分派给相应的“问题处理专家组”。</w:t>
      </w:r>
    </w:p>
    <w:p w14:paraId="0476C2E7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调查与诊断</w:t>
      </w:r>
    </w:p>
    <w:p w14:paraId="55DD997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专家组通过代码审查、日志深度分析、架构评估、数据追溯等方法，诊断根本原因，并记录于《问题分析报告》。</w:t>
      </w:r>
    </w:p>
    <w:p w14:paraId="683B8D4B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制定解决方案</w:t>
      </w:r>
    </w:p>
    <w:p w14:paraId="0089611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提出永久性解决方案（通常涉及变更请求）。</w:t>
      </w:r>
    </w:p>
    <w:p w14:paraId="64F92E2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若无法立即实施，需制定有效且安全的临时措施（变通方案）。</w:t>
      </w:r>
    </w:p>
    <w:p w14:paraId="4AC8BDF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评估解决方案的可行性、资源需求及潜在风险。</w:t>
      </w:r>
    </w:p>
    <w:p w14:paraId="0E62D66B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方案实施与验证</w:t>
      </w:r>
    </w:p>
    <w:p w14:paraId="6515D4D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解决方案通过变更管理流程实施后，需进行充分测试与监控，验证问题是否被根本解决，且未引入新风险。</w:t>
      </w:r>
    </w:p>
    <w:p w14:paraId="4F675594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问题回顾与关闭</w:t>
      </w:r>
    </w:p>
    <w:p w14:paraId="782A5FB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问题经理组织回顾会议，确认相关事件已解决，解决方案有效。更新问题状态，将过程知识入库，经审批后关闭问题。</w:t>
      </w:r>
    </w:p>
    <w:p w14:paraId="619D49D7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主动问题管理</w:t>
      </w:r>
    </w:p>
    <w:p w14:paraId="54A564D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定期分析事件与监控数据，使用趋势分析等方法，主动发起问题管理流程，防患于未然。</w:t>
      </w:r>
    </w:p>
    <w:p w14:paraId="2830DF55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15324"/>
      <w:r>
        <w:rPr>
          <w:rFonts w:hint="default"/>
          <w:lang w:val="en-US" w:eastAsia="zh-CN"/>
        </w:rPr>
        <w:t>问题相关定义</w:t>
      </w:r>
      <w:bookmarkEnd w:id="13"/>
    </w:p>
    <w:p w14:paraId="071EF128">
      <w:pPr>
        <w:pStyle w:val="30"/>
        <w:bidi w:val="0"/>
        <w:rPr>
          <w:rFonts w:hint="default"/>
          <w:lang w:val="en-US" w:eastAsia="zh-CN"/>
        </w:rPr>
      </w:pPr>
      <w:bookmarkStart w:id="14" w:name="_Toc26648"/>
      <w:r>
        <w:rPr>
          <w:rFonts w:hint="default"/>
          <w:lang w:val="en-US" w:eastAsia="zh-CN"/>
        </w:rPr>
        <w:t>问题分类</w:t>
      </w:r>
      <w:bookmarkEnd w:id="14"/>
    </w:p>
    <w:p w14:paraId="784E27C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根据问题所涉及的技术领域进行划分，以便精准分派：</w:t>
      </w:r>
    </w:p>
    <w:p w14:paraId="145168B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应用功能缺陷：业务逻辑错误、代码Bug、前后端交互问题。</w:t>
      </w:r>
    </w:p>
    <w:p w14:paraId="1D60F0E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系统性能问题：架构瓶颈、数据库性能、缓存策略、算法效率低下。</w:t>
      </w:r>
    </w:p>
    <w:p w14:paraId="7ECDF40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数据与存储问题：数据一致性、事务处理、存储设计、ETL流程缺陷。</w:t>
      </w:r>
    </w:p>
    <w:p w14:paraId="54A556D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集成与接口问题：API设计缺陷、消息协议不一致、第三方服务兼容性问题。</w:t>
      </w:r>
    </w:p>
    <w:p w14:paraId="0320BE6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安全与合规问题：安全漏洞、权限设计缺陷、审计日志不满足合规要求。</w:t>
      </w:r>
    </w:p>
    <w:p w14:paraId="74054F3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配置与部署问题：环境配置标准化、部署脚本缺陷、版本管理问题。</w:t>
      </w:r>
    </w:p>
    <w:p w14:paraId="5068B73A">
      <w:pPr>
        <w:pStyle w:val="30"/>
        <w:bidi w:val="0"/>
        <w:rPr>
          <w:rFonts w:hint="default"/>
          <w:lang w:val="en-US" w:eastAsia="zh-CN"/>
        </w:rPr>
      </w:pPr>
      <w:bookmarkStart w:id="15" w:name="_Toc20587"/>
      <w:r>
        <w:rPr>
          <w:rFonts w:hint="default"/>
          <w:lang w:val="en-US" w:eastAsia="zh-CN"/>
        </w:rPr>
        <w:t>问题优先级定义</w:t>
      </w:r>
      <w:bookmarkEnd w:id="15"/>
    </w:p>
    <w:p w14:paraId="0E6D51C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优先级由问题对业务的影响度、紧急度及解决价值共同决定：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55"/>
        <w:gridCol w:w="792"/>
        <w:gridCol w:w="4011"/>
        <w:gridCol w:w="2643"/>
      </w:tblGrid>
      <w:tr w14:paraId="49F65B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95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6B5CB45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优先级</w:t>
            </w:r>
          </w:p>
        </w:tc>
        <w:tc>
          <w:tcPr>
            <w:tcW w:w="79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C3B2B3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等级</w:t>
            </w:r>
          </w:p>
        </w:tc>
        <w:tc>
          <w:tcPr>
            <w:tcW w:w="401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F96975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定义标准（软件运维视角）</w:t>
            </w:r>
          </w:p>
        </w:tc>
        <w:tc>
          <w:tcPr>
            <w:tcW w:w="264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9327C5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目标解决时限</w:t>
            </w:r>
          </w:p>
        </w:tc>
      </w:tr>
      <w:tr w14:paraId="5EBE57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5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C25D789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高</w:t>
            </w:r>
          </w:p>
        </w:tc>
        <w:tc>
          <w:tcPr>
            <w:tcW w:w="79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BCE26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关键</w:t>
            </w:r>
          </w:p>
        </w:tc>
        <w:tc>
          <w:tcPr>
            <w:tcW w:w="401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13B76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由P0/P1级重大事件升级而来。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影响核心业务流程或关键数据，范围广。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若不解决，将导致SLA持续严重违约或重大安全风险。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4. 解决后可带来显著的成本节约或效率跃升。</w:t>
            </w:r>
          </w:p>
        </w:tc>
        <w:tc>
          <w:tcPr>
            <w:tcW w:w="2643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3F05EA1"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立即响应，按预案限期解决</w:t>
            </w:r>
          </w:p>
        </w:tc>
      </w:tr>
      <w:tr w14:paraId="14AC53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5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EB83A07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中</w:t>
            </w:r>
          </w:p>
        </w:tc>
        <w:tc>
          <w:tcPr>
            <w:tcW w:w="79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E7AF3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重要</w:t>
            </w:r>
          </w:p>
        </w:tc>
        <w:tc>
          <w:tcPr>
            <w:tcW w:w="401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41E9A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由P2级事件或重复发生的P3级事件升级而来。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影响重要但非核心功能，或影响部分用户群体。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对服务质量和客户体验有持续负面影响。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4. 解决后可有效提升系统健壮性或运维效率。</w:t>
            </w:r>
          </w:p>
        </w:tc>
        <w:tc>
          <w:tcPr>
            <w:tcW w:w="2643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9834394"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按计划在下一迭代周期内解决</w:t>
            </w:r>
          </w:p>
        </w:tc>
      </w:tr>
      <w:tr w14:paraId="4B7565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5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5C7BB36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低</w:t>
            </w:r>
          </w:p>
        </w:tc>
        <w:tc>
          <w:tcPr>
            <w:tcW w:w="79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73E5D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普通</w:t>
            </w:r>
          </w:p>
        </w:tc>
        <w:tc>
          <w:tcPr>
            <w:tcW w:w="401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7521B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由普通事件或主动分析发现。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影响非关键功能，或仅为优化性需求。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对当前业务运行无即时严重影响。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4. 解决价值主要体现在技术债务清理或长期优化。</w:t>
            </w:r>
          </w:p>
        </w:tc>
        <w:tc>
          <w:tcPr>
            <w:tcW w:w="2643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AC9B254"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纳入技术改进 backlog，定期回顾</w:t>
            </w:r>
          </w:p>
        </w:tc>
      </w:tr>
    </w:tbl>
    <w:p w14:paraId="65AE2168">
      <w:pPr>
        <w:pStyle w:val="30"/>
        <w:bidi w:val="0"/>
        <w:rPr>
          <w:rFonts w:hint="default"/>
          <w:lang w:val="en-US" w:eastAsia="zh-CN"/>
        </w:rPr>
      </w:pPr>
      <w:bookmarkStart w:id="16" w:name="_Toc1996"/>
      <w:r>
        <w:rPr>
          <w:rFonts w:hint="default"/>
          <w:lang w:val="en-US" w:eastAsia="zh-CN"/>
        </w:rPr>
        <w:t>问题状态定义</w:t>
      </w:r>
      <w:bookmarkEnd w:id="16"/>
    </w:p>
    <w:tbl>
      <w:tblPr>
        <w:tblStyle w:val="20"/>
        <w:tblW w:w="90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10"/>
        <w:gridCol w:w="7714"/>
      </w:tblGrid>
      <w:tr w14:paraId="709AC7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033582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状态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C5AF5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描述</w:t>
            </w:r>
          </w:p>
        </w:tc>
      </w:tr>
      <w:tr w14:paraId="3A4581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EA74AB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已登记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593128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问题已创建并记录，等待问题经理审核与分派。</w:t>
            </w:r>
          </w:p>
        </w:tc>
      </w:tr>
      <w:tr w14:paraId="75A1C3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1C9815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调查中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C17778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已分派给专家组，正在进行根本原因分析。</w:t>
            </w:r>
          </w:p>
        </w:tc>
      </w:tr>
      <w:tr w14:paraId="5D7B25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75FC54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待方案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1C837A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根本原因已查明，正在评估和制定解决方案。</w:t>
            </w:r>
          </w:p>
        </w:tc>
      </w:tr>
      <w:tr w14:paraId="7C7B89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496295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方案已定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56EB58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解决方案（永久或临时）已确定，等待资源实施（如排期开发）。</w:t>
            </w:r>
          </w:p>
        </w:tc>
      </w:tr>
      <w:tr w14:paraId="697A76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945C5C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实施中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91EC04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解决方案正通过变更管理流程进行部署。</w:t>
            </w:r>
          </w:p>
        </w:tc>
      </w:tr>
      <w:tr w14:paraId="5E7331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781722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已解决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0865A5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解决方案已验证有效，相关事件已平息。等待回顾与关闭。</w:t>
            </w:r>
          </w:p>
        </w:tc>
      </w:tr>
      <w:tr w14:paraId="326CED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3A157A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已关闭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C522CB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问题回顾完成，知识已沉淀，流程正式结束。</w:t>
            </w:r>
          </w:p>
        </w:tc>
      </w:tr>
      <w:tr w14:paraId="5ED768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F4106A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延期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CA6A47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因技术限制、成本过高或优先级调整，暂不处理，留待后续评估。</w:t>
            </w:r>
          </w:p>
        </w:tc>
      </w:tr>
    </w:tbl>
    <w:p w14:paraId="7B3CF0D9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7" w:name="_Toc10824"/>
      <w:r>
        <w:rPr>
          <w:rFonts w:hint="default"/>
          <w:lang w:val="en-US" w:eastAsia="zh-CN"/>
        </w:rPr>
        <w:t>问题管理事项</w:t>
      </w:r>
      <w:bookmarkEnd w:id="17"/>
    </w:p>
    <w:p w14:paraId="66E77E6A">
      <w:pPr>
        <w:pStyle w:val="30"/>
        <w:bidi w:val="0"/>
        <w:rPr>
          <w:rFonts w:hint="default"/>
          <w:lang w:val="en-US" w:eastAsia="zh-CN"/>
        </w:rPr>
      </w:pPr>
      <w:bookmarkStart w:id="18" w:name="_Toc23524"/>
      <w:r>
        <w:rPr>
          <w:rFonts w:hint="default"/>
          <w:lang w:val="en-US" w:eastAsia="zh-CN"/>
        </w:rPr>
        <w:t>问题评审</w:t>
      </w:r>
      <w:bookmarkEnd w:id="18"/>
    </w:p>
    <w:p w14:paraId="7A54290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日常评审：问题经理定期（如每双周）召开问题评审会，跟踪未解决问题状态，协调资源。</w:t>
      </w:r>
    </w:p>
    <w:p w14:paraId="5F5258C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重大问题上会：对“高”优先级问题，需举行专题评审会，邀请质量管理部、研究总院等相关方参与。</w:t>
      </w:r>
    </w:p>
    <w:p w14:paraId="4B712E5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关闭评审：问题关闭前，需评审解决方案的有效性、知识沉淀的完整性及是否需采取进一步预防措施。</w:t>
      </w:r>
    </w:p>
    <w:p w14:paraId="7657392D">
      <w:pPr>
        <w:pStyle w:val="30"/>
        <w:bidi w:val="0"/>
        <w:rPr>
          <w:rFonts w:hint="default"/>
          <w:lang w:val="en-US" w:eastAsia="zh-CN"/>
        </w:rPr>
      </w:pPr>
      <w:bookmarkStart w:id="19" w:name="_Toc25361"/>
      <w:r>
        <w:rPr>
          <w:rFonts w:hint="default"/>
          <w:lang w:val="en-US" w:eastAsia="zh-CN"/>
        </w:rPr>
        <w:t>问题归档与知识管理</w:t>
      </w:r>
      <w:bookmarkEnd w:id="19"/>
    </w:p>
    <w:p w14:paraId="4FA13DC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问题关闭后，所有相关记录（《问题记录单》、《分析报告》、变更记录等）由数智运营部统一归档。</w:t>
      </w:r>
    </w:p>
    <w:p w14:paraId="7589CE1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强制知识转化：问题的根本原因、分析思路、解决方案及临时措施，必须由专家组整理成标准化知识条目，提交至服务知识库，并关联相关配置项。</w:t>
      </w:r>
    </w:p>
    <w:p w14:paraId="69F8E8E4">
      <w:pPr>
        <w:pStyle w:val="30"/>
        <w:bidi w:val="0"/>
        <w:rPr>
          <w:rFonts w:hint="default"/>
          <w:lang w:val="en-US" w:eastAsia="zh-CN"/>
        </w:rPr>
      </w:pPr>
      <w:bookmarkStart w:id="20" w:name="_Toc1020"/>
      <w:r>
        <w:rPr>
          <w:rFonts w:hint="eastAsia"/>
          <w:lang w:val="en-US" w:eastAsia="zh-CN"/>
        </w:rPr>
        <w:t>与其他</w:t>
      </w:r>
      <w:r>
        <w:rPr>
          <w:rFonts w:hint="default"/>
          <w:lang w:val="en-US" w:eastAsia="zh-CN"/>
        </w:rPr>
        <w:t>流程关系</w:t>
      </w:r>
      <w:bookmarkEnd w:id="20"/>
    </w:p>
    <w:p w14:paraId="69BCBFC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与事件管理：事件管理是问题管理的主要输入源，问题管理为事件管理提供根本解决方案和临时措施，降低事件复发率。</w:t>
      </w:r>
    </w:p>
    <w:p w14:paraId="6D84B76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与变更管理：绝大多数问题的根本解决方案需要通过变更管理流程来实施。问题管理流程负责发起变更请求（RFC）。</w:t>
      </w:r>
    </w:p>
    <w:p w14:paraId="2B555DB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与配置管理：配置管理数据库为问题分析提供准确的软硬件配置及关系信息，问题解决后如导致配置项变更，需反馈更新CMDB。</w:t>
      </w:r>
    </w:p>
    <w:p w14:paraId="5F000F46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1" w:name="_Toc7831"/>
      <w:r>
        <w:rPr>
          <w:rFonts w:hint="eastAsia"/>
          <w:lang w:val="en-US" w:eastAsia="zh-CN"/>
        </w:rPr>
        <w:t>考核指标</w:t>
      </w:r>
    </w:p>
    <w:tbl>
      <w:tblPr>
        <w:tblStyle w:val="20"/>
        <w:tblW w:w="7675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7"/>
        <w:gridCol w:w="1092"/>
        <w:gridCol w:w="3300"/>
        <w:gridCol w:w="1056"/>
      </w:tblGrid>
      <w:tr w14:paraId="164758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22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7ED74F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KPI</w:t>
            </w:r>
          </w:p>
        </w:tc>
        <w:tc>
          <w:tcPr>
            <w:tcW w:w="10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514325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目标值</w:t>
            </w:r>
          </w:p>
        </w:tc>
        <w:tc>
          <w:tcPr>
            <w:tcW w:w="33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43975C5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计算公式/方法</w:t>
            </w:r>
          </w:p>
        </w:tc>
        <w:tc>
          <w:tcPr>
            <w:tcW w:w="10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4F6E471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频度</w:t>
            </w:r>
          </w:p>
        </w:tc>
      </w:tr>
      <w:tr w14:paraId="38874E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22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253919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问题转知识的比率</w:t>
            </w:r>
          </w:p>
        </w:tc>
        <w:tc>
          <w:tcPr>
            <w:tcW w:w="10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90B85C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≥90%</w:t>
            </w:r>
          </w:p>
        </w:tc>
        <w:tc>
          <w:tcPr>
            <w:tcW w:w="33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FC653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问题转知识库的总数/已解决的问题总数</w:t>
            </w:r>
          </w:p>
        </w:tc>
        <w:tc>
          <w:tcPr>
            <w:tcW w:w="10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3E367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季度</w:t>
            </w:r>
          </w:p>
        </w:tc>
      </w:tr>
      <w:tr w14:paraId="0175BC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22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51474B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问题解决率</w:t>
            </w:r>
          </w:p>
        </w:tc>
        <w:tc>
          <w:tcPr>
            <w:tcW w:w="10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6DB00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≥90%</w:t>
            </w:r>
          </w:p>
        </w:tc>
        <w:tc>
          <w:tcPr>
            <w:tcW w:w="33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832F95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（已解决的问题数量/问题总数）*100%</w:t>
            </w:r>
          </w:p>
        </w:tc>
        <w:tc>
          <w:tcPr>
            <w:tcW w:w="10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4243D9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季度</w:t>
            </w:r>
          </w:p>
        </w:tc>
      </w:tr>
    </w:tbl>
    <w:p w14:paraId="1C8BCF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530CA70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2" w:name="_GoBack"/>
      <w:bookmarkEnd w:id="22"/>
      <w:r>
        <w:rPr>
          <w:rFonts w:hint="default"/>
          <w:lang w:val="en-US" w:eastAsia="zh-CN"/>
        </w:rPr>
        <w:t>附则</w:t>
      </w:r>
      <w:bookmarkEnd w:id="21"/>
    </w:p>
    <w:p w14:paraId="60C9D70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本制度由数智运营部负责解释与修订。</w:t>
      </w:r>
    </w:p>
    <w:p w14:paraId="34E3B0D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本制度自发布之日起生效，适用于所有软件运维服务项目。</w:t>
      </w:r>
    </w:p>
    <w:p w14:paraId="51A745B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本制度涉及的《问题记录单》、《问题分析报告》等模板，由数智运营部负责制定与维护。</w:t>
      </w:r>
    </w:p>
    <w:sectPr>
      <w:headerReference r:id="rId5" w:type="default"/>
      <w:footerReference r:id="rId6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3256C6">
    <w:pPr>
      <w:pStyle w:val="1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6E1463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49342358"/>
    <w:multiLevelType w:val="singleLevel"/>
    <w:tmpl w:val="4934235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4A6E40A2"/>
    <w:multiLevelType w:val="singleLevel"/>
    <w:tmpl w:val="4A6E40A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5D834CBF"/>
    <w:multiLevelType w:val="singleLevel"/>
    <w:tmpl w:val="5D834CB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AA96F34"/>
    <w:rsid w:val="156A35F2"/>
    <w:rsid w:val="15FF3D3A"/>
    <w:rsid w:val="1BD73063"/>
    <w:rsid w:val="22E24891"/>
    <w:rsid w:val="259124D5"/>
    <w:rsid w:val="2FC404CD"/>
    <w:rsid w:val="31D855AA"/>
    <w:rsid w:val="410B53D9"/>
    <w:rsid w:val="45DA6C84"/>
    <w:rsid w:val="498A40CC"/>
    <w:rsid w:val="58E00CC3"/>
    <w:rsid w:val="58F464C3"/>
    <w:rsid w:val="5CC826A5"/>
    <w:rsid w:val="644A155E"/>
    <w:rsid w:val="645A795A"/>
    <w:rsid w:val="6C704A1C"/>
    <w:rsid w:val="6CF90658"/>
    <w:rsid w:val="6EC622C1"/>
    <w:rsid w:val="738F0E39"/>
    <w:rsid w:val="796726A4"/>
    <w:rsid w:val="7CF42CB9"/>
    <w:rsid w:val="7FE007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2993</Words>
  <Characters>3135</Characters>
  <Lines>0</Lines>
  <Paragraphs>0</Paragraphs>
  <TotalTime>0</TotalTime>
  <ScaleCrop>false</ScaleCrop>
  <LinksUpToDate>false</LinksUpToDate>
  <CharactersWithSpaces>3234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2026-01-20T13:16:08Z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