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05A7E4E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19962"/>
      <w: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9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江西通信产业服务有限公司</w:t>
      </w:r>
      <w:bookmarkEnd w:id="0"/>
    </w:p>
    <w:p w14:paraId="5D4B3D13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18831"/>
      <w:r>
        <w:rPr>
          <w:rFonts w:hint="eastAsia"/>
          <w:lang w:val="en-US" w:eastAsia="zh-CN"/>
        </w:rPr>
        <w:t>变更管理制度</w:t>
      </w:r>
      <w:bookmarkEnd w:id="1"/>
    </w:p>
    <w:p w14:paraId="64A20E3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JXTX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6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6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7C83FF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76CB933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数智运营部</w:t>
            </w:r>
          </w:p>
        </w:tc>
        <w:tc>
          <w:tcPr>
            <w:tcW w:w="2708" w:type="dxa"/>
          </w:tcPr>
          <w:p w14:paraId="20F2ACC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183F2BE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50286E8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0666200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50FEF8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06EE8E2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涂志云</w:t>
            </w:r>
          </w:p>
        </w:tc>
        <w:tc>
          <w:tcPr>
            <w:tcW w:w="2708" w:type="dxa"/>
          </w:tcPr>
          <w:p w14:paraId="349F359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 w14:paraId="0A6787E0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2AB0B23A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3A0DE4F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524B495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2C53D39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42635A4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70BCE33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3D2ED21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04613B5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2E305B5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</w:tcPr>
          <w:p w14:paraId="3B2F79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</w:tcPr>
          <w:p w14:paraId="44C0E9D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 w14:paraId="7E5B251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 w14:paraId="7817433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徐超超</w:t>
            </w:r>
          </w:p>
        </w:tc>
        <w:tc>
          <w:tcPr>
            <w:tcW w:w="1606" w:type="dxa"/>
          </w:tcPr>
          <w:p w14:paraId="57AC437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200"/>
                <w:kern w:val="0"/>
                <w:sz w:val="20"/>
                <w:szCs w:val="20"/>
              </w:rPr>
              <w:t>何</w:t>
            </w: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峻</w:t>
            </w:r>
          </w:p>
        </w:tc>
        <w:tc>
          <w:tcPr>
            <w:tcW w:w="915" w:type="dxa"/>
          </w:tcPr>
          <w:p w14:paraId="524DA1F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涂志云</w:t>
            </w:r>
          </w:p>
        </w:tc>
      </w:tr>
      <w:tr w14:paraId="371269E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1EB22CD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24AC730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11EF4F2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08B1B2E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312961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3A21871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5E694D1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348D896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5AD96C2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5A69323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2461D79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02846F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582D0DD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00D13F5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0CBBD1E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3B9EA02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00F9114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7C94E1E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6342AE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1A9570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6675C606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3F2BCA4D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70D50294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_Toc19962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江西通信产业服务有限公司</w:t>
          </w:r>
          <w:r>
            <w:tab/>
          </w:r>
          <w:r>
            <w:fldChar w:fldCharType="begin"/>
          </w:r>
          <w:r>
            <w:instrText xml:space="preserve"> PAGEREF _Toc19962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7D9389A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_Toc18831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变更管理制度</w:t>
          </w:r>
          <w:r>
            <w:tab/>
          </w:r>
          <w:r>
            <w:fldChar w:fldCharType="begin"/>
          </w:r>
          <w:r>
            <w:instrText xml:space="preserve"> PAGEREF _Toc18831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CBCCD06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_Toc3337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 </w:t>
          </w:r>
          <w:r>
            <w:rPr>
              <w:rFonts w:hint="eastAsia"/>
              <w:lang w:val="en-US" w:eastAsia="zh-CN"/>
            </w:rPr>
            <w:t>总则</w:t>
          </w:r>
          <w:r>
            <w:tab/>
          </w:r>
          <w:r>
            <w:fldChar w:fldCharType="begin"/>
          </w:r>
          <w:r>
            <w:instrText xml:space="preserve"> PAGEREF _Toc3337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2F2ADC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_Toc30109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 </w:t>
          </w:r>
          <w:r>
            <w:rPr>
              <w:rFonts w:hint="eastAsia"/>
              <w:lang w:val="en-US" w:eastAsia="zh-CN"/>
            </w:rPr>
            <w:t>目的</w:t>
          </w:r>
          <w:r>
            <w:tab/>
          </w:r>
          <w:r>
            <w:fldChar w:fldCharType="begin"/>
          </w:r>
          <w:r>
            <w:instrText xml:space="preserve"> PAGEREF _Toc30109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376183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_Toc25034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 </w:t>
          </w:r>
          <w:r>
            <w:rPr>
              <w:rFonts w:hint="eastAsia"/>
              <w:lang w:val="en-US" w:eastAsia="zh-CN"/>
            </w:rPr>
            <w:t>适用范围</w:t>
          </w:r>
          <w:r>
            <w:tab/>
          </w:r>
          <w:r>
            <w:fldChar w:fldCharType="begin"/>
          </w:r>
          <w:r>
            <w:instrText xml:space="preserve"> PAGEREF _Toc25034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190BA9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_Toc11965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1.3. </w:t>
          </w:r>
          <w:r>
            <w:rPr>
              <w:rFonts w:hint="eastAsia"/>
              <w:lang w:val="en-US" w:eastAsia="zh-CN"/>
            </w:rPr>
            <w:t>原则</w:t>
          </w:r>
          <w:r>
            <w:tab/>
          </w:r>
          <w:r>
            <w:fldChar w:fldCharType="begin"/>
          </w:r>
          <w:r>
            <w:instrText xml:space="preserve"> PAGEREF _Toc11965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208A42A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_Toc18913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角色与职责</w:t>
          </w:r>
          <w:r>
            <w:tab/>
          </w:r>
          <w:r>
            <w:fldChar w:fldCharType="begin"/>
          </w:r>
          <w:r>
            <w:instrText xml:space="preserve"> PAGEREF _Toc18913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005C6B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_Toc3879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 </w:t>
          </w:r>
          <w:r>
            <w:rPr>
              <w:rFonts w:hint="eastAsia"/>
              <w:lang w:val="en-US" w:eastAsia="zh-CN"/>
            </w:rPr>
            <w:t>变更分类与分级</w:t>
          </w:r>
          <w:r>
            <w:tab/>
          </w:r>
          <w:r>
            <w:fldChar w:fldCharType="begin"/>
          </w:r>
          <w:r>
            <w:instrText xml:space="preserve"> PAGEREF _Toc3879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484373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_Toc25906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3.1. </w:t>
          </w:r>
          <w:r>
            <w:rPr>
              <w:rFonts w:hint="eastAsia"/>
              <w:lang w:val="en-US" w:eastAsia="zh-CN"/>
            </w:rPr>
            <w:t>变更分类</w:t>
          </w:r>
          <w:r>
            <w:tab/>
          </w:r>
          <w:r>
            <w:fldChar w:fldCharType="begin"/>
          </w:r>
          <w:r>
            <w:instrText xml:space="preserve"> PAGEREF _Toc25906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979BD89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_Toc29616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3.2. </w:t>
          </w:r>
          <w:r>
            <w:rPr>
              <w:rFonts w:hint="eastAsia"/>
              <w:lang w:val="en-US" w:eastAsia="zh-CN"/>
            </w:rPr>
            <w:t>变更优先级</w:t>
          </w:r>
          <w:r>
            <w:tab/>
          </w:r>
          <w:r>
            <w:fldChar w:fldCharType="begin"/>
          </w:r>
          <w:r>
            <w:instrText xml:space="preserve"> PAGEREF _Toc29616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D5BBC2E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_Toc20422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变更管理流程核心环节</w:t>
          </w:r>
          <w:r>
            <w:tab/>
          </w:r>
          <w:r>
            <w:fldChar w:fldCharType="begin"/>
          </w:r>
          <w:r>
            <w:instrText xml:space="preserve"> PAGEREF _Toc20422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D84CA8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_Toc14465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4.1. </w:t>
          </w:r>
          <w:r>
            <w:rPr>
              <w:rFonts w:hint="eastAsia"/>
              <w:lang w:val="en-US" w:eastAsia="zh-CN"/>
            </w:rPr>
            <w:t>变更申请与记录</w:t>
          </w:r>
          <w:r>
            <w:tab/>
          </w:r>
          <w:r>
            <w:fldChar w:fldCharType="begin"/>
          </w:r>
          <w:r>
            <w:instrText xml:space="preserve"> PAGEREF _Toc14465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0D0638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_Toc3146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4.2. </w:t>
          </w:r>
          <w:r>
            <w:rPr>
              <w:rFonts w:hint="eastAsia"/>
              <w:lang w:val="en-US" w:eastAsia="zh-CN"/>
            </w:rPr>
            <w:t>变更评估与审批</w:t>
          </w:r>
          <w:r>
            <w:tab/>
          </w:r>
          <w:r>
            <w:fldChar w:fldCharType="begin"/>
          </w:r>
          <w:r>
            <w:instrText xml:space="preserve"> PAGEREF _Toc3146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D83EA3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_Toc6192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4.3. </w:t>
          </w:r>
          <w:r>
            <w:rPr>
              <w:rFonts w:hint="eastAsia"/>
              <w:lang w:val="en-US" w:eastAsia="zh-CN"/>
            </w:rPr>
            <w:t>变更规划与协调</w:t>
          </w:r>
          <w:r>
            <w:tab/>
          </w:r>
          <w:r>
            <w:fldChar w:fldCharType="begin"/>
          </w:r>
          <w:r>
            <w:instrText xml:space="preserve"> PAGEREF _Toc6192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08FEF6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_Toc2861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4.4. </w:t>
          </w:r>
          <w:r>
            <w:rPr>
              <w:rFonts w:hint="eastAsia"/>
              <w:lang w:val="en-US" w:eastAsia="zh-CN"/>
            </w:rPr>
            <w:t>变更实施、验证与回退</w:t>
          </w:r>
          <w:r>
            <w:tab/>
          </w:r>
          <w:r>
            <w:fldChar w:fldCharType="begin"/>
          </w:r>
          <w:r>
            <w:instrText xml:space="preserve"> PAGEREF _Toc2861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D853F4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_Toc10458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4.5. </w:t>
          </w:r>
          <w:r>
            <w:rPr>
              <w:rFonts w:hint="eastAsia"/>
              <w:lang w:val="en-US" w:eastAsia="zh-CN"/>
            </w:rPr>
            <w:t>变更回顾与关闭</w:t>
          </w:r>
          <w:r>
            <w:tab/>
          </w:r>
          <w:r>
            <w:fldChar w:fldCharType="begin"/>
          </w:r>
          <w:r>
            <w:instrText xml:space="preserve"> PAGEREF _Toc10458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A47805D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_Toc31703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与其他流程的接口</w:t>
          </w:r>
          <w:r>
            <w:tab/>
          </w:r>
          <w:r>
            <w:fldChar w:fldCharType="begin"/>
          </w:r>
          <w:r>
            <w:instrText xml:space="preserve"> PAGEREF _Toc31703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C8EEE86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_Toc3838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附则</w:t>
          </w:r>
          <w:r>
            <w:tab/>
          </w:r>
          <w:r>
            <w:fldChar w:fldCharType="begin"/>
          </w:r>
          <w:r>
            <w:instrText xml:space="preserve"> PAGEREF _Toc3838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398A6E3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3E6E7FDA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5EF1C9A3">
      <w:pPr>
        <w:pStyle w:val="28"/>
        <w:bidi w:val="0"/>
        <w:rPr>
          <w:rFonts w:hint="eastAsia"/>
          <w:lang w:val="en-US" w:eastAsia="zh-CN"/>
        </w:rPr>
      </w:pPr>
      <w:bookmarkStart w:id="2" w:name="_Toc3337"/>
      <w:r>
        <w:rPr>
          <w:rFonts w:hint="eastAsia"/>
          <w:lang w:val="en-US" w:eastAsia="zh-CN"/>
        </w:rPr>
        <w:t>总则</w:t>
      </w:r>
      <w:bookmarkEnd w:id="2"/>
    </w:p>
    <w:p w14:paraId="6AB7AAF7">
      <w:pPr>
        <w:pStyle w:val="30"/>
        <w:bidi w:val="0"/>
        <w:rPr>
          <w:rFonts w:hint="eastAsia"/>
          <w:lang w:val="en-US" w:eastAsia="zh-CN"/>
        </w:rPr>
      </w:pPr>
      <w:bookmarkStart w:id="3" w:name="_Toc30109"/>
      <w:r>
        <w:rPr>
          <w:rFonts w:hint="eastAsia"/>
          <w:lang w:val="en-US" w:eastAsia="zh-CN"/>
        </w:rPr>
        <w:t>目的</w:t>
      </w:r>
      <w:bookmarkEnd w:id="3"/>
    </w:p>
    <w:p w14:paraId="78EEC207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规范本公司软件运维服务中的变更管理活动，确保所有对生产环境的修改均以受控、标准化的方式进行，从而最大限度地减少或消除因变更导致的业务中断和服务质量下降，保障服务的稳定性与连续性，特制定本制度。</w:t>
      </w:r>
    </w:p>
    <w:p w14:paraId="091A28EC">
      <w:pPr>
        <w:pStyle w:val="30"/>
        <w:bidi w:val="0"/>
        <w:rPr>
          <w:rFonts w:hint="eastAsia"/>
          <w:lang w:val="en-US" w:eastAsia="zh-CN"/>
        </w:rPr>
      </w:pPr>
      <w:bookmarkStart w:id="4" w:name="_Toc25034"/>
      <w:r>
        <w:rPr>
          <w:rFonts w:hint="eastAsia"/>
          <w:lang w:val="en-US" w:eastAsia="zh-CN"/>
        </w:rPr>
        <w:t>适用范围</w:t>
      </w:r>
      <w:bookmarkEnd w:id="4"/>
    </w:p>
    <w:p w14:paraId="7E27E4AB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本制度适用于公司所有软件运维服务项目中，对客户生产环境及相关组件（包括但不限于应用程序、数据库、中间件、配置文件、运行脚本、基础架构代码等）所进行的所有计划内与计划外修改。</w:t>
      </w:r>
    </w:p>
    <w:p w14:paraId="5F4EF607">
      <w:pPr>
        <w:pStyle w:val="30"/>
        <w:bidi w:val="0"/>
        <w:rPr>
          <w:rFonts w:hint="eastAsia"/>
          <w:lang w:val="en-US" w:eastAsia="zh-CN"/>
        </w:rPr>
      </w:pPr>
      <w:bookmarkStart w:id="5" w:name="_Toc11965"/>
      <w:r>
        <w:rPr>
          <w:rFonts w:hint="eastAsia"/>
          <w:lang w:val="en-US" w:eastAsia="zh-CN"/>
        </w:rPr>
        <w:t>原则</w:t>
      </w:r>
      <w:bookmarkEnd w:id="5"/>
    </w:p>
    <w:p w14:paraId="073D852B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授权原则： 所有变更必须经过正式申请和审批，未经批准的变更严禁实施。</w:t>
      </w:r>
    </w:p>
    <w:p w14:paraId="40427114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记录原则： 所有变更活动必须完整记录，确保过程可追溯。</w:t>
      </w:r>
    </w:p>
    <w:p w14:paraId="3ED376C2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评估原则： 变更实施前必须进行充分的风险与影响评估。</w:t>
      </w:r>
    </w:p>
    <w:p w14:paraId="4A18915C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回退原则： 所有变更必须制定并验证可行的回退方案，确保变更失败时可快速恢复服务。</w:t>
      </w:r>
    </w:p>
    <w:p w14:paraId="2F2A5CE3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最小化影响原则： 变更应安排在业务影响最小的时段进行，并采用灰度、滚动等策略降低风险。</w:t>
      </w:r>
    </w:p>
    <w:p w14:paraId="14C198C6">
      <w:pPr>
        <w:pStyle w:val="28"/>
        <w:bidi w:val="0"/>
        <w:rPr>
          <w:rFonts w:hint="eastAsia"/>
          <w:lang w:val="en-US" w:eastAsia="zh-CN"/>
        </w:rPr>
      </w:pPr>
      <w:bookmarkStart w:id="6" w:name="_Toc18913"/>
      <w:r>
        <w:rPr>
          <w:rFonts w:hint="eastAsia"/>
          <w:lang w:val="en-US" w:eastAsia="zh-CN"/>
        </w:rPr>
        <w:t>角色与职责</w:t>
      </w:r>
      <w:bookmarkEnd w:id="6"/>
    </w:p>
    <w:p w14:paraId="3595C17D">
      <w:pPr>
        <w:pStyle w:val="29"/>
        <w:bidi w:val="0"/>
      </w:pPr>
      <w:r>
        <w:t>为确保变更管理流程的每一项职责都有明确的责任人，现将制度中定义的角色与公司现有岗位进行对应，形成可执行的责任矩阵。</w:t>
      </w:r>
    </w:p>
    <w:tbl>
      <w:tblPr>
        <w:tblStyle w:val="20"/>
        <w:tblW w:w="902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30"/>
        <w:gridCol w:w="3708"/>
        <w:gridCol w:w="3586"/>
      </w:tblGrid>
      <w:tr w14:paraId="046413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8E93CF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角色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6408F0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主要职责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13D967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对应岗位/人员</w:t>
            </w:r>
          </w:p>
        </w:tc>
      </w:tr>
      <w:tr w14:paraId="5EEDE4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60AF0E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变更申请人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85BD86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提交《变更请求单》（RFC），明确变更需求、原因及初步方案。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 参与变更评审，提供业务或技术背景说明。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B48E19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运维项目经理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（通常为项目层面变更发起人）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运维工程师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（针对技术性优化或修复）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研究总院-开发工程师/需求分析师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（针对由研发侧发起的版本功能变更）</w:t>
            </w:r>
          </w:p>
        </w:tc>
      </w:tr>
      <w:tr w14:paraId="5BDF64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F7B0E0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变更经理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98B51E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负责变更管理流程的整体监督与执行。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 审批</w:t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标准变更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请求。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3. 召集并主持</w:t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变更顾问委员会（CAB）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会议，评审重大变更。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4. 监控变更实施进度与结果，确保流程闭环。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5. 审批变更的关闭。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8E19A2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数智运营部经理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（流程所有者，担任公司级变更经理）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（注：可授权给资深运维项目经理处理特定项目群的常规变更）</w:t>
            </w:r>
          </w:p>
        </w:tc>
      </w:tr>
      <w:tr w14:paraId="20F005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CA1B21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运维工程师/开发工程师（执行人）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EF8D4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负责制定或细化变更技术方案、</w:t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回退方案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及测试方案。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 执行变更实施操作，并记录详细步骤。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3. 执行</w:t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回退操作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（若触发）。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4. 提交变更实施与验证报告。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DB1ED8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数智运营部-运维工程师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（负责运维侧变更实施）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研究总院-开发工程师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（负责需代码修改的变更实施）</w:t>
            </w:r>
          </w:p>
        </w:tc>
      </w:tr>
      <w:tr w14:paraId="3095C5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4A93EF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变更顾问委员会（CAB）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38F010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对</w:t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重大变更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请求进行集体评审。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 评估变更的风险、影响、资源需求及</w:t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回退计划的可行性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3. 提供批准、拒绝或修改后重审的决策建议。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2B6B6A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核心成员（常设）：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- 变更经理（数智运营部经理）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- 研究总院经理（或指派技术负责人）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- 质量管理部经理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扩展成员（按需邀请）：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- 相关运维项目经理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- 客户代表（如合同约定）</w:t>
            </w:r>
          </w:p>
        </w:tc>
      </w:tr>
      <w:tr w14:paraId="002AC1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4BDBCA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质量管理部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F6CA0D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独立监督变更管理流程的合规性。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 定期审计变更记录，确保与配置管理（CMDB）信息一致。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3. 参与CAB会议，从质量保证体系角度提出风险意见。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4. 将变更成功率、回退率等指标纳入质量报告。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EBC473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质量管理部经理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及</w:t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质量管理专员</w:t>
            </w:r>
          </w:p>
        </w:tc>
      </w:tr>
      <w:tr w14:paraId="7956B0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B4432C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（辅助角色）服务知识专员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FE73FD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负责将已关闭的变更记录、技术方案及复盘总结，整理并归档至公司知识库。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 确保变更相关知识的可检索和复用。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BD6DB1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数智运营部-服务知识专员</w:t>
            </w:r>
          </w:p>
        </w:tc>
      </w:tr>
      <w:tr w14:paraId="6589DB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65BA57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（辅助角色）配置管理员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14AAB1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在变更实施后，根据最终结果，更新</w:t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配置管理数据库（CMDB）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中相关配置项的信息。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 确保配置信息的准确性。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2C2641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（此职责可由质量管理部或数智运营部指定专人兼任，或由执行变更的工程师在流程中负责更新）</w:t>
            </w:r>
          </w:p>
        </w:tc>
      </w:tr>
    </w:tbl>
    <w:p w14:paraId="7184A367">
      <w:pPr>
        <w:pStyle w:val="2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</w:t>
      </w:r>
      <w:bookmarkStart w:id="7" w:name="_Toc3879"/>
      <w:r>
        <w:rPr>
          <w:rFonts w:hint="eastAsia"/>
          <w:lang w:val="en-US" w:eastAsia="zh-CN"/>
        </w:rPr>
        <w:t>变更分类与分级</w:t>
      </w:r>
      <w:bookmarkEnd w:id="7"/>
    </w:p>
    <w:p w14:paraId="4AE1D701">
      <w:pPr>
        <w:pStyle w:val="30"/>
        <w:bidi w:val="0"/>
        <w:rPr>
          <w:rFonts w:hint="eastAsia"/>
          <w:lang w:val="en-US" w:eastAsia="zh-CN"/>
        </w:rPr>
      </w:pPr>
      <w:bookmarkStart w:id="8" w:name="_Toc25906"/>
      <w:r>
        <w:rPr>
          <w:rFonts w:hint="eastAsia"/>
          <w:lang w:val="en-US" w:eastAsia="zh-CN"/>
        </w:rPr>
        <w:t>变更分类</w:t>
      </w:r>
      <w:bookmarkEnd w:id="8"/>
    </w:p>
    <w:p w14:paraId="6F00DDE0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标准变更： 低风险、预授权的例行变更。流程简化，由变更经理快速审批。（例：用户权限批量维护、已知补丁安装）</w:t>
      </w:r>
    </w:p>
    <w:p w14:paraId="4E26F77E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紧急变更： 为处理重大故障（P0/P1事件）或安全漏洞，必须立即实施的变更。遵循“事后补票”原则，但必须记录、评估并事后评审。</w:t>
      </w:r>
    </w:p>
    <w:p w14:paraId="26F26117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重大变更： 高风险、影响范围广或涉及核心架构修改的变更。必须提交CAB会议评审，并经高级管理层批准。（例：核心数据库版本升级、微服务架构重构）</w:t>
      </w:r>
    </w:p>
    <w:p w14:paraId="489B9862">
      <w:pPr>
        <w:pStyle w:val="30"/>
        <w:bidi w:val="0"/>
        <w:rPr>
          <w:rFonts w:hint="eastAsia"/>
          <w:lang w:val="en-US" w:eastAsia="zh-CN"/>
        </w:rPr>
      </w:pPr>
      <w:bookmarkStart w:id="9" w:name="_Toc29616"/>
      <w:r>
        <w:rPr>
          <w:rFonts w:hint="eastAsia"/>
          <w:lang w:val="en-US" w:eastAsia="zh-CN"/>
        </w:rPr>
        <w:t>变更优先级</w:t>
      </w:r>
      <w:bookmarkEnd w:id="9"/>
    </w:p>
    <w:p w14:paraId="467EAC10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优先级由 影响度 和 紧急度 矩阵决定，指导审批和实施排期：</w:t>
      </w:r>
    </w:p>
    <w:p w14:paraId="446D3960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P1-紧急： 需立即处理，如解决导致系统宕机的缺陷。</w:t>
      </w:r>
    </w:p>
    <w:p w14:paraId="286EC919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P2-高： 需在预定维护窗口内尽快处理。</w:t>
      </w:r>
    </w:p>
    <w:p w14:paraId="34E5FABF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P3-普通： 按计划排期处理。</w:t>
      </w:r>
    </w:p>
    <w:p w14:paraId="07D6326A">
      <w:pPr>
        <w:pStyle w:val="28"/>
        <w:bidi w:val="0"/>
        <w:rPr>
          <w:rFonts w:hint="eastAsia"/>
          <w:lang w:val="en-US" w:eastAsia="zh-CN"/>
        </w:rPr>
      </w:pPr>
      <w:bookmarkStart w:id="10" w:name="_Toc20422"/>
      <w:r>
        <w:rPr>
          <w:rFonts w:hint="eastAsia"/>
          <w:lang w:val="en-US" w:eastAsia="zh-CN"/>
        </w:rPr>
        <w:t>变更管理流程核心环节</w:t>
      </w:r>
      <w:bookmarkEnd w:id="10"/>
    </w:p>
    <w:p w14:paraId="1A7D0D83">
      <w:pPr>
        <w:pStyle w:val="30"/>
        <w:bidi w:val="0"/>
        <w:rPr>
          <w:rFonts w:hint="eastAsia"/>
          <w:lang w:val="en-US" w:eastAsia="zh-CN"/>
        </w:rPr>
      </w:pPr>
      <w:bookmarkStart w:id="11" w:name="_Toc14465"/>
      <w:r>
        <w:rPr>
          <w:rFonts w:hint="eastAsia"/>
          <w:lang w:val="en-US" w:eastAsia="zh-CN"/>
        </w:rPr>
        <w:t>变更申请与记录</w:t>
      </w:r>
      <w:bookmarkEnd w:id="11"/>
    </w:p>
    <w:p w14:paraId="5E541C20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所有变更必须通过运维管理平台提交《变更请求单》（RFC），包含变更目的、范围、详细方案、回退计划、测试方案、预计实施时间与时长。</w:t>
      </w:r>
    </w:p>
    <w:p w14:paraId="2E68CA9D">
      <w:pPr>
        <w:pStyle w:val="30"/>
        <w:bidi w:val="0"/>
        <w:rPr>
          <w:rFonts w:hint="eastAsia"/>
          <w:lang w:val="en-US" w:eastAsia="zh-CN"/>
        </w:rPr>
      </w:pPr>
      <w:bookmarkStart w:id="12" w:name="_Toc3146"/>
      <w:r>
        <w:rPr>
          <w:rFonts w:hint="eastAsia"/>
          <w:lang w:val="en-US" w:eastAsia="zh-CN"/>
        </w:rPr>
        <w:t>变更评估与审批</w:t>
      </w:r>
      <w:bookmarkEnd w:id="12"/>
    </w:p>
    <w:p w14:paraId="2BCDF56C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标准变更： 变更经理依据预定义标准直接审批。</w:t>
      </w:r>
    </w:p>
    <w:p w14:paraId="0F4BEA3E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重大变更： 召开CAB会议，评估技术风险、业务影响、资源需求。重点评审回退计划的可行性。</w:t>
      </w:r>
    </w:p>
    <w:p w14:paraId="1FD8094D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紧急变更： 可先口头授权实施，但负责人必须在规定时间内（如事后2小时内）补全RFC记录。</w:t>
      </w:r>
    </w:p>
    <w:p w14:paraId="0C44FE58">
      <w:pPr>
        <w:pStyle w:val="30"/>
        <w:bidi w:val="0"/>
        <w:rPr>
          <w:rFonts w:hint="eastAsia"/>
          <w:lang w:val="en-US" w:eastAsia="zh-CN"/>
        </w:rPr>
      </w:pPr>
      <w:bookmarkStart w:id="13" w:name="_Toc6192"/>
      <w:r>
        <w:rPr>
          <w:rFonts w:hint="eastAsia"/>
          <w:lang w:val="en-US" w:eastAsia="zh-CN"/>
        </w:rPr>
        <w:t>变更规划与协调</w:t>
      </w:r>
      <w:bookmarkEnd w:id="13"/>
    </w:p>
    <w:p w14:paraId="77312FEB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制定详细的实施计划，包括具体步骤、责任人、时间点、沟通计划。必须明确回退触发条件和执行人。</w:t>
      </w:r>
    </w:p>
    <w:p w14:paraId="45B05DA2">
      <w:pPr>
        <w:pStyle w:val="30"/>
        <w:bidi w:val="0"/>
        <w:rPr>
          <w:rFonts w:hint="eastAsia"/>
          <w:lang w:val="en-US" w:eastAsia="zh-CN"/>
        </w:rPr>
      </w:pPr>
      <w:bookmarkStart w:id="14" w:name="_Toc2861"/>
      <w:r>
        <w:rPr>
          <w:rFonts w:hint="eastAsia"/>
          <w:lang w:val="en-US" w:eastAsia="zh-CN"/>
        </w:rPr>
        <w:t>变更实施、验证与回退</w:t>
      </w:r>
      <w:bookmarkEnd w:id="14"/>
    </w:p>
    <w:p w14:paraId="0B34FB07">
      <w:pPr>
        <w:pStyle w:val="29"/>
        <w:numPr>
          <w:ilvl w:val="0"/>
          <w:numId w:val="2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预检查：实施前备份所有相关配置、数据。</w:t>
      </w:r>
    </w:p>
    <w:p w14:paraId="7E549A26">
      <w:pPr>
        <w:pStyle w:val="29"/>
        <w:numPr>
          <w:ilvl w:val="0"/>
          <w:numId w:val="2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分步实施：严格按照方案执行，每一步进行验证。</w:t>
      </w:r>
    </w:p>
    <w:p w14:paraId="09673D8B">
      <w:pPr>
        <w:pStyle w:val="29"/>
        <w:numPr>
          <w:ilvl w:val="0"/>
          <w:numId w:val="2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监控与验证：实施后，对系统功能、性能、业务指标进行监控验证。</w:t>
      </w:r>
    </w:p>
    <w:p w14:paraId="5BAEEB61">
      <w:pPr>
        <w:pStyle w:val="29"/>
        <w:numPr>
          <w:ilvl w:val="0"/>
          <w:numId w:val="2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回退机制：</w:t>
      </w:r>
    </w:p>
    <w:p w14:paraId="63137C00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触发条件：明确何种情况触发回退（如：核心功能失效、性能指标严重下降、XX分钟内无法修复）。</w:t>
      </w:r>
    </w:p>
    <w:p w14:paraId="4D0A14A3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回退执行：执行人按预定的回退步骤迅速操作，恢复至变更前状态。</w:t>
      </w:r>
    </w:p>
    <w:p w14:paraId="46EB7543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回退验证：验证服务是否完全恢复，业务影响是否终止。</w:t>
      </w:r>
    </w:p>
    <w:p w14:paraId="629EA26A">
      <w:pPr>
        <w:pStyle w:val="29"/>
        <w:numPr>
          <w:ilvl w:val="0"/>
          <w:numId w:val="2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实施报告：无论成功与否，均需记录实施过程、结果、遇到的意外及回退情况。</w:t>
      </w:r>
    </w:p>
    <w:p w14:paraId="72F6D079">
      <w:pPr>
        <w:pStyle w:val="30"/>
        <w:bidi w:val="0"/>
        <w:rPr>
          <w:rFonts w:hint="eastAsia"/>
          <w:lang w:val="en-US" w:eastAsia="zh-CN"/>
        </w:rPr>
      </w:pPr>
      <w:bookmarkStart w:id="15" w:name="_Toc10458"/>
      <w:r>
        <w:rPr>
          <w:rFonts w:hint="eastAsia"/>
          <w:lang w:val="en-US" w:eastAsia="zh-CN"/>
        </w:rPr>
        <w:t>变更回顾与关闭</w:t>
      </w:r>
      <w:bookmarkEnd w:id="15"/>
    </w:p>
    <w:p w14:paraId="1D023900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成功变更：由变更经理关闭RFC，更新相关配置信息（CMDB），将经验沉淀至服务知识。</w:t>
      </w:r>
    </w:p>
    <w:p w14:paraId="25DBD14C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失败/回退变更：必须召开事后复盘会议，分析失败原因，评估回退流程有效性，形成改进措施。这是持续改进的关键输入。</w:t>
      </w:r>
    </w:p>
    <w:p w14:paraId="3223A1EA">
      <w:pPr>
        <w:pStyle w:val="28"/>
        <w:bidi w:val="0"/>
        <w:rPr>
          <w:rFonts w:hint="eastAsia"/>
          <w:lang w:val="en-US" w:eastAsia="zh-CN"/>
        </w:rPr>
      </w:pPr>
      <w:bookmarkStart w:id="16" w:name="_Toc31703"/>
      <w:r>
        <w:rPr>
          <w:rFonts w:hint="eastAsia"/>
          <w:lang w:val="en-US" w:eastAsia="zh-CN"/>
        </w:rPr>
        <w:t>与其他流程的接口</w:t>
      </w:r>
      <w:bookmarkEnd w:id="16"/>
    </w:p>
    <w:p w14:paraId="591A59B0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事件管理：为恢复服务可能触发紧急变更。</w:t>
      </w:r>
    </w:p>
    <w:p w14:paraId="595956C6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问题管理：问题根源的根治方案通常通过变更流程实施。</w:t>
      </w:r>
    </w:p>
    <w:p w14:paraId="70CAF65F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配置管理：变更实施后，必须同步更新配置管理数据库（CMDB）。</w:t>
      </w:r>
    </w:p>
    <w:p w14:paraId="05EFBEC4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发布管理：大型软件版本的部署遵循发布管理流程，作为一项特殊的重大变更进行管理。</w:t>
      </w:r>
    </w:p>
    <w:p w14:paraId="5F000F46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7" w:name="_Toc3838"/>
      <w:r>
        <w:rPr>
          <w:rFonts w:hint="eastAsia"/>
          <w:lang w:val="en-US" w:eastAsia="zh-CN"/>
        </w:rPr>
        <w:t>考核指标</w:t>
      </w:r>
    </w:p>
    <w:tbl>
      <w:tblPr>
        <w:tblStyle w:val="20"/>
        <w:tblW w:w="7675" w:type="dxa"/>
        <w:tblInd w:w="9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1"/>
        <w:gridCol w:w="1428"/>
        <w:gridCol w:w="3780"/>
        <w:gridCol w:w="1056"/>
      </w:tblGrid>
      <w:tr w14:paraId="164758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 w:hRule="atLeast"/>
        </w:trPr>
        <w:tc>
          <w:tcPr>
            <w:tcW w:w="141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7ED74F2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KPI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5143250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目标值</w:t>
            </w:r>
          </w:p>
        </w:tc>
        <w:tc>
          <w:tcPr>
            <w:tcW w:w="37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43975C5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bookmarkStart w:id="18" w:name="_GoBack"/>
            <w:bookmarkEnd w:id="18"/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计算公式/方法</w:t>
            </w:r>
          </w:p>
        </w:tc>
        <w:tc>
          <w:tcPr>
            <w:tcW w:w="10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4F6E471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频度</w:t>
            </w:r>
          </w:p>
        </w:tc>
      </w:tr>
      <w:tr w14:paraId="38874E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 w:hRule="atLeast"/>
        </w:trPr>
        <w:tc>
          <w:tcPr>
            <w:tcW w:w="141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253919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变更成功率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90B85C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≥98%</w:t>
            </w:r>
          </w:p>
        </w:tc>
        <w:tc>
          <w:tcPr>
            <w:tcW w:w="37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6FC653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（变更成功的数量/变更总数)*100%</w:t>
            </w:r>
          </w:p>
        </w:tc>
        <w:tc>
          <w:tcPr>
            <w:tcW w:w="10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C3E367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月度</w:t>
            </w:r>
          </w:p>
        </w:tc>
      </w:tr>
    </w:tbl>
    <w:p w14:paraId="6649316C">
      <w:pPr>
        <w:pStyle w:val="2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附则</w:t>
      </w:r>
      <w:bookmarkEnd w:id="17"/>
    </w:p>
    <w:p w14:paraId="358D4CA1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本制度由数智运营部负责解释与修订，自发布之日起执行。所有相关人员必须严格遵守。</w:t>
      </w:r>
    </w:p>
    <w:p w14:paraId="6A86C202">
      <w:pPr>
        <w:pStyle w:val="29"/>
        <w:rPr>
          <w:rFonts w:hint="eastAsia"/>
          <w:lang w:val="en-US" w:eastAsia="zh-CN"/>
        </w:rPr>
      </w:pP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楷体_GB2312">
    <w:altName w:val="楷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FC27A1D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江西通信产业服务有限公司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CACEB4D1"/>
    <w:multiLevelType w:val="singleLevel"/>
    <w:tmpl w:val="CACEB4D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NotTrackMove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32552C8"/>
    <w:rsid w:val="0442423B"/>
    <w:rsid w:val="05363CC6"/>
    <w:rsid w:val="09222862"/>
    <w:rsid w:val="15981F0D"/>
    <w:rsid w:val="163742BA"/>
    <w:rsid w:val="18AC2832"/>
    <w:rsid w:val="252512E3"/>
    <w:rsid w:val="27677991"/>
    <w:rsid w:val="2FD25DC2"/>
    <w:rsid w:val="441D16AC"/>
    <w:rsid w:val="480B2094"/>
    <w:rsid w:val="4E5864C9"/>
    <w:rsid w:val="4EA40FCB"/>
    <w:rsid w:val="52816C33"/>
    <w:rsid w:val="547A0454"/>
    <w:rsid w:val="57BD0ECB"/>
    <w:rsid w:val="59AC10B0"/>
    <w:rsid w:val="5A963B0E"/>
    <w:rsid w:val="5E6E72E7"/>
    <w:rsid w:val="60EC4488"/>
    <w:rsid w:val="630C7063"/>
    <w:rsid w:val="67F405B1"/>
    <w:rsid w:val="6D0D572C"/>
    <w:rsid w:val="6D3E00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794</Words>
  <Characters>888</Characters>
  <Lines>0</Lines>
  <Paragraphs>0</Paragraphs>
  <TotalTime>0</TotalTime>
  <ScaleCrop>false</ScaleCrop>
  <LinksUpToDate>false</LinksUpToDate>
  <CharactersWithSpaces>965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2026-01-20T13:18:54Z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