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7B75D2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8412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10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676A3690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5721"/>
      <w:r>
        <w:rPr>
          <w:rFonts w:hint="eastAsia"/>
          <w:lang w:val="en-US" w:eastAsia="zh-CN"/>
        </w:rPr>
        <w:t>运维服务工具管理制度</w:t>
      </w:r>
      <w:bookmarkEnd w:id="1"/>
    </w:p>
    <w:p w14:paraId="47CA472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567EB0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DD4E1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2767B3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89AB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68CDAA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0C1D25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D7D7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0CFBC4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17C89B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20A25693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EC7897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A0DE4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24B49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C53D3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2635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0BCE3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D2ED2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4613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E305B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B2F79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44C0E9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E5B2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81743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57AC43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24DA1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371269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B22C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4AC73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1EF4F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8B1B2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31296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A2187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694D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48D89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AD96C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A6932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461D7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02846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82D0D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D13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CBBD1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B9EA0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0F911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C94E1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342AE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A9570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2B3D309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511F1F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F39AAF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_Toc28412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_Toc28412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C6D35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_Toc5721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运维服务工具管理制度</w:t>
          </w:r>
          <w:r>
            <w:tab/>
          </w:r>
          <w:r>
            <w:fldChar w:fldCharType="begin"/>
          </w:r>
          <w:r>
            <w:instrText xml:space="preserve"> PAGEREF _Toc5721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2EA82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_Toc31745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_Toc31745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88105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_Toc14912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_Toc14912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A2A5A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_Toc27278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定义与术语</w:t>
          </w:r>
          <w:r>
            <w:tab/>
          </w:r>
          <w:r>
            <w:fldChar w:fldCharType="begin"/>
          </w:r>
          <w:r>
            <w:instrText xml:space="preserve"> PAGEREF _Toc27278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9E7C1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_Toc11886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运维过程管理工具</w:t>
          </w:r>
          <w:r>
            <w:tab/>
          </w:r>
          <w:r>
            <w:fldChar w:fldCharType="begin"/>
          </w:r>
          <w:r>
            <w:instrText xml:space="preserve"> PAGEREF _Toc11886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59963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_Toc25251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运维监控工具</w:t>
          </w:r>
          <w:r>
            <w:tab/>
          </w:r>
          <w:r>
            <w:fldChar w:fldCharType="begin"/>
          </w:r>
          <w:r>
            <w:instrText xml:space="preserve"> PAGEREF _Toc25251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1A6EE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运维专用工具</w:t>
          </w:r>
          <w:r>
            <w:tab/>
          </w:r>
          <w:r>
            <w:fldChar w:fldCharType="begin"/>
          </w:r>
          <w:r>
            <w:instrText xml:space="preserve"> PAGEREF _Toc3068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6CB21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_Toc11703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管理职责</w:t>
          </w:r>
          <w:r>
            <w:tab/>
          </w:r>
          <w:r>
            <w:fldChar w:fldCharType="begin"/>
          </w:r>
          <w:r>
            <w:instrText xml:space="preserve"> PAGEREF _Toc11703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DBA33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_Toc24607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运维管理部门</w:t>
          </w:r>
          <w:r>
            <w:tab/>
          </w:r>
          <w:r>
            <w:fldChar w:fldCharType="begin"/>
          </w:r>
          <w:r>
            <w:instrText xml:space="preserve"> PAGEREF _Toc24607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7B378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_Toc28490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工具使用人员</w:t>
          </w:r>
          <w:r>
            <w:tab/>
          </w:r>
          <w:r>
            <w:fldChar w:fldCharType="begin"/>
          </w:r>
          <w:r>
            <w:instrText xml:space="preserve"> PAGEREF _Toc28490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E63E1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_Toc18192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工具管理要求</w:t>
          </w:r>
          <w:r>
            <w:tab/>
          </w:r>
          <w:r>
            <w:fldChar w:fldCharType="begin"/>
          </w:r>
          <w:r>
            <w:instrText xml:space="preserve"> PAGEREF _Toc18192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FE6D6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日常使用管理</w:t>
          </w:r>
          <w:r>
            <w:tab/>
          </w:r>
          <w:r>
            <w:fldChar w:fldCharType="begin"/>
          </w:r>
          <w:r>
            <w:instrText xml:space="preserve"> PAGEREF _Toc1694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B1881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_Toc12104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数据备份管理</w:t>
          </w:r>
          <w:r>
            <w:tab/>
          </w:r>
          <w:r>
            <w:fldChar w:fldCharType="begin"/>
          </w:r>
          <w:r>
            <w:instrText xml:space="preserve"> PAGEREF _Toc12104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6DB01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日常维护管理</w:t>
          </w:r>
          <w:r>
            <w:tab/>
          </w:r>
          <w:r>
            <w:fldChar w:fldCharType="begin"/>
          </w:r>
          <w:r>
            <w:instrText xml:space="preserve"> PAGEREF _Toc2938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866F8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_Toc4037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工具评估与改进</w:t>
          </w:r>
          <w:r>
            <w:tab/>
          </w:r>
          <w:r>
            <w:fldChar w:fldCharType="begin"/>
          </w:r>
          <w:r>
            <w:instrText xml:space="preserve"> PAGEREF _Toc4037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A7355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_Toc9716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定期评估</w:t>
          </w:r>
          <w:r>
            <w:tab/>
          </w:r>
          <w:r>
            <w:fldChar w:fldCharType="begin"/>
          </w:r>
          <w:r>
            <w:instrText xml:space="preserve"> PAGEREF _Toc9716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1EE99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_Toc28963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持续改进</w:t>
          </w:r>
          <w:r>
            <w:tab/>
          </w:r>
          <w:r>
            <w:fldChar w:fldCharType="begin"/>
          </w:r>
          <w:r>
            <w:instrText xml:space="preserve"> PAGEREF _Toc28963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05136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_Toc16783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附则</w:t>
          </w:r>
          <w:r>
            <w:tab/>
          </w:r>
          <w:r>
            <w:fldChar w:fldCharType="begin"/>
          </w:r>
          <w:r>
            <w:instrText xml:space="preserve"> PAGEREF _Toc16783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37EF90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F6B7824">
      <w:pPr>
        <w:rPr>
          <w:rFonts w:hint="default"/>
          <w:lang w:val="en-US" w:eastAsia="zh-CN"/>
        </w:rPr>
      </w:pPr>
      <w:bookmarkStart w:id="2" w:name="_Toc31745"/>
      <w:r>
        <w:rPr>
          <w:rFonts w:hint="default"/>
          <w:lang w:val="en-US" w:eastAsia="zh-CN"/>
        </w:rPr>
        <w:br w:type="page"/>
      </w:r>
    </w:p>
    <w:p w14:paraId="126B6BCE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目的</w:t>
      </w:r>
      <w:bookmarkEnd w:id="2"/>
    </w:p>
    <w:p w14:paraId="59DF0DC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为规范公司运维工具的管理与使用，确保运维服务质量与效率，明确工具分类及管理职责，特制定本制度。</w:t>
      </w:r>
    </w:p>
    <w:p w14:paraId="3939C09E">
      <w:pPr>
        <w:pStyle w:val="28"/>
        <w:bidi w:val="0"/>
        <w:rPr>
          <w:rFonts w:hint="default"/>
          <w:lang w:val="en-US" w:eastAsia="zh-CN"/>
        </w:rPr>
      </w:pPr>
      <w:bookmarkStart w:id="3" w:name="_Toc14912"/>
      <w:r>
        <w:rPr>
          <w:rFonts w:hint="default"/>
          <w:lang w:val="en-US" w:eastAsia="zh-CN"/>
        </w:rPr>
        <w:t>适用范围</w:t>
      </w:r>
      <w:bookmarkEnd w:id="3"/>
    </w:p>
    <w:p w14:paraId="63C95C1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本制度适用于公司范围内所有运维工具及其使用、管理人员，涵盖过程管理工具、监控工具、专用工具三类。</w:t>
      </w:r>
    </w:p>
    <w:p w14:paraId="79E82EE2">
      <w:pPr>
        <w:pStyle w:val="28"/>
        <w:bidi w:val="0"/>
        <w:rPr>
          <w:rFonts w:hint="default"/>
          <w:lang w:val="en-US" w:eastAsia="zh-CN"/>
        </w:rPr>
      </w:pPr>
      <w:bookmarkStart w:id="4" w:name="_Toc27278"/>
      <w:r>
        <w:rPr>
          <w:rFonts w:hint="default"/>
          <w:lang w:val="en-US" w:eastAsia="zh-CN"/>
        </w:rPr>
        <w:t>定义与术语</w:t>
      </w:r>
      <w:bookmarkEnd w:id="4"/>
    </w:p>
    <w:p w14:paraId="17B27EBA">
      <w:pPr>
        <w:pStyle w:val="30"/>
        <w:bidi w:val="0"/>
        <w:rPr>
          <w:rFonts w:hint="default"/>
          <w:lang w:val="en-US" w:eastAsia="zh-CN"/>
        </w:rPr>
      </w:pPr>
      <w:bookmarkStart w:id="5" w:name="_Toc11886"/>
      <w:r>
        <w:rPr>
          <w:rFonts w:hint="default"/>
          <w:lang w:val="en-US" w:eastAsia="zh-CN"/>
        </w:rPr>
        <w:t>运维过程管理工具</w:t>
      </w:r>
      <w:bookmarkEnd w:id="5"/>
    </w:p>
    <w:p w14:paraId="735040E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用于支撑运维服务流程执行、任务派发、过程跟踪、结果记录等的软件系统。</w:t>
      </w:r>
    </w:p>
    <w:p w14:paraId="7E64F2BC">
      <w:pPr>
        <w:pStyle w:val="30"/>
        <w:bidi w:val="0"/>
        <w:rPr>
          <w:rFonts w:hint="default"/>
          <w:lang w:val="en-US" w:eastAsia="zh-CN"/>
        </w:rPr>
      </w:pPr>
      <w:bookmarkStart w:id="6" w:name="_Toc25251"/>
      <w:r>
        <w:rPr>
          <w:rFonts w:hint="default"/>
          <w:lang w:val="en-US" w:eastAsia="zh-CN"/>
        </w:rPr>
        <w:t>运维监控工具</w:t>
      </w:r>
      <w:bookmarkEnd w:id="6"/>
    </w:p>
    <w:p w14:paraId="1D0267C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用于实时监控系统、网络、应用等运行状态，采集性能数据，进行告警与报告的工具。</w:t>
      </w:r>
    </w:p>
    <w:p w14:paraId="21514720">
      <w:pPr>
        <w:pStyle w:val="30"/>
        <w:bidi w:val="0"/>
        <w:rPr>
          <w:rFonts w:hint="default"/>
          <w:lang w:val="en-US" w:eastAsia="zh-CN"/>
        </w:rPr>
      </w:pPr>
      <w:bookmarkStart w:id="7" w:name="_Toc3068"/>
      <w:r>
        <w:rPr>
          <w:rFonts w:hint="default"/>
          <w:lang w:val="en-US" w:eastAsia="zh-CN"/>
        </w:rPr>
        <w:t>运维专用工具</w:t>
      </w:r>
      <w:bookmarkEnd w:id="7"/>
    </w:p>
    <w:p w14:paraId="3354911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为特定运维场景或技术领域设计的专用软件或硬件工具，如日志分析工具、安全扫描工具等。</w:t>
      </w:r>
    </w:p>
    <w:p w14:paraId="4CD30F97">
      <w:pPr>
        <w:pStyle w:val="28"/>
        <w:bidi w:val="0"/>
        <w:rPr>
          <w:rFonts w:hint="default"/>
          <w:lang w:val="en-US" w:eastAsia="zh-CN"/>
        </w:rPr>
      </w:pPr>
      <w:bookmarkStart w:id="8" w:name="_Toc11703"/>
      <w:r>
        <w:rPr>
          <w:rFonts w:hint="default"/>
          <w:lang w:val="en-US" w:eastAsia="zh-CN"/>
        </w:rPr>
        <w:t>管理职责</w:t>
      </w:r>
      <w:bookmarkEnd w:id="8"/>
    </w:p>
    <w:p w14:paraId="37053EFB">
      <w:pPr>
        <w:pStyle w:val="30"/>
        <w:bidi w:val="0"/>
        <w:rPr>
          <w:rFonts w:hint="default"/>
          <w:lang w:val="en-US" w:eastAsia="zh-CN"/>
        </w:rPr>
      </w:pPr>
      <w:bookmarkStart w:id="9" w:name="_Toc24607"/>
      <w:r>
        <w:rPr>
          <w:rFonts w:hint="default"/>
          <w:lang w:val="en-US" w:eastAsia="zh-CN"/>
        </w:rPr>
        <w:t>运维管理部门</w:t>
      </w:r>
      <w:bookmarkEnd w:id="9"/>
    </w:p>
    <w:p w14:paraId="5548D0A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负责全公司运维工具的统一规划、选型、采购、部署与验收。</w:t>
      </w:r>
    </w:p>
    <w:p w14:paraId="043FAB0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负责制定运维工具管理规范、操作流程与培训体系。</w:t>
      </w:r>
    </w:p>
    <w:p w14:paraId="45696AE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负责工具的日常维护、升级、备份与故障处理。</w:t>
      </w:r>
    </w:p>
    <w:p w14:paraId="2DFCFED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监督工具使用情况，定期开展使用效果评估与优化改进。</w:t>
      </w:r>
    </w:p>
    <w:p w14:paraId="752CBBF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负责工具使用权限管理与安全控制。</w:t>
      </w:r>
    </w:p>
    <w:p w14:paraId="09307B6F">
      <w:pPr>
        <w:pStyle w:val="30"/>
        <w:bidi w:val="0"/>
        <w:rPr>
          <w:rFonts w:hint="default"/>
          <w:lang w:val="en-US" w:eastAsia="zh-CN"/>
        </w:rPr>
      </w:pPr>
      <w:bookmarkStart w:id="10" w:name="_Toc28490"/>
      <w:r>
        <w:rPr>
          <w:rFonts w:hint="default"/>
          <w:lang w:val="en-US" w:eastAsia="zh-CN"/>
        </w:rPr>
        <w:t>工具使用人员</w:t>
      </w:r>
      <w:bookmarkEnd w:id="10"/>
    </w:p>
    <w:p w14:paraId="77CBE41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严格遵守工具操作规程与安全规定。</w:t>
      </w:r>
    </w:p>
    <w:p w14:paraId="0ABA485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参与工具培训并通过考核后方可上岗操作。</w:t>
      </w:r>
    </w:p>
    <w:p w14:paraId="41BDEC0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及时反馈工具使用中遇到的问题与改进建议。</w:t>
      </w:r>
    </w:p>
    <w:p w14:paraId="3A732D1D">
      <w:pPr>
        <w:pStyle w:val="28"/>
        <w:bidi w:val="0"/>
        <w:rPr>
          <w:rFonts w:hint="default"/>
          <w:lang w:val="en-US" w:eastAsia="zh-CN"/>
        </w:rPr>
      </w:pPr>
      <w:bookmarkStart w:id="11" w:name="_Toc18192"/>
      <w:r>
        <w:rPr>
          <w:rFonts w:hint="default"/>
          <w:lang w:val="en-US" w:eastAsia="zh-CN"/>
        </w:rPr>
        <w:t>工具管理要求</w:t>
      </w:r>
      <w:bookmarkEnd w:id="11"/>
    </w:p>
    <w:p w14:paraId="6DB2B1BB">
      <w:pPr>
        <w:pStyle w:val="30"/>
        <w:bidi w:val="0"/>
        <w:rPr>
          <w:rFonts w:hint="default"/>
          <w:lang w:val="en-US" w:eastAsia="zh-CN"/>
        </w:rPr>
      </w:pPr>
      <w:bookmarkStart w:id="12" w:name="_Toc1694"/>
      <w:r>
        <w:rPr>
          <w:rFonts w:hint="default"/>
          <w:lang w:val="en-US" w:eastAsia="zh-CN"/>
        </w:rPr>
        <w:t>日常使用管理</w:t>
      </w:r>
      <w:bookmarkEnd w:id="12"/>
    </w:p>
    <w:p w14:paraId="009BA35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运维工具的安装与使用须经授权，禁止私自安装或使用未授权工具。</w:t>
      </w:r>
    </w:p>
    <w:p w14:paraId="2674821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工具使用人员须接受相关培训并考核合格。</w:t>
      </w:r>
    </w:p>
    <w:p w14:paraId="0FB78BA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工具操作手册应及时更新，经评审后发布。</w:t>
      </w:r>
    </w:p>
    <w:p w14:paraId="7CCC8BBD">
      <w:pPr>
        <w:pStyle w:val="30"/>
        <w:bidi w:val="0"/>
        <w:rPr>
          <w:rFonts w:hint="default"/>
          <w:lang w:val="en-US" w:eastAsia="zh-CN"/>
        </w:rPr>
      </w:pPr>
      <w:bookmarkStart w:id="13" w:name="_Toc12104"/>
      <w:r>
        <w:rPr>
          <w:rFonts w:hint="default"/>
          <w:lang w:val="en-US" w:eastAsia="zh-CN"/>
        </w:rPr>
        <w:t>数据备份管理</w:t>
      </w:r>
      <w:bookmarkEnd w:id="13"/>
    </w:p>
    <w:p w14:paraId="5654D41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定期备份系统数据、配置信息及业务数据，备份频率根据业务需求确定。</w:t>
      </w:r>
    </w:p>
    <w:p w14:paraId="424D7A9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配置信息变更前必须进行备份。</w:t>
      </w:r>
    </w:p>
    <w:p w14:paraId="3DDDB99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备份数据应进行定期恢复验证。</w:t>
      </w:r>
    </w:p>
    <w:p w14:paraId="778BA7DE">
      <w:pPr>
        <w:pStyle w:val="30"/>
        <w:bidi w:val="0"/>
        <w:rPr>
          <w:rFonts w:hint="default"/>
          <w:lang w:val="en-US" w:eastAsia="zh-CN"/>
        </w:rPr>
      </w:pPr>
      <w:bookmarkStart w:id="14" w:name="_Toc2938"/>
      <w:r>
        <w:rPr>
          <w:rFonts w:hint="default"/>
          <w:lang w:val="en-US" w:eastAsia="zh-CN"/>
        </w:rPr>
        <w:t>日常维护管理</w:t>
      </w:r>
      <w:bookmarkEnd w:id="14"/>
    </w:p>
    <w:p w14:paraId="1E72172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发现工具异常应立即上报，并记录故障现象与处理过程。</w:t>
      </w:r>
    </w:p>
    <w:p w14:paraId="1F60B0D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定期检查工具运行日志，识别异常或违规使用行为。</w:t>
      </w:r>
    </w:p>
    <w:p w14:paraId="3695408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加强账号与口令管理，定期更换系统管理员密码，密码应具备一定复杂度。</w:t>
      </w:r>
    </w:p>
    <w:p w14:paraId="75655E1B">
      <w:pPr>
        <w:pStyle w:val="28"/>
        <w:bidi w:val="0"/>
        <w:rPr>
          <w:rFonts w:hint="default"/>
          <w:lang w:val="en-US" w:eastAsia="zh-CN"/>
        </w:rPr>
      </w:pPr>
      <w:bookmarkStart w:id="15" w:name="_Toc4037"/>
      <w:r>
        <w:rPr>
          <w:rFonts w:hint="default"/>
          <w:lang w:val="en-US" w:eastAsia="zh-CN"/>
        </w:rPr>
        <w:t>工具评估与改进</w:t>
      </w:r>
      <w:bookmarkEnd w:id="15"/>
    </w:p>
    <w:p w14:paraId="3F82FD38">
      <w:pPr>
        <w:pStyle w:val="30"/>
        <w:bidi w:val="0"/>
        <w:rPr>
          <w:rFonts w:hint="default"/>
          <w:lang w:val="en-US" w:eastAsia="zh-CN"/>
        </w:rPr>
      </w:pPr>
      <w:bookmarkStart w:id="16" w:name="_Toc9716"/>
      <w:r>
        <w:rPr>
          <w:rFonts w:hint="default"/>
          <w:lang w:val="en-US" w:eastAsia="zh-CN"/>
        </w:rPr>
        <w:t>定期评估</w:t>
      </w:r>
      <w:bookmarkEnd w:id="16"/>
    </w:p>
    <w:p w14:paraId="1251CB3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每年至少组织一次运维工具使用评估，形成评估报告，识别问题并提出优化建议。</w:t>
      </w:r>
    </w:p>
    <w:p w14:paraId="3E759191">
      <w:pPr>
        <w:pStyle w:val="30"/>
        <w:bidi w:val="0"/>
        <w:rPr>
          <w:rFonts w:hint="default"/>
          <w:lang w:val="en-US" w:eastAsia="zh-CN"/>
        </w:rPr>
      </w:pPr>
      <w:bookmarkStart w:id="17" w:name="_Toc28963"/>
      <w:r>
        <w:rPr>
          <w:rFonts w:hint="default"/>
          <w:lang w:val="en-US" w:eastAsia="zh-CN"/>
        </w:rPr>
        <w:t>持续改进</w:t>
      </w:r>
      <w:bookmarkEnd w:id="17"/>
    </w:p>
    <w:p w14:paraId="7EB212F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使用人员可随时提出工具功能、性能或安全方面的改进建议。</w:t>
      </w:r>
    </w:p>
    <w:p w14:paraId="5799857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评估报告中的问题由运维管理部门组织分析，制定改进计划并推动落实。</w:t>
      </w:r>
    </w:p>
    <w:p w14:paraId="6344224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重大改进方案需经评审后方可实施。</w:t>
      </w:r>
    </w:p>
    <w:p w14:paraId="04AF39B8">
      <w:pPr>
        <w:pStyle w:val="28"/>
        <w:bidi w:val="0"/>
        <w:rPr>
          <w:rFonts w:hint="default"/>
          <w:lang w:val="en-US" w:eastAsia="zh-CN"/>
        </w:rPr>
      </w:pPr>
      <w:bookmarkStart w:id="18" w:name="_Toc16783"/>
      <w:r>
        <w:rPr>
          <w:rFonts w:hint="eastAsia"/>
          <w:lang w:val="en-US" w:eastAsia="zh-CN"/>
        </w:rPr>
        <w:t>考核指标</w:t>
      </w:r>
    </w:p>
    <w:tbl>
      <w:tblPr>
        <w:tblW w:w="8504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5"/>
        <w:gridCol w:w="1108"/>
        <w:gridCol w:w="5035"/>
        <w:gridCol w:w="926"/>
      </w:tblGrid>
      <w:tr w14:paraId="18165A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91B8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KPI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3C95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目标值</w:t>
            </w:r>
          </w:p>
        </w:tc>
        <w:tc>
          <w:tcPr>
            <w:tcW w:w="5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3545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计算公式/方法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5184C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频度</w:t>
            </w:r>
          </w:p>
        </w:tc>
      </w:tr>
      <w:tr w14:paraId="085220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304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bookmarkStart w:id="19" w:name="_GoBack" w:colFirst="0" w:colLast="3"/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工具使用率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6247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≥95%</w:t>
            </w:r>
          </w:p>
        </w:tc>
        <w:tc>
          <w:tcPr>
            <w:tcW w:w="5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D67F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（使用工具项目数/项目总数）*100%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8B28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季度</w:t>
            </w:r>
          </w:p>
        </w:tc>
      </w:tr>
      <w:bookmarkEnd w:id="19"/>
    </w:tbl>
    <w:p w14:paraId="46B02EA4">
      <w:pPr>
        <w:pStyle w:val="29"/>
        <w:rPr>
          <w:rFonts w:hint="default"/>
          <w:lang w:val="en-US" w:eastAsia="zh-CN"/>
        </w:rPr>
      </w:pPr>
    </w:p>
    <w:p w14:paraId="34D30B39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附则</w:t>
      </w:r>
      <w:bookmarkEnd w:id="18"/>
    </w:p>
    <w:p w14:paraId="3B3261A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本制度自发布之日起执行，由运维管理部门负责解释与修订。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C149A1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0149EF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4874344"/>
    <w:rsid w:val="0ADD081A"/>
    <w:rsid w:val="0BA75DFA"/>
    <w:rsid w:val="0E323572"/>
    <w:rsid w:val="13B63C6B"/>
    <w:rsid w:val="151B295F"/>
    <w:rsid w:val="26167B49"/>
    <w:rsid w:val="298E7457"/>
    <w:rsid w:val="2C4753BA"/>
    <w:rsid w:val="303625F7"/>
    <w:rsid w:val="3143321D"/>
    <w:rsid w:val="378325C5"/>
    <w:rsid w:val="43FB1735"/>
    <w:rsid w:val="47264D1B"/>
    <w:rsid w:val="488E0DCA"/>
    <w:rsid w:val="4A1C56D9"/>
    <w:rsid w:val="537D3F15"/>
    <w:rsid w:val="59B9557B"/>
    <w:rsid w:val="600D52F2"/>
    <w:rsid w:val="63DD630A"/>
    <w:rsid w:val="699C1C99"/>
    <w:rsid w:val="6CAB169B"/>
    <w:rsid w:val="6F413BF1"/>
    <w:rsid w:val="73337CF4"/>
    <w:rsid w:val="73F41EFF"/>
    <w:rsid w:val="7A8E6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1056</Words>
  <Characters>1147</Characters>
  <Lines>0</Lines>
  <Paragraphs>0</Paragraphs>
  <TotalTime>0</TotalTime>
  <ScaleCrop>false</ScaleCrop>
  <LinksUpToDate>false</LinksUpToDate>
  <CharactersWithSpaces>1183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2026-01-20T13:31:30Z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